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enewal_of_tm_license_ag.htm"/>
      <w:bookmarkStart w:id="1" w:name="ksrenewal_of_tm_license_ag"/>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spacing w:before="0" w:after="44"/>
        <w:jc w:val="center"/>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6-K</w:t>
      </w:r>
    </w:p>
    <w:p>
      <w:pPr>
        <w:pStyle w:val="TextBody"/>
        <w:pBdr>
          <w:bottom w:val="single" w:sz="6" w:space="1" w:color="000000"/>
        </w:pBdr>
        <w:bidi w:val="0"/>
        <w:spacing w:before="0" w:after="44"/>
        <w:jc w:val="center"/>
        <w:rPr/>
      </w:pPr>
      <w:r>
        <w:rPr/>
        <w:t> </w:t>
      </w:r>
    </w:p>
    <w:p>
      <w:pPr>
        <w:pStyle w:val="TextBody"/>
        <w:bidi w:val="0"/>
        <w:spacing w:before="160" w:after="283"/>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December 2023</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Commission File Number: 001-35158</w:t>
      </w:r>
    </w:p>
    <w:p>
      <w:pPr>
        <w:pStyle w:val="TextBody"/>
        <w:pBdr>
          <w:bottom w:val="single" w:sz="6" w:space="1" w:color="000000"/>
        </w:pBdr>
        <w:bidi w:val="0"/>
        <w:spacing w:before="0" w:after="44"/>
        <w:jc w:val="center"/>
        <w:rPr/>
      </w:pPr>
      <w:r>
        <w:rPr/>
        <w:t> </w:t>
      </w:r>
    </w:p>
    <w:p>
      <w:pPr>
        <w:pStyle w:val="TextBody"/>
        <w:bidi w:val="0"/>
        <w:spacing w:before="200" w:after="283"/>
        <w:jc w:val="center"/>
        <w:rPr>
          <w:rFonts w:ascii="Times New Roman" w:hAnsi="Times New Roman"/>
          <w:b/>
          <w:color w:val="000000"/>
          <w:sz w:val="48"/>
        </w:rPr>
      </w:pPr>
      <w:r>
        <w:rPr>
          <w:rFonts w:ascii="Times New Roman" w:hAnsi="Times New Roman"/>
          <w:b/>
          <w:color w:val="000000"/>
          <w:sz w:val="48"/>
        </w:rPr>
        <w:t>PHOENIX NEW MEDIA LIMITED</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Sinolight Plaza, Floor 16</w:t>
      </w:r>
    </w:p>
    <w:p>
      <w:pPr>
        <w:pStyle w:val="TextBody"/>
        <w:bidi w:val="0"/>
        <w:jc w:val="center"/>
        <w:rPr>
          <w:rFonts w:ascii="Times New Roman" w:hAnsi="Times New Roman"/>
          <w:b/>
          <w:color w:val="000000"/>
          <w:sz w:val="20"/>
        </w:rPr>
      </w:pPr>
      <w:r>
        <w:rPr>
          <w:rFonts w:ascii="Times New Roman" w:hAnsi="Times New Roman"/>
          <w:b/>
          <w:color w:val="000000"/>
          <w:sz w:val="20"/>
        </w:rPr>
        <w:t>No. 4 Qiyang Road</w:t>
      </w:r>
    </w:p>
    <w:p>
      <w:pPr>
        <w:pStyle w:val="TextBody"/>
        <w:bidi w:val="0"/>
        <w:jc w:val="center"/>
        <w:rPr>
          <w:rFonts w:ascii="Times New Roman" w:hAnsi="Times New Roman"/>
          <w:b/>
          <w:color w:val="000000"/>
          <w:sz w:val="20"/>
        </w:rPr>
      </w:pPr>
      <w:r>
        <w:rPr>
          <w:rFonts w:ascii="Times New Roman" w:hAnsi="Times New Roman"/>
          <w:b/>
          <w:color w:val="000000"/>
          <w:sz w:val="20"/>
        </w:rPr>
        <w:t>Wangjing, Chaoyang District, Beijing, 100102</w:t>
      </w:r>
    </w:p>
    <w:p>
      <w:pPr>
        <w:pStyle w:val="TextBody"/>
        <w:bidi w:val="0"/>
        <w:jc w:val="center"/>
        <w:rPr>
          <w:rFonts w:ascii="Times New Roman" w:hAnsi="Times New Roman"/>
          <w:b/>
          <w:color w:val="000000"/>
          <w:sz w:val="20"/>
        </w:rPr>
      </w:pPr>
      <w:r>
        <w:rPr>
          <w:rFonts w:ascii="Times New Roman" w:hAnsi="Times New Roman"/>
          <w:b/>
          <w:color w:val="000000"/>
          <w:sz w:val="20"/>
        </w:rPr>
        <w:t>People’s Republic of China</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w:t>
      </w:r>
    </w:p>
    <w:p>
      <w:pPr>
        <w:pStyle w:val="TextBody"/>
        <w:pBdr>
          <w:bottom w:val="single" w:sz="4" w:space="1" w:color="000000"/>
        </w:pBdr>
        <w:bidi w:val="0"/>
        <w:spacing w:before="0" w:after="44"/>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Form 20-F or Form 40-F.</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Form 20-F ☒ Form 40-F ☐</w:t>
      </w:r>
    </w:p>
    <w:p>
      <w:pPr>
        <w:pStyle w:val="TextBody"/>
        <w:pBdr>
          <w:bottom w:val="double" w:sz="6" w:space="1" w:color="000000"/>
        </w:pBdr>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TABLE OF CONTENTS</w:t>
      </w:r>
    </w:p>
    <w:p>
      <w:pPr>
        <w:pStyle w:val="TextBody"/>
        <w:bidi w:val="0"/>
        <w:jc w:val="center"/>
        <w:rPr/>
      </w:pPr>
      <w:r>
        <w:rPr/>
        <w:t> </w:t>
      </w:r>
    </w:p>
    <w:p>
      <w:pPr>
        <w:pStyle w:val="TextBody"/>
        <w:bidi w:val="0"/>
        <w:jc w:val="left"/>
        <w:rPr/>
      </w:pPr>
      <w:hyperlink w:anchor="feng-ex99_1.htm">
        <w:r>
          <w:rPr>
            <w:rStyle w:val="InternetLink"/>
            <w:rFonts w:ascii="Times New Roman" w:hAnsi="Times New Roman"/>
            <w:color w:val="0000FF"/>
            <w:sz w:val="21"/>
            <w:u w:val="single"/>
          </w:rPr>
          <w:t>Exhibit 99.1 — Phoenix New Media Announces Renewal of Trademark License Agreements with Phoenix TV</w:t>
        </w:r>
      </w:hyperlink>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149" w:type="dxa"/>
        <w:jc w:val="left"/>
        <w:tblInd w:w="0" w:type="dxa"/>
        <w:tblLayout w:type="fixed"/>
        <w:tblCellMar>
          <w:top w:w="28" w:type="dxa"/>
          <w:left w:w="28" w:type="dxa"/>
          <w:bottom w:w="28" w:type="dxa"/>
          <w:right w:w="28" w:type="dxa"/>
        </w:tblCellMar>
      </w:tblPr>
      <w:tblGrid>
        <w:gridCol w:w="2071"/>
        <w:gridCol w:w="109"/>
        <w:gridCol w:w="672"/>
        <w:gridCol w:w="155"/>
        <w:gridCol w:w="2142"/>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r>
      <w:tr>
        <w:trPr/>
        <w:tc>
          <w:tcPr>
            <w:tcW w:w="207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142" w:type="dxa"/>
            <w:tcBorders/>
            <w:vAlign w:val="center"/>
          </w:tcPr>
          <w:p>
            <w:pPr>
              <w:pStyle w:val="TableContents"/>
              <w:bidi w:val="0"/>
              <w:spacing w:before="0" w:after="283"/>
              <w:jc w:val="left"/>
              <w:rPr/>
            </w:pPr>
            <w:r>
              <w:rPr/>
              <w:t> </w:t>
            </w:r>
          </w:p>
        </w:tc>
      </w:tr>
      <w:tr>
        <w:trPr/>
        <w:tc>
          <w:tcPr>
            <w:tcW w:w="207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PHOENIX NEW MEDIA LIMITED</w:t>
            </w:r>
          </w:p>
        </w:tc>
      </w:tr>
      <w:tr>
        <w:trPr/>
        <w:tc>
          <w:tcPr>
            <w:tcW w:w="2071" w:type="dxa"/>
            <w:tcBorders/>
            <w:vAlign w:val="center"/>
          </w:tcPr>
          <w:p>
            <w:pPr>
              <w:pStyle w:val="TableContents"/>
              <w:bidi w:val="0"/>
              <w:spacing w:before="0" w:after="283"/>
              <w:jc w:val="left"/>
              <w:rPr>
                <w:sz w:val="4"/>
                <w:szCs w:val="4"/>
              </w:rPr>
            </w:pPr>
            <w:r>
              <w:rPr>
                <w:sz w:val="4"/>
                <w:szCs w:val="4"/>
              </w:rPr>
            </w:r>
          </w:p>
        </w:tc>
        <w:tc>
          <w:tcPr>
            <w:tcW w:w="3078" w:type="dxa"/>
            <w:gridSpan w:val="4"/>
            <w:tcBorders/>
            <w:vAlign w:val="center"/>
          </w:tcPr>
          <w:p>
            <w:pPr>
              <w:pStyle w:val="TableContents"/>
              <w:bidi w:val="0"/>
              <w:spacing w:before="0" w:after="283"/>
              <w:jc w:val="left"/>
              <w:rPr>
                <w:sz w:val="4"/>
                <w:szCs w:val="4"/>
              </w:rPr>
            </w:pPr>
            <w:r>
              <w:rPr>
                <w:sz w:val="4"/>
                <w:szCs w:val="4"/>
              </w:rPr>
            </w:r>
          </w:p>
        </w:tc>
      </w:tr>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55"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pBdr>
                <w:bottom w:val="single" w:sz="6" w:space="1" w:color="000000"/>
              </w:pBdr>
              <w:bidi w:val="0"/>
              <w:spacing w:before="0" w:after="22"/>
              <w:jc w:val="left"/>
              <w:rPr>
                <w:rFonts w:ascii="Times New Roman" w:hAnsi="Times New Roman"/>
                <w:color w:val="000000"/>
                <w:sz w:val="20"/>
              </w:rPr>
            </w:pPr>
            <w:r>
              <w:rPr>
                <w:rFonts w:ascii="Times New Roman" w:hAnsi="Times New Roman"/>
                <w:color w:val="000000"/>
                <w:sz w:val="20"/>
              </w:rPr>
              <w:t>/s/ Edward Lu</w:t>
            </w:r>
          </w:p>
        </w:tc>
      </w:tr>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55"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Lu</w:t>
            </w:r>
          </w:p>
        </w:tc>
      </w:tr>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55"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149" w:type="dxa"/>
            <w:gridSpan w:val="5"/>
            <w:tcBorders/>
            <w:vAlign w:val="center"/>
          </w:tcPr>
          <w:p>
            <w:pPr>
              <w:pStyle w:val="TableContents"/>
              <w:bidi w:val="0"/>
              <w:spacing w:before="0" w:after="283"/>
              <w:jc w:val="left"/>
              <w:rPr>
                <w:sz w:val="4"/>
                <w:szCs w:val="4"/>
              </w:rPr>
            </w:pPr>
            <w:r>
              <w:rPr>
                <w:sz w:val="4"/>
                <w:szCs w:val="4"/>
              </w:rPr>
            </w:r>
          </w:p>
        </w:tc>
      </w:tr>
      <w:tr>
        <w:trPr/>
        <w:tc>
          <w:tcPr>
            <w:tcW w:w="20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December 8, 2023</w:t>
            </w:r>
          </w:p>
        </w:tc>
        <w:tc>
          <w:tcPr>
            <w:tcW w:w="109" w:type="dxa"/>
            <w:tcBorders/>
            <w:vAlign w:val="center"/>
          </w:tcPr>
          <w:p>
            <w:pPr>
              <w:pStyle w:val="TableContents"/>
              <w:bidi w:val="0"/>
              <w:spacing w:before="0" w:after="283"/>
              <w:jc w:val="left"/>
              <w:rPr>
                <w:sz w:val="4"/>
                <w:szCs w:val="4"/>
              </w:rPr>
            </w:pPr>
            <w:r>
              <w:rPr>
                <w:sz w:val="4"/>
                <w:szCs w:val="4"/>
              </w:rPr>
            </w:r>
          </w:p>
        </w:tc>
        <w:tc>
          <w:tcPr>
            <w:tcW w:w="29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bookmarkStart w:id="2" w:name="feng-ex99_1.htm"/>
      <w:bookmarkStart w:id="3" w:name="ksfengex99_1"/>
      <w:bookmarkEnd w:id="2"/>
      <w:bookmarkEnd w:id="3"/>
      <w:r>
        <w:rPr/>
        <w:t> </w:t>
      </w:r>
      <w:r>
        <w:br w:type="page"/>
      </w:r>
    </w:p>
    <w:p>
      <w:pPr>
        <w:pStyle w:val="TextBody"/>
        <w:bidi w:val="0"/>
        <w:jc w:val="right"/>
        <w:rPr>
          <w:rFonts w:ascii="Times New Roman" w:hAnsi="Times New Roman"/>
          <w:b/>
          <w:color w:val="000000"/>
          <w:sz w:val="20"/>
        </w:rPr>
      </w:pPr>
      <w:bookmarkStart w:id="4" w:name="exhibit99_1_035206_12901421"/>
      <w:bookmarkEnd w:id="4"/>
      <w:r>
        <w:rPr>
          <w:rFonts w:ascii="Times New Roman" w:hAnsi="Times New Roman"/>
          <w:b/>
          <w:color w:val="000000"/>
          <w:sz w:val="20"/>
        </w:rPr>
        <w:t>Exhibit 99.1</w:t>
      </w:r>
    </w:p>
    <w:p>
      <w:pPr>
        <w:pStyle w:val="TextBody"/>
        <w:bidi w:val="0"/>
        <w:jc w:val="center"/>
        <w:rPr>
          <w:rFonts w:ascii="Times New Roman" w:hAnsi="Times New Roman"/>
          <w:b/>
          <w:color w:val="000000"/>
          <w:sz w:val="20"/>
        </w:rPr>
      </w:pPr>
      <w:r>
        <w:rPr>
          <w:rFonts w:ascii="Times New Roman" w:hAnsi="Times New Roman"/>
          <w:b/>
          <w:color w:val="000000"/>
          <w:sz w:val="20"/>
        </w:rPr>
        <w:t>Phoenix New Media Announces Renewal of Trademark License Agreements with Phoenix TV</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BEIJING, China, December 8, 2023 — Phoenix New Media Limited (“Phoenix New Media,” “ifeng” or the “Company”) (NYSE: FENG), a leading new media company in China, today announced that it has, through certain of its affiliated consolidated entities (the “Licensees”), entered into supplemental agreements to the trademark license agreements (the “Supplemental Agreements”) with a subsidiary of its parent company, Phoenix Satellite Television Holdings Limited (“Phoenix TV”), to renew such trademark license agreements between the parties originally entered into on December 8, 2017 (the “2017 Trademark License Agreements”) and the supplemental agreements to the 2017 Trademark License Agreements subsequently entered into between the parties (the “Trademark License Agreements”).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Supplemental Agreements extended the terms of the Trademark License Agreements to December 7, 2026 and covered additional trademarks registered in various classes containing the double-phoenix logo together with the Chinese or English words of “Phoenix New Media” or “ifeng” and other variations. The Supplemental Agreements also changed the licensed territory from “Mainland China” to “countries or territories where the trademark is registered” and authorized sub-license of the relevant trademarks to the Company’s affiliated companies for the purpose of account registration on any third-party platforms. Except for above terms, the Supplemental Agreements did not change the other terms of the Trademark License Agreements.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About Phoenix New Media Limited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Phoenix New Media Limited (NYSE: FENG) is a leading new media company providing premium content on an integrated Internet platform, including PC and mobile, in China. Having originated from a leading global Chinese language TV network based in Hong Kong, Phoenix TV, the Company enables consumers to access professional news and other quality information and share user-generated content on the Internet through their PCs and mobile devices. Phoenix New Media's platform includes its PC channel, consisting of ifeng.com website, which comprises interest-based verticals and interactive services; its mobile channel, consisting of mobile news applications, mobile video application, digital reading applications and mobile Internet website; and its operations with the telecom operators that provides mobile value-added services.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Safe Harbor Statement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Phoenix New Media’s strategic and operational plans, contain forward-looking statements. Phoenix New Media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Phoenix New Media’s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financial condition and results of operations; the expected growth of online and mobile advertising, online video and mobile paid services markets in China; the Company’s reliance on online and mobile advertising for a majority of its total revenues; the Company’s expectations regarding demand for and market acceptance of its services; the Company’s expectations regarding maintaining and strengthening its relationships with advertisers, partners and customers; the Company’s investment plans and strategies; fluctuations in the Company’s quarterly operating results; the Company’s plans to enhance its user experience, infrastructure and services offerings; competition in its industry in China; relevant government policies and regulations relating to the Company; and the effects of the COVID-19 on the economy in China in general and on the Company’s business in particular. Further information regarding these and other risks is included in the Company’s filings with the SEC, including its registration statement on Form F-1, as amended, and its annual reports on Form 20-F. All information provided in this press release and in the attachments is as of the date of this press release, and Phoenix New Media does not undertake any obligation to update any forward-looking statement, except as required under applicable law.</w:t>
      </w:r>
    </w:p>
    <w:p>
      <w:pPr>
        <w:pStyle w:val="TextBody"/>
        <w:bidi w:val="0"/>
        <w:jc w:val="left"/>
        <w:rPr>
          <w:rFonts w:ascii="Times New Roman" w:hAnsi="Times New Roman"/>
          <w:b/>
          <w:color w:val="000000"/>
          <w:sz w:val="20"/>
        </w:rPr>
      </w:pPr>
      <w:r>
        <w:rPr>
          <w:rFonts w:ascii="Times New Roman" w:hAnsi="Times New Roman"/>
          <w:b/>
          <w:color w:val="000000"/>
          <w:sz w:val="20"/>
        </w:rPr>
        <w:t>For investor and media inquiries please contact:</w:t>
      </w:r>
    </w:p>
    <w:p>
      <w:pPr>
        <w:pStyle w:val="TextBody"/>
        <w:bidi w:val="0"/>
        <w:jc w:val="left"/>
        <w:rPr>
          <w:rFonts w:ascii="Times New Roman" w:hAnsi="Times New Roman"/>
          <w:color w:val="000000"/>
          <w:sz w:val="20"/>
        </w:rPr>
      </w:pPr>
      <w:r>
        <w:rPr>
          <w:rFonts w:ascii="Times New Roman" w:hAnsi="Times New Roman"/>
          <w:color w:val="000000"/>
          <w:sz w:val="20"/>
        </w:rPr>
        <w:t>Phoenix New Media Limited</w:t>
      </w:r>
    </w:p>
    <w:p>
      <w:pPr>
        <w:pStyle w:val="TextBody"/>
        <w:bidi w:val="0"/>
        <w:jc w:val="left"/>
        <w:rPr>
          <w:rFonts w:ascii="Times New Roman" w:hAnsi="Times New Roman"/>
          <w:color w:val="000000"/>
          <w:sz w:val="20"/>
        </w:rPr>
      </w:pPr>
      <w:r>
        <w:rPr>
          <w:rFonts w:ascii="Times New Roman" w:hAnsi="Times New Roman"/>
          <w:color w:val="000000"/>
          <w:sz w:val="20"/>
        </w:rPr>
        <w:t>Muzi Guo</w:t>
      </w:r>
    </w:p>
    <w:p>
      <w:pPr>
        <w:pStyle w:val="TextBody"/>
        <w:bidi w:val="0"/>
        <w:jc w:val="left"/>
        <w:rPr>
          <w:rFonts w:ascii="Times New Roman" w:hAnsi="Times New Roman"/>
          <w:color w:val="000000"/>
          <w:sz w:val="20"/>
        </w:rPr>
      </w:pPr>
      <w:r>
        <w:rPr>
          <w:rFonts w:ascii="Times New Roman" w:hAnsi="Times New Roman"/>
          <w:color w:val="000000"/>
          <w:sz w:val="20"/>
        </w:rPr>
        <w:t>Email: investorrelations@ifeng.com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899</Words>
  <Characters>5399</Characters>
  <CharactersWithSpaces>6287</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