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0"/>
          <w:szCs w:val="30"/>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0"/>
          <w:szCs w:val="30"/>
          <w:b w:val="1"/>
          <w:bCs w:val="1"/>
          <w:color w:val="auto"/>
        </w:rPr>
        <w:t>SECURITIES AND EXCHANGE COMMISSION</w:t>
      </w:r>
    </w:p>
    <w:p>
      <w:pPr>
        <w:ind w:left="45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2797810</wp:posOffset>
            </wp:positionH>
            <wp:positionV relativeFrom="paragraph">
              <wp:posOffset>130175</wp:posOffset>
            </wp:positionV>
            <wp:extent cx="166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0525" cy="8255"/>
                    </a:xfrm>
                    <a:prstGeom prst="rect">
                      <a:avLst/>
                    </a:prstGeom>
                    <a:noFill/>
                  </pic:spPr>
                </pic:pic>
              </a:graphicData>
            </a:graphic>
          </wp:anchor>
        </w:drawing>
      </w:r>
    </w:p>
    <w:p>
      <w:pPr>
        <w:spacing w:after="0" w:line="324" w:lineRule="exact"/>
        <w:rPr>
          <w:sz w:val="24"/>
          <w:szCs w:val="24"/>
          <w:color w:val="auto"/>
        </w:rPr>
      </w:pPr>
    </w:p>
    <w:p>
      <w:pPr>
        <w:ind w:left="4960"/>
        <w:spacing w:after="0"/>
        <w:rPr>
          <w:sz w:val="20"/>
          <w:szCs w:val="20"/>
          <w:color w:val="auto"/>
        </w:rPr>
      </w:pPr>
      <w:r>
        <w:rPr>
          <w:rFonts w:ascii="Arial" w:cs="Arial" w:eastAsia="Arial" w:hAnsi="Arial"/>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2797810</wp:posOffset>
            </wp:positionH>
            <wp:positionV relativeFrom="paragraph">
              <wp:posOffset>152400</wp:posOffset>
            </wp:positionV>
            <wp:extent cx="166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0525" cy="8255"/>
                    </a:xfrm>
                    <a:prstGeom prst="rect">
                      <a:avLst/>
                    </a:prstGeom>
                    <a:noFill/>
                  </pic:spPr>
                </pic:pic>
              </a:graphicData>
            </a:graphic>
          </wp:anchor>
        </w:drawing>
      </w:r>
    </w:p>
    <w:p>
      <w:pPr>
        <w:spacing w:after="0" w:line="347" w:lineRule="exact"/>
        <w:rPr>
          <w:sz w:val="24"/>
          <w:szCs w:val="24"/>
          <w:color w:val="auto"/>
        </w:rPr>
      </w:pPr>
    </w:p>
    <w:p>
      <w:pPr>
        <w:jc w:val="center"/>
        <w:ind w:right="-499"/>
        <w:spacing w:after="0"/>
        <w:rPr>
          <w:sz w:val="20"/>
          <w:szCs w:val="20"/>
          <w:color w:val="auto"/>
        </w:rPr>
      </w:pPr>
      <w:r>
        <w:rPr>
          <w:rFonts w:ascii="Arial" w:cs="Arial" w:eastAsia="Arial" w:hAnsi="Arial"/>
          <w:sz w:val="20"/>
          <w:szCs w:val="20"/>
          <w:b w:val="1"/>
          <w:bCs w:val="1"/>
          <w:color w:val="auto"/>
        </w:rPr>
        <w:t>REPORT OF FOREIGN PRIVATE ISSUER</w:t>
      </w:r>
    </w:p>
    <w:p>
      <w:pPr>
        <w:spacing w:after="0" w:line="19" w:lineRule="exact"/>
        <w:rPr>
          <w:sz w:val="24"/>
          <w:szCs w:val="24"/>
          <w:color w:val="auto"/>
        </w:rPr>
      </w:pPr>
    </w:p>
    <w:p>
      <w:pPr>
        <w:jc w:val="center"/>
        <w:ind w:right="-499"/>
        <w:spacing w:after="0"/>
        <w:rPr>
          <w:sz w:val="20"/>
          <w:szCs w:val="20"/>
          <w:color w:val="auto"/>
        </w:rPr>
      </w:pPr>
      <w:r>
        <w:rPr>
          <w:rFonts w:ascii="Arial" w:cs="Arial" w:eastAsia="Arial" w:hAnsi="Arial"/>
          <w:sz w:val="20"/>
          <w:szCs w:val="20"/>
          <w:b w:val="1"/>
          <w:bCs w:val="1"/>
          <w:color w:val="auto"/>
        </w:rPr>
        <w:t>PURSUANT TO RULE 13a-16 OR 15d-16</w:t>
      </w:r>
    </w:p>
    <w:p>
      <w:pPr>
        <w:jc w:val="center"/>
        <w:ind w:right="-49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50"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November 2019</w:t>
      </w:r>
    </w:p>
    <w:p>
      <w:pPr>
        <w:spacing w:after="0" w:line="185" w:lineRule="exact"/>
        <w:rPr>
          <w:sz w:val="24"/>
          <w:szCs w:val="24"/>
          <w:color w:val="auto"/>
        </w:rPr>
      </w:pPr>
    </w:p>
    <w:p>
      <w:pPr>
        <w:ind w:left="4380"/>
        <w:spacing w:after="0"/>
        <w:rPr>
          <w:sz w:val="20"/>
          <w:szCs w:val="20"/>
          <w:color w:val="auto"/>
        </w:rPr>
      </w:pPr>
      <w:r>
        <w:rPr>
          <w:rFonts w:ascii="Arial" w:cs="Arial" w:eastAsia="Arial" w:hAnsi="Arial"/>
          <w:sz w:val="17"/>
          <w:szCs w:val="17"/>
          <w:b w:val="1"/>
          <w:bCs w:val="1"/>
          <w:color w:val="auto"/>
        </w:rPr>
        <w:t>Commission File Number: 001-35158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2797810</wp:posOffset>
            </wp:positionH>
            <wp:positionV relativeFrom="paragraph">
              <wp:posOffset>144145</wp:posOffset>
            </wp:positionV>
            <wp:extent cx="1660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0525" cy="8255"/>
                    </a:xfrm>
                    <a:prstGeom prst="rect">
                      <a:avLst/>
                    </a:prstGeom>
                    <a:noFill/>
                  </pic:spPr>
                </pic:pic>
              </a:graphicData>
            </a:graphic>
          </wp:anchor>
        </w:drawing>
      </w:r>
    </w:p>
    <w:p>
      <w:pPr>
        <w:spacing w:after="0" w:line="345" w:lineRule="exact"/>
        <w:rPr>
          <w:sz w:val="24"/>
          <w:szCs w:val="24"/>
          <w:color w:val="auto"/>
        </w:rPr>
      </w:pPr>
    </w:p>
    <w:p>
      <w:pPr>
        <w:ind w:left="2520"/>
        <w:spacing w:after="0"/>
        <w:rPr>
          <w:sz w:val="20"/>
          <w:szCs w:val="20"/>
          <w:color w:val="auto"/>
        </w:rPr>
      </w:pPr>
      <w:r>
        <w:rPr>
          <w:rFonts w:ascii="Arial" w:cs="Arial" w:eastAsia="Arial" w:hAnsi="Arial"/>
          <w:sz w:val="41"/>
          <w:szCs w:val="41"/>
          <w:b w:val="1"/>
          <w:bCs w:val="1"/>
          <w:color w:val="auto"/>
        </w:rPr>
        <w:t>PHOENIX NEW MEDIA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2797810</wp:posOffset>
            </wp:positionH>
            <wp:positionV relativeFrom="paragraph">
              <wp:posOffset>153035</wp:posOffset>
            </wp:positionV>
            <wp:extent cx="1660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0525" cy="8255"/>
                    </a:xfrm>
                    <a:prstGeom prst="rect">
                      <a:avLst/>
                    </a:prstGeom>
                    <a:noFill/>
                  </pic:spPr>
                </pic:pic>
              </a:graphicData>
            </a:graphic>
          </wp:anchor>
        </w:drawing>
      </w:r>
    </w:p>
    <w:p>
      <w:pPr>
        <w:spacing w:after="0" w:line="382"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Sinolight Plaza, Floor 16</w:t>
      </w:r>
    </w:p>
    <w:p>
      <w:pPr>
        <w:spacing w:after="0" w:line="23"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No. 4 Qiyang Road</w:t>
      </w:r>
    </w:p>
    <w:p>
      <w:pPr>
        <w:spacing w:after="0" w:line="8"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Wangjing, Chaoyang District, Beijing, 100102</w:t>
      </w:r>
    </w:p>
    <w:p>
      <w:pPr>
        <w:spacing w:after="0" w:line="8"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People’s Republic of China</w:t>
      </w:r>
    </w:p>
    <w:p>
      <w:pPr>
        <w:spacing w:after="0" w:line="2"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2797810</wp:posOffset>
            </wp:positionH>
            <wp:positionV relativeFrom="paragraph">
              <wp:posOffset>135890</wp:posOffset>
            </wp:positionV>
            <wp:extent cx="166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0525" cy="8255"/>
                    </a:xfrm>
                    <a:prstGeom prst="rect">
                      <a:avLst/>
                    </a:prstGeom>
                    <a:noFill/>
                  </pic:spPr>
                </pic:pic>
              </a:graphicData>
            </a:graphic>
          </wp:anchor>
        </w:drawing>
      </w:r>
    </w:p>
    <w:p>
      <w:pPr>
        <w:spacing w:after="0" w:line="35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Form 20-F or Form 40-F.</w:t>
      </w:r>
    </w:p>
    <w:p>
      <w:pPr>
        <w:spacing w:after="0" w:line="140" w:lineRule="exact"/>
        <w:rPr>
          <w:sz w:val="24"/>
          <w:szCs w:val="24"/>
          <w:color w:val="auto"/>
        </w:rPr>
      </w:pPr>
    </w:p>
    <w:p>
      <w:pPr>
        <w:ind w:left="4440"/>
        <w:spacing w:after="0" w:line="196" w:lineRule="exact"/>
        <w:tabs>
          <w:tab w:leader="none" w:pos="5300" w:val="left"/>
          <w:tab w:leader="none" w:pos="6020" w:val="left"/>
        </w:tabs>
        <w:rPr>
          <w:sz w:val="20"/>
          <w:szCs w:val="20"/>
          <w:color w:val="auto"/>
        </w:rPr>
      </w:pPr>
      <w:r>
        <w:rPr>
          <w:rFonts w:ascii="Arial" w:cs="Arial" w:eastAsia="Arial" w:hAnsi="Arial"/>
          <w:sz w:val="17"/>
          <w:szCs w:val="17"/>
          <w:color w:val="auto"/>
        </w:rPr>
        <w:t>Form 20-F</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17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5"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07" w:lineRule="exact"/>
        <w:rPr>
          <w:sz w:val="24"/>
          <w:szCs w:val="24"/>
          <w:color w:val="auto"/>
        </w:rPr>
      </w:pPr>
    </w:p>
    <w:p>
      <w:pPr>
        <w:ind w:left="5000"/>
        <w:spacing w:after="0" w:line="196" w:lineRule="exact"/>
        <w:tabs>
          <w:tab w:leader="none" w:pos="59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4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165735</wp:posOffset>
            </wp:positionV>
            <wp:extent cx="7254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483870</wp:posOffset>
            </wp:positionV>
            <wp:extent cx="729615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0920"/>
          </w:cols>
          <w:pgMar w:left="240" w:top="202" w:right="739" w:bottom="1440" w:gutter="0" w:footer="0" w:header="0"/>
        </w:sectPr>
      </w:pPr>
    </w:p>
    <w:bookmarkStart w:id="1" w:name="page2"/>
    <w:bookmarkEnd w:id="1"/>
    <w:p>
      <w:pPr>
        <w:ind w:left="4860"/>
        <w:spacing w:after="0"/>
        <w:rPr>
          <w:sz w:val="20"/>
          <w:szCs w:val="20"/>
          <w:color w:val="auto"/>
        </w:rPr>
      </w:pPr>
      <w:r>
        <w:rPr>
          <w:rFonts w:ascii="Arial" w:cs="Arial" w:eastAsia="Arial" w:hAnsi="Arial"/>
          <w:sz w:val="17"/>
          <w:szCs w:val="17"/>
          <w:color w:val="auto"/>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Exhibit 99.1 — </w:t>
      </w:r>
      <w:r>
        <w:rPr>
          <w:rFonts w:ascii="Arial" w:cs="Arial" w:eastAsia="Arial" w:hAnsi="Arial"/>
          <w:sz w:val="15"/>
          <w:szCs w:val="15"/>
          <w:u w:val="single" w:color="auto"/>
          <w:color w:val="auto"/>
        </w:rPr>
        <w:t>Press release: Phoenix New Media Reports Third Quarter 2019 Unaudited Financial Results</w:t>
      </w:r>
    </w:p>
    <w:p>
      <w:pPr>
        <w:spacing w:after="0" w:line="200" w:lineRule="exact"/>
        <w:rPr>
          <w:sz w:val="20"/>
          <w:szCs w:val="20"/>
          <w:color w:val="auto"/>
        </w:rPr>
      </w:pPr>
    </w:p>
    <w:p>
      <w:pPr>
        <w:spacing w:after="0" w:line="23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15" w:lineRule="exact"/>
        <w:rPr>
          <w:sz w:val="20"/>
          <w:szCs w:val="20"/>
          <w:color w:val="auto"/>
        </w:rPr>
      </w:pPr>
    </w:p>
    <w:p>
      <w:pPr>
        <w:ind w:right="180" w:firstLine="674"/>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PHOENIX NEW MEDIA LIMITED</w:t>
      </w:r>
    </w:p>
    <w:p>
      <w:pPr>
        <w:spacing w:after="0" w:line="24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7"/>
                <w:szCs w:val="17"/>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Betty Yip Ho</w:t>
            </w:r>
          </w:p>
        </w:tc>
      </w:tr>
      <w:tr>
        <w:trPr>
          <w:trHeight w:val="220"/>
        </w:trPr>
        <w:tc>
          <w:tcPr>
            <w:tcW w:w="800" w:type="dxa"/>
            <w:vAlign w:val="bottom"/>
          </w:tcPr>
          <w:p>
            <w:pPr>
              <w:spacing w:after="0"/>
              <w:rPr>
                <w:sz w:val="20"/>
                <w:szCs w:val="20"/>
                <w:color w:val="auto"/>
              </w:rPr>
            </w:pPr>
            <w:r>
              <w:rPr>
                <w:rFonts w:ascii="Arial" w:cs="Arial" w:eastAsia="Arial" w:hAnsi="Arial"/>
                <w:sz w:val="17"/>
                <w:szCs w:val="17"/>
                <w:color w:val="auto"/>
              </w:rPr>
              <w:t>Name:</w:t>
            </w:r>
          </w:p>
        </w:tc>
        <w:tc>
          <w:tcPr>
            <w:tcW w:w="4220" w:type="dxa"/>
            <w:vAlign w:val="bottom"/>
          </w:tcPr>
          <w:p>
            <w:pPr>
              <w:spacing w:after="0"/>
              <w:rPr>
                <w:sz w:val="20"/>
                <w:szCs w:val="20"/>
                <w:color w:val="auto"/>
              </w:rPr>
            </w:pPr>
            <w:r>
              <w:rPr>
                <w:rFonts w:ascii="Arial" w:cs="Arial" w:eastAsia="Arial" w:hAnsi="Arial"/>
                <w:sz w:val="17"/>
                <w:szCs w:val="17"/>
                <w:color w:val="auto"/>
              </w:rPr>
              <w:t>Betty Yip Ho</w:t>
            </w:r>
          </w:p>
        </w:tc>
      </w:tr>
      <w:tr>
        <w:trPr>
          <w:trHeight w:val="216"/>
        </w:trPr>
        <w:tc>
          <w:tcPr>
            <w:tcW w:w="800" w:type="dxa"/>
            <w:vAlign w:val="bottom"/>
          </w:tcPr>
          <w:p>
            <w:pPr>
              <w:spacing w:after="0"/>
              <w:rPr>
                <w:sz w:val="20"/>
                <w:szCs w:val="20"/>
                <w:color w:val="auto"/>
              </w:rPr>
            </w:pPr>
            <w:r>
              <w:rPr>
                <w:rFonts w:ascii="Arial" w:cs="Arial" w:eastAsia="Arial" w:hAnsi="Arial"/>
                <w:sz w:val="17"/>
                <w:szCs w:val="17"/>
                <w:color w:val="auto"/>
              </w:rPr>
              <w:t>Title:</w:t>
            </w:r>
          </w:p>
        </w:tc>
        <w:tc>
          <w:tcPr>
            <w:tcW w:w="42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12,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Phoenix New Media Reports Third Quarter 2019 Unaudited Financial Results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Live Conference Call to be Held at 8:00 PM U.S. Eastern Time on November 11, 2019</w:t>
      </w:r>
    </w:p>
    <w:p>
      <w:pPr>
        <w:spacing w:after="0" w:line="99"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color w:val="auto"/>
        </w:rPr>
        <w:t>BEIJING, China, November 12, 2019 – Phoenix New Media Limited (NYSE: FENG) (“Phoenix New Media”, “ifeng” or the “Company”), a leading new media company in China, today announced its unaudited financial results for the third quarter ended September 30, 2019.</w:t>
      </w:r>
    </w:p>
    <w:p>
      <w:pPr>
        <w:spacing w:after="0" w:line="4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Mr. Shuang Liu, CEO of Phoenix New Media, commented, “Despite the continuing macroeconomic headwinds, we have been able to revitalize and sustain the growth of our businesses. Leveraging our continued professional journalism and by combining our seasoned editorial daily picks and AI-powered recommendation engine, we have improved our user acquisition, retention, and engagement rates. During the third quarter, we upgraded our iFeng app, expanded our proprietary content library, advanced our in-house production capability, and enhanced our vertical channels. As a result, we sharpened our competitive edge and cultivated our monetization potential. While we continue to optimize our cost structure, the first tranche of proceeds from the Yidian transaction has provided us with sufficient working capital to fuel our long-term growth engine. Looking ahead, we are confident that we have the right team, strategy, and knowhow to adapt to the changing market dynamics and thrive in the new media industry.”</w:t>
      </w:r>
    </w:p>
    <w:p>
      <w:pPr>
        <w:spacing w:after="0" w:line="56" w:lineRule="exact"/>
        <w:rPr>
          <w:sz w:val="20"/>
          <w:szCs w:val="20"/>
          <w:color w:val="auto"/>
        </w:rPr>
      </w:pPr>
    </w:p>
    <w:p>
      <w:pPr>
        <w:ind w:right="260"/>
        <w:spacing w:after="0" w:line="242" w:lineRule="auto"/>
        <w:rPr>
          <w:sz w:val="20"/>
          <w:szCs w:val="20"/>
          <w:color w:val="auto"/>
        </w:rPr>
      </w:pPr>
      <w:r>
        <w:rPr>
          <w:rFonts w:ascii="Arial" w:cs="Arial" w:eastAsia="Arial" w:hAnsi="Arial"/>
          <w:sz w:val="19"/>
          <w:szCs w:val="19"/>
          <w:color w:val="auto"/>
        </w:rPr>
        <w:t>Ms. Betty Ho, CFO of Phoenix New Media, further stated, “In the third quarter of 2019, our total revenues increased by 15.4% year-over-year, out of which, total net advertising revenues increased by 16.4% and total paid services revenues increased by 10.0% year-over-year, mainly driven by the consolidation of revenues from Tianbo and Tadu. As I pass the financial leadership role to our next CFO, Edward Lu, we are confident that as we continuing to optimize our product, to strengthen our content initiatives, and with the adequate working capital resources, we are well positioned for a renewed growth cycle.”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Third Quarter 2019 Financial Results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revenues for the third quarter of 2019 were RMB380.2 million (US$53.2 million), representing an increase of 15.4% from RMB329.3 million in the third quarter of 2018. The increase was caused by the addition of consolidated revenues of RMB40.3 million (US$5.6 million) in the third quarter of 2019 from Beijing Yitian Xindong Network Technology Co., Ltd. (“Yitian Xindong” or “Tadu”), which has been consolidated starting from December 28, 2018 and the consolidated revenues of RMB80.1 million (US$11.2 million) in the third quarter of 2019 from Beijing Fenghuang Tianbo Network Technology Co., Ltd. (“Tianbo”), which has been consolidated starting from April 1, 2019.</w:t>
      </w:r>
    </w:p>
    <w:p>
      <w:pPr>
        <w:spacing w:after="0" w:line="165"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Net advertising revenues for the third quarter of 2019 were RMB327.6 million (US$45.8 million), representing an increase of 16.4% from RMB281.5 million in the third quarter of 2018. The increase was primarily attributable to the consolidation of advertising revenues from Tianbo and Tadu. The Company’s net advertising revenues from traditional business decreased by 16.2% due to the macroeconomic uncertainties and increased competitions.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99" w:right="239" w:bottom="1440" w:gutter="0" w:footer="0" w:header="0"/>
        </w:sectPr>
      </w:pPr>
    </w:p>
    <w:bookmarkStart w:id="4" w:name="page5"/>
    <w:bookmarkEnd w:id="4"/>
    <w:p>
      <w:pPr>
        <w:ind w:right="20"/>
        <w:spacing w:after="0" w:line="268" w:lineRule="auto"/>
        <w:rPr>
          <w:sz w:val="20"/>
          <w:szCs w:val="20"/>
          <w:color w:val="auto"/>
        </w:rPr>
      </w:pPr>
      <w:r>
        <w:rPr>
          <w:rFonts w:ascii="Arial" w:cs="Arial" w:eastAsia="Arial" w:hAnsi="Arial"/>
          <w:sz w:val="17"/>
          <w:szCs w:val="17"/>
          <w:color w:val="auto"/>
        </w:rPr>
        <w:t>Paid services revenues</w:t>
      </w:r>
      <w:r>
        <w:rPr>
          <w:rFonts w:ascii="Arial" w:cs="Arial" w:eastAsia="Arial" w:hAnsi="Arial"/>
          <w:sz w:val="13"/>
          <w:szCs w:val="13"/>
          <w:color w:val="auto"/>
        </w:rPr>
        <w:t>1</w:t>
      </w:r>
      <w:r>
        <w:rPr>
          <w:rFonts w:ascii="Arial" w:cs="Arial" w:eastAsia="Arial" w:hAnsi="Arial"/>
          <w:sz w:val="17"/>
          <w:szCs w:val="17"/>
          <w:color w:val="auto"/>
        </w:rPr>
        <w:t xml:space="preserve"> for the third quarter of 2019 were RMB52.6 million (US$7.4 million), which represented an increase of 10.0% from RMB47.8 million in the third quarter of 2018. Revenues from paid contents for the third quarter of 2019 increased by 39.5% to RMB39.2 million (US $5.5 million) from RMB28.1 million in the third quarter of 2018, primarily attributable to the consolidation of digital reading revenues from Tadu, which was partially offset by a decrease in the Company’s traditional digital reading business due to the regulatory tightening on digital reading sector in China. Revenues from games for the third quarter of 2019 were RMB2.5 million (US $0.3 million), which represented a decrease of 27.8% from RMB3.4 million in the third quarter of 2018. Revenues from MVAS for the third quarter of 2019 were RMB1.7 million (US$0.2 million), which represented a decrease of</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color w:val="auto"/>
        </w:rPr>
        <w:t>84.7% from RMB10.8 million in the third quarter of 2018. Revenues from others for the third quarter of 2019 increased to RMB9.2 million (US$1.4 million) from RMB5.5 million in the third quarter of 2018, representing an increase of 68.6% year-over-year, which was mainly caused by the increase in revenues from E-commerce and online real estate related services.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COST OF REVENUES</w:t>
      </w:r>
    </w:p>
    <w:p>
      <w:pPr>
        <w:spacing w:after="0" w:line="99"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auto"/>
        </w:rPr>
        <w:t>Cost of revenues for the third quarter of 2019 was RMB194.3 million (US $27.2 million), representing an increase of 27.6% from RMB152.2 million in the third quarter of 2018. The increase in cost of revenues was mainly due to the following:</w:t>
      </w:r>
    </w:p>
    <w:p>
      <w:pPr>
        <w:spacing w:after="0" w:line="63" w:lineRule="exact"/>
        <w:rPr>
          <w:sz w:val="20"/>
          <w:szCs w:val="20"/>
          <w:color w:val="auto"/>
        </w:rPr>
      </w:pPr>
    </w:p>
    <w:p>
      <w:pPr>
        <w:ind w:left="900" w:right="40" w:hanging="454"/>
        <w:spacing w:after="0" w:line="28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Content and operational costs for the third quarter of 2019 increased to RMB161.6 million (US$22.7 million) from RMB123.2 million in the third quarter of 2018, primarily attributable to the consolidation of content and operational costs of Tianbo and Tadu.</w:t>
      </w:r>
    </w:p>
    <w:p>
      <w:pPr>
        <w:spacing w:after="0" w:line="41" w:lineRule="exact"/>
        <w:rPr>
          <w:rFonts w:ascii="Arial" w:cs="Arial" w:eastAsia="Arial" w:hAnsi="Arial"/>
          <w:sz w:val="18"/>
          <w:szCs w:val="18"/>
          <w:color w:val="auto"/>
        </w:rPr>
      </w:pPr>
    </w:p>
    <w:p>
      <w:pPr>
        <w:jc w:val="both"/>
        <w:ind w:left="900" w:right="40" w:hanging="454"/>
        <w:spacing w:after="0" w:line="247" w:lineRule="auto"/>
        <w:tabs>
          <w:tab w:leader="none" w:pos="900" w:val="left"/>
        </w:tabs>
        <w:numPr>
          <w:ilvl w:val="0"/>
          <w:numId w:val="1"/>
        </w:numPr>
        <w:rPr>
          <w:rFonts w:ascii="Arial" w:cs="Arial" w:eastAsia="Arial" w:hAnsi="Arial"/>
          <w:sz w:val="19"/>
          <w:szCs w:val="19"/>
          <w:color w:val="auto"/>
        </w:rPr>
      </w:pPr>
      <w:r>
        <w:rPr>
          <w:rFonts w:ascii="Arial" w:cs="Arial" w:eastAsia="Arial" w:hAnsi="Arial"/>
          <w:sz w:val="19"/>
          <w:szCs w:val="19"/>
          <w:color w:val="auto"/>
        </w:rPr>
        <w:t>Revenue sharing fees to telecom operators and channel partners for the third quarter of 2019 increased to RMB17.4 million (US$2.4 million) from RMB14.3 million in the third quarter of 2018, primarily attributable to the increase in revenue sharing fees paid to content providers by Tadu.</w:t>
      </w:r>
    </w:p>
    <w:p>
      <w:pPr>
        <w:spacing w:after="0" w:line="74" w:lineRule="exact"/>
        <w:rPr>
          <w:rFonts w:ascii="Arial" w:cs="Arial" w:eastAsia="Arial" w:hAnsi="Arial"/>
          <w:sz w:val="19"/>
          <w:szCs w:val="19"/>
          <w:color w:val="auto"/>
        </w:rPr>
      </w:pPr>
    </w:p>
    <w:p>
      <w:pPr>
        <w:ind w:left="900" w:right="120" w:hanging="454"/>
        <w:spacing w:after="0" w:line="258" w:lineRule="auto"/>
        <w:tabs>
          <w:tab w:leader="none" w:pos="900" w:val="left"/>
        </w:tabs>
        <w:numPr>
          <w:ilvl w:val="0"/>
          <w:numId w:val="1"/>
        </w:numPr>
        <w:rPr>
          <w:rFonts w:ascii="Arial" w:cs="Arial" w:eastAsia="Arial" w:hAnsi="Arial"/>
          <w:sz w:val="19"/>
          <w:szCs w:val="19"/>
          <w:color w:val="auto"/>
        </w:rPr>
      </w:pPr>
      <w:r>
        <w:rPr>
          <w:rFonts w:ascii="Arial" w:cs="Arial" w:eastAsia="Arial" w:hAnsi="Arial"/>
          <w:sz w:val="19"/>
          <w:szCs w:val="19"/>
          <w:color w:val="auto"/>
        </w:rPr>
        <w:t>Bandwidth costs for the third quarter of 2019 increased to RMB15.3 million (US$2.1 million) from RMB14.7 million in the third quarter of 2018.</w:t>
      </w:r>
    </w:p>
    <w:p>
      <w:pPr>
        <w:spacing w:after="0" w:line="63" w:lineRule="exact"/>
        <w:rPr>
          <w:rFonts w:ascii="Arial" w:cs="Arial" w:eastAsia="Arial" w:hAnsi="Arial"/>
          <w:sz w:val="19"/>
          <w:szCs w:val="19"/>
          <w:color w:val="auto"/>
        </w:rPr>
      </w:pPr>
    </w:p>
    <w:p>
      <w:pPr>
        <w:ind w:left="900" w:right="40" w:hanging="454"/>
        <w:spacing w:after="0" w:line="244" w:lineRule="auto"/>
        <w:tabs>
          <w:tab w:leader="none" w:pos="900" w:val="left"/>
        </w:tabs>
        <w:numPr>
          <w:ilvl w:val="0"/>
          <w:numId w:val="1"/>
        </w:numPr>
        <w:rPr>
          <w:rFonts w:ascii="Arial" w:cs="Arial" w:eastAsia="Arial" w:hAnsi="Arial"/>
          <w:sz w:val="19"/>
          <w:szCs w:val="19"/>
          <w:color w:val="auto"/>
        </w:rPr>
      </w:pPr>
      <w:r>
        <w:rPr>
          <w:rFonts w:ascii="Arial" w:cs="Arial" w:eastAsia="Arial" w:hAnsi="Arial"/>
          <w:sz w:val="19"/>
          <w:szCs w:val="19"/>
          <w:color w:val="auto"/>
        </w:rPr>
        <w:t>Share-based compensation included in cost of revenues was RMB1.9 million (US$0.3 million) in the third quarter of 2019, as compared to RMB0.4 million the third quarter of 2018, primarily attributable to the restricted share units newly granted to some employees in 2019 under the restricted share unit scheme adopted in 2018 by Fread Limited, a subsidiary of the Company, and the options newly granted by the Company in July 2019.</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GROSS PROFIT</w:t>
      </w:r>
    </w:p>
    <w:p>
      <w:pPr>
        <w:spacing w:after="0" w:line="99" w:lineRule="exact"/>
        <w:rPr>
          <w:sz w:val="20"/>
          <w:szCs w:val="20"/>
          <w:color w:val="auto"/>
        </w:rPr>
      </w:pPr>
    </w:p>
    <w:p>
      <w:pPr>
        <w:jc w:val="both"/>
        <w:ind w:right="80"/>
        <w:spacing w:after="0" w:line="290" w:lineRule="auto"/>
        <w:rPr>
          <w:sz w:val="20"/>
          <w:szCs w:val="20"/>
          <w:color w:val="auto"/>
        </w:rPr>
      </w:pPr>
      <w:r>
        <w:rPr>
          <w:rFonts w:ascii="Arial" w:cs="Arial" w:eastAsia="Arial" w:hAnsi="Arial"/>
          <w:sz w:val="17"/>
          <w:szCs w:val="17"/>
          <w:color w:val="auto"/>
        </w:rPr>
        <w:t>Gross profit for the third quarter of 2019 increased to RMB186.0 million (US$26.0 million) from RMB177.1 million in the third quarter of 2018. Gross margin for the third quarter of 2019 decreased to 48.9% from 53.8% in the third quarter of 2018, mainly attributable to a decrease in gross margin of the Company’s traditional advertising business and the acquisition of Tadu, partially offset by the margin contribution from Tianbo.</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To supplement the financial measures presented in accordance with the United States Generally Accepted Accounting Principles (“GAAP”), the Company has presented certain non-GAAP financial measures in this press release, which excludes the impact of certain reconciling items as stated in the “Use of Non-GAAP Financial Measures” section below. The related reconciliations to GAAP financial measures are presented in the accompanying “Reconciliations of Non-GAAP Results of Operation Measures to the Nearest Comparable GAAP Measures.”</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Non-GAAP gross margin for the third quarter of 2019, which excluded share-based compensation, decreased to 49.4% from 53.9% in the third quarter of 2018.</w:t>
      </w:r>
    </w:p>
    <w:p>
      <w:pPr>
        <w:spacing w:after="0" w:line="114" w:lineRule="exact"/>
        <w:rPr>
          <w:sz w:val="20"/>
          <w:szCs w:val="20"/>
          <w:color w:val="auto"/>
        </w:rPr>
      </w:pPr>
    </w:p>
    <w:p>
      <w:pPr>
        <w:ind w:left="460" w:hanging="458"/>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8"/>
          <w:szCs w:val="18"/>
          <w:color w:val="auto"/>
        </w:rPr>
        <w:t>Prior to 2019, paid services revenues comprised of (i) revenues from digital entertainment, which included MVAS and digital reading, and</w:t>
      </w:r>
    </w:p>
    <w:p>
      <w:pPr>
        <w:spacing w:after="0" w:line="24" w:lineRule="exact"/>
        <w:rPr>
          <w:rFonts w:ascii="Arial" w:cs="Arial" w:eastAsia="Arial" w:hAnsi="Arial"/>
          <w:sz w:val="15"/>
          <w:szCs w:val="15"/>
          <w:color w:val="auto"/>
        </w:rPr>
      </w:pPr>
    </w:p>
    <w:p>
      <w:pPr>
        <w:ind w:left="460" w:right="300"/>
        <w:spacing w:after="0" w:line="237" w:lineRule="auto"/>
        <w:rPr>
          <w:rFonts w:ascii="Arial" w:cs="Arial" w:eastAsia="Arial" w:hAnsi="Arial"/>
          <w:sz w:val="15"/>
          <w:szCs w:val="15"/>
          <w:color w:val="auto"/>
        </w:rPr>
      </w:pPr>
      <w:r>
        <w:rPr>
          <w:rFonts w:ascii="Arial" w:cs="Arial" w:eastAsia="Arial" w:hAnsi="Arial"/>
          <w:sz w:val="19"/>
          <w:szCs w:val="19"/>
          <w:color w:val="auto"/>
        </w:rPr>
        <w:t>(ii) revenues from games and others, which included web-based games, mobile games, content sales, and other online and mobile paid services through the Company’s own platforms.</w:t>
      </w:r>
    </w:p>
    <w:p>
      <w:pPr>
        <w:ind w:left="460" w:right="60"/>
        <w:spacing w:after="0" w:line="238" w:lineRule="auto"/>
        <w:rPr>
          <w:rFonts w:ascii="Arial" w:cs="Arial" w:eastAsia="Arial" w:hAnsi="Arial"/>
          <w:sz w:val="15"/>
          <w:szCs w:val="15"/>
          <w:color w:val="auto"/>
        </w:rPr>
      </w:pPr>
      <w:r>
        <w:rPr>
          <w:rFonts w:ascii="Arial" w:cs="Arial" w:eastAsia="Arial" w:hAnsi="Arial"/>
          <w:sz w:val="19"/>
          <w:szCs w:val="19"/>
          <w:color w:val="auto"/>
        </w:rPr>
        <w:t>Beginning from January 1, 2019, paid services revenues have been re-classified and now comprised of (i) revenues from paid contents, which includes digital reading, audio books, paid videos, and other content-related sales activities, (ii) revenues from games, which includes web-based games and mobile games, (iii) revenues from MVAS, and (iv) revenues from others. For comparison purposes, the revenues from paid services for the quarters of 2018 have been retrospectively re-classified.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-968375</wp:posOffset>
            </wp:positionV>
            <wp:extent cx="1450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i w:val="1"/>
          <w:iCs w:val="1"/>
          <w:color w:val="auto"/>
        </w:rPr>
        <w:t>OPERATING EXPENSES OR GAINS AND LOSS FROM OPERATIONS</w:t>
      </w:r>
    </w:p>
    <w:p>
      <w:pPr>
        <w:spacing w:after="0" w:line="9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operating expenses for the third quarter of 2019 decreased by 15.8% to RMB196.7 million (US$27.5 million) from RMB233.7 million in the third quarter of 2018, primarily attributable to the gain of RMB62.1 million arising from the changes in fair value of financial assets-contingent returnable consideration and a decrease in bad debt provision primarily caused by the collection of previously fully-reserved receivables of RMB16.2 million in the third quarter of 2019, which was partially offset by the consolidation of operating expenses from Tianbo and Tadu. Share-based compensation included in operating expenses was RMB3.4 million (US$0.5 million) in the third quarter of 2019, as compared to RMB2.1 million in the third quarter of 2018, mainly caused by the options newly granted by the Company in July 2019.</w:t>
      </w:r>
    </w:p>
    <w:p>
      <w:pPr>
        <w:spacing w:after="0" w:line="10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Changes in fair value of financial assets-contingent returnable consideration for the third quarter of 2019 was a gain of RMB62.1 million (US$8.7 million), which represented the changes in fair value of the Company’s right to receive the contingent returnable consideration in relation to the acquisition of Tadu, subject to certain price adjustment mechanisms based on Tadu’s operating and financial performance in 2019 and 2020. The Company recorded the financial assets-contingent returnable consideration as prepayments and other current assets in the balance sheet. Based on Tadu’s estimated operating and financial performance in 2019, the Company adjusted the fair value of financial assets-contingent returnable consideration and recognized the changes in fair value in the consolidated statements of comprehensive income/(loss) in the third quarter of 2019.</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Loss from operations for the third quarter of 2019 was RMB10.8 million (US$1.5 million), as compared to RMB56.6 million in the third quarter of 2018.</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Operating margin for the third quarter of 2019 was negative 2.8%, as compared to negative 17.2% in the third quarter of 2018.</w:t>
      </w:r>
    </w:p>
    <w:p>
      <w:pPr>
        <w:spacing w:after="0" w:line="1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Non-GAAP loss from operations for the third quarter of 2019, which excluded share-based compensation and changes in fair value of financial assets-contingent returnable consideration, was RMB67.6 million (US$9.5 million), as compared to RMB54.0 million in the third quarter of 2018. Non-GAAP operating margin for the third quarter of 2019, which excluded share-based compensation and changes in fair value of financial assets-contingent returnable consideration, was negative 17.8%, as compared to negative 16.4% in the third quarter of 2018.</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OR LOSS</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Other income or loss reflects interest income, interest expense, foreign currency exchange gain, income or loss from equity method investments, net of impairments, gain on disposal of convertible loans due from a related party and others, net</w:t>
      </w:r>
      <w:r>
        <w:rPr>
          <w:rFonts w:ascii="Arial" w:cs="Arial" w:eastAsia="Arial" w:hAnsi="Arial"/>
          <w:sz w:val="14"/>
          <w:szCs w:val="14"/>
          <w:color w:val="auto"/>
        </w:rPr>
        <w:t>2</w:t>
      </w:r>
      <w:r>
        <w:rPr>
          <w:rFonts w:ascii="Arial" w:cs="Arial" w:eastAsia="Arial" w:hAnsi="Arial"/>
          <w:sz w:val="18"/>
          <w:szCs w:val="18"/>
          <w:color w:val="auto"/>
        </w:rPr>
        <w:t>. Total net other income for the third quarter of 2019 was RMB19.6 million (US$2.7 million), as compared to RMB35.9 million in the third quarter of 2018.</w:t>
      </w:r>
    </w:p>
    <w:p>
      <w:pPr>
        <w:spacing w:after="0" w:line="56" w:lineRule="exact"/>
        <w:rPr>
          <w:sz w:val="20"/>
          <w:szCs w:val="20"/>
          <w:color w:val="auto"/>
        </w:rPr>
      </w:pPr>
    </w:p>
    <w:p>
      <w:pPr>
        <w:ind w:left="900" w:right="260" w:hanging="454"/>
        <w:spacing w:after="0" w:line="28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income for the third quarter of 2019 decreased to RMB8.1 million (US$1.1 million) from RMB12.3 million in the third quarter of 2018, primarily due to decrease in the loans granted to Particle, which were fully settled in the third quarter of 2018.</w:t>
      </w:r>
    </w:p>
    <w:p>
      <w:pPr>
        <w:spacing w:after="0" w:line="41" w:lineRule="exact"/>
        <w:rPr>
          <w:rFonts w:ascii="Arial" w:cs="Arial" w:eastAsia="Arial" w:hAnsi="Arial"/>
          <w:sz w:val="18"/>
          <w:szCs w:val="18"/>
          <w:color w:val="auto"/>
        </w:rPr>
      </w:pPr>
    </w:p>
    <w:p>
      <w:pPr>
        <w:jc w:val="both"/>
        <w:ind w:left="900" w:right="160" w:hanging="454"/>
        <w:spacing w:after="0" w:line="247" w:lineRule="auto"/>
        <w:tabs>
          <w:tab w:leader="none" w:pos="90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Interest expense for the third quarter of 2019 decreased to RMB0.3 million (US$0.04 million), from RMB3.1 million in the third quarter of 2018, which was primarily due to the decrease in outstanding short-term bank loans as the Company repaid all of the short-term bank loans in the second quarter of 2019.</w:t>
      </w:r>
    </w:p>
    <w:p>
      <w:pPr>
        <w:spacing w:after="0" w:line="74" w:lineRule="exact"/>
        <w:rPr>
          <w:rFonts w:ascii="Arial" w:cs="Arial" w:eastAsia="Arial" w:hAnsi="Arial"/>
          <w:sz w:val="19"/>
          <w:szCs w:val="19"/>
          <w:color w:val="auto"/>
        </w:rPr>
      </w:pPr>
    </w:p>
    <w:p>
      <w:pPr>
        <w:ind w:left="900" w:right="260" w:hanging="454"/>
        <w:spacing w:after="0" w:line="258" w:lineRule="auto"/>
        <w:tabs>
          <w:tab w:leader="none" w:pos="900" w:val="left"/>
        </w:tabs>
        <w:numPr>
          <w:ilvl w:val="0"/>
          <w:numId w:val="3"/>
        </w:numPr>
        <w:rPr>
          <w:rFonts w:ascii="Arial" w:cs="Arial" w:eastAsia="Arial" w:hAnsi="Arial"/>
          <w:sz w:val="19"/>
          <w:szCs w:val="19"/>
          <w:color w:val="auto"/>
        </w:rPr>
      </w:pPr>
      <w:r>
        <w:rPr>
          <w:rFonts w:ascii="Arial" w:cs="Arial" w:eastAsia="Arial" w:hAnsi="Arial"/>
          <w:sz w:val="19"/>
          <w:szCs w:val="19"/>
          <w:color w:val="auto"/>
        </w:rPr>
        <w:t>Foreign currency exchange gain for the third quarter of 2019 was RMB6.1 million (US$0.9 million), which remained unchanged from the third quarter of 2018.</w:t>
      </w:r>
    </w:p>
    <w:p>
      <w:pPr>
        <w:spacing w:after="0" w:line="63" w:lineRule="exact"/>
        <w:rPr>
          <w:rFonts w:ascii="Arial" w:cs="Arial" w:eastAsia="Arial" w:hAnsi="Arial"/>
          <w:sz w:val="19"/>
          <w:szCs w:val="19"/>
          <w:color w:val="auto"/>
        </w:rPr>
      </w:pPr>
    </w:p>
    <w:p>
      <w:pPr>
        <w:ind w:left="900" w:right="560" w:hanging="454"/>
        <w:spacing w:after="0" w:line="258" w:lineRule="auto"/>
        <w:tabs>
          <w:tab w:leader="none" w:pos="90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Income from equity method investments, net of impairments, for the third quarter of 2019 was nil, as compared to RMB4.2 million of income from equity method investments, net of impairments, in the third quarter of 2018.</w:t>
      </w:r>
    </w:p>
    <w:p>
      <w:pPr>
        <w:spacing w:after="0" w:line="63" w:lineRule="exact"/>
        <w:rPr>
          <w:rFonts w:ascii="Arial" w:cs="Arial" w:eastAsia="Arial" w:hAnsi="Arial"/>
          <w:sz w:val="19"/>
          <w:szCs w:val="19"/>
          <w:color w:val="auto"/>
        </w:rPr>
      </w:pPr>
    </w:p>
    <w:p>
      <w:pPr>
        <w:ind w:left="900" w:right="40" w:hanging="454"/>
        <w:spacing w:after="0" w:line="244" w:lineRule="auto"/>
        <w:tabs>
          <w:tab w:leader="none" w:pos="900" w:val="left"/>
        </w:tabs>
        <w:numPr>
          <w:ilvl w:val="0"/>
          <w:numId w:val="3"/>
        </w:numPr>
        <w:rPr>
          <w:rFonts w:ascii="Arial" w:cs="Arial" w:eastAsia="Arial" w:hAnsi="Arial"/>
          <w:sz w:val="19"/>
          <w:szCs w:val="19"/>
          <w:color w:val="auto"/>
        </w:rPr>
      </w:pPr>
      <w:r>
        <w:rPr>
          <w:rFonts w:ascii="Arial" w:cs="Arial" w:eastAsia="Arial" w:hAnsi="Arial"/>
          <w:sz w:val="19"/>
          <w:szCs w:val="19"/>
          <w:color w:val="auto"/>
        </w:rPr>
        <w:t>Gain on disposal of convertible loans due from a related party for the third quarter of 2018 was RMB10.6 million, which was derived from the completion of the assignment to Long De Cheng Zhang Culture Communication (Tianjin) Co., Ltd. of the Company’s rights under a loan to Particle Inc. with a principal amount of US$14.8 million originally granted in August 2016 and with the assignment price of approximately US$17.0 million. No such gain was recorded in the third quarter of 2019.</w:t>
      </w:r>
    </w:p>
    <w:p>
      <w:pPr>
        <w:spacing w:after="0" w:line="76" w:lineRule="exact"/>
        <w:rPr>
          <w:rFonts w:ascii="Arial" w:cs="Arial" w:eastAsia="Arial" w:hAnsi="Arial"/>
          <w:sz w:val="19"/>
          <w:szCs w:val="19"/>
          <w:color w:val="auto"/>
        </w:rPr>
      </w:pPr>
    </w:p>
    <w:p>
      <w:pPr>
        <w:ind w:left="900" w:hanging="454"/>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Others, net decreased to RMB5.7 million (US$0.8 million) in the third quarter of 2019 from RMB5.8 million in the third quarter of 2018.</w:t>
      </w:r>
    </w:p>
    <w:p>
      <w:pPr>
        <w:spacing w:after="0" w:line="173" w:lineRule="exact"/>
        <w:rPr>
          <w:sz w:val="20"/>
          <w:szCs w:val="20"/>
          <w:color w:val="auto"/>
        </w:rPr>
      </w:pPr>
    </w:p>
    <w:p>
      <w:pPr>
        <w:ind w:left="460" w:hanging="458"/>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9"/>
          <w:szCs w:val="19"/>
          <w:color w:val="auto"/>
        </w:rPr>
        <w:t>“Others, net” primarily consists of government subsidies and litigation loss provisions.</w:t>
      </w:r>
    </w:p>
    <w:p>
      <w:pPr>
        <w:spacing w:after="0" w:line="204"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14509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09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i w:val="1"/>
          <w:iCs w:val="1"/>
          <w:color w:val="auto"/>
        </w:rPr>
        <w:t>NET INCOME OR LOSS ATTRIBUTABLE TO PHOENIX NEW MEDIA LIMITED</w:t>
      </w:r>
    </w:p>
    <w:p>
      <w:pPr>
        <w:spacing w:after="0" w:line="99"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Higher effective tax rate in the third quarter of 2019 was mainly attributable to larger taxable profits for the Company’s subsidiaries as compared to the third quarter of 2018 after considering the valuation allowance of deferred tax assets. Net income attributable to Phoenix New Media Limited for the third quarter of 2019 was RMB5.9 million (US$0.8 million), as compared to net loss attributable to Phoenix New Media Limited of RMB16.6 million in the third quarter of 2018. Net margin for the third quarter of 2019 was positive 1.6%, as compared to negative 5.0% in the third quarter of 2018. Net income per diluted ADS</w:t>
      </w:r>
      <w:r>
        <w:rPr>
          <w:rFonts w:ascii="Arial" w:cs="Arial" w:eastAsia="Arial" w:hAnsi="Arial"/>
          <w:sz w:val="15"/>
          <w:szCs w:val="15"/>
          <w:color w:val="auto"/>
        </w:rPr>
        <w:t>3</w:t>
      </w:r>
      <w:r>
        <w:rPr>
          <w:rFonts w:ascii="Arial" w:cs="Arial" w:eastAsia="Arial" w:hAnsi="Arial"/>
          <w:sz w:val="19"/>
          <w:szCs w:val="19"/>
          <w:color w:val="auto"/>
        </w:rPr>
        <w:t xml:space="preserve"> in the third quarter of 2019 was RMB0.08 (US$0.01), as compared to net loss per diluted ADS of RMB0.23 in the third quarter of 2018.</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Non-GAAP net loss attributable to Phoenix New Media Limited for the third quarter of 2019, which excluded share-based compensation, income or loss from equity method investments, net of impairments, and changes in fair value of financial assets-contingent returnable consideration, was RMB50.8 million (US$7.1 million), as compared to RMB18.3 million in the third quarter of 2018. Non-GAAP net margin for the third quarter of 2019 was negative13.4%, as compared to negative 5.6% in the third quarter of 2018. Non-GAAP net loss per diluted ADS in the third quarter of 2019 was RMB0.70 (US$0.10), as compared to RMB0.25 in the third quarter of 2018.</w:t>
      </w:r>
    </w:p>
    <w:p>
      <w:pPr>
        <w:spacing w:after="0" w:line="165" w:lineRule="exact"/>
        <w:rPr>
          <w:sz w:val="20"/>
          <w:szCs w:val="20"/>
          <w:color w:val="auto"/>
        </w:rPr>
      </w:pPr>
    </w:p>
    <w:p>
      <w:pPr>
        <w:spacing w:after="0" w:line="316" w:lineRule="auto"/>
        <w:rPr>
          <w:sz w:val="20"/>
          <w:szCs w:val="20"/>
          <w:color w:val="auto"/>
        </w:rPr>
      </w:pPr>
      <w:r>
        <w:rPr>
          <w:rFonts w:ascii="Arial" w:cs="Arial" w:eastAsia="Arial" w:hAnsi="Arial"/>
          <w:sz w:val="17"/>
          <w:szCs w:val="17"/>
          <w:color w:val="auto"/>
        </w:rPr>
        <w:t>For the third quarter of 2019, the Company’s weighted average number of ADSs used in the computation of diluted net loss per ADS was 72,790,541. As of September 30, 2019, the Company had a total of 582,324,325, ordinary shares outstanding, or the equivalent of 72,790,541 ADSs.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CERTAIN BALANCE SHEET ITEMS</w:t>
      </w:r>
    </w:p>
    <w:p>
      <w:pPr>
        <w:spacing w:after="0" w:line="99" w:lineRule="exact"/>
        <w:rPr>
          <w:sz w:val="20"/>
          <w:szCs w:val="20"/>
          <w:color w:val="auto"/>
        </w:rPr>
      </w:pPr>
    </w:p>
    <w:p>
      <w:pPr>
        <w:spacing w:after="0" w:line="316" w:lineRule="auto"/>
        <w:rPr>
          <w:sz w:val="20"/>
          <w:szCs w:val="20"/>
          <w:color w:val="auto"/>
        </w:rPr>
      </w:pPr>
      <w:r>
        <w:rPr>
          <w:rFonts w:ascii="Arial" w:cs="Arial" w:eastAsia="Arial" w:hAnsi="Arial"/>
          <w:sz w:val="17"/>
          <w:szCs w:val="17"/>
          <w:color w:val="auto"/>
        </w:rPr>
        <w:t>As of September 30, 2019, the Company's cash and cash equivalents, term deposits and short term investments and restricted cash were RMB2.06 billion (US$288.9 million), which included RMB18.4 million (US$2.6 million) from Tadu and RMB131.3 million (US$18.4 million) from Tianbo.</w:t>
      </w:r>
    </w:p>
    <w:p>
      <w:pPr>
        <w:spacing w:after="0" w:line="387" w:lineRule="exact"/>
        <w:rPr>
          <w:sz w:val="20"/>
          <w:szCs w:val="20"/>
          <w:color w:val="auto"/>
        </w:rPr>
      </w:pPr>
    </w:p>
    <w:p>
      <w:pPr>
        <w:ind w:left="460" w:hanging="458"/>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9"/>
          <w:szCs w:val="19"/>
          <w:color w:val="auto"/>
        </w:rPr>
        <w:t>“ADS” means American Depositary Share of the Company. Each ADS represents eight Class A ordinary shares of the Company.</w:t>
      </w:r>
    </w:p>
    <w:p>
      <w:pPr>
        <w:spacing w:after="0" w:line="204"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14509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09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 w:name="page8"/>
    <w:bookmarkEnd w:id="7"/>
    <w:p>
      <w:pPr>
        <w:spacing w:after="0" w:line="267" w:lineRule="auto"/>
        <w:rPr>
          <w:sz w:val="20"/>
          <w:szCs w:val="20"/>
          <w:color w:val="auto"/>
        </w:rPr>
      </w:pPr>
      <w:r>
        <w:rPr>
          <w:rFonts w:ascii="Arial" w:cs="Arial" w:eastAsia="Arial" w:hAnsi="Arial"/>
          <w:sz w:val="17"/>
          <w:szCs w:val="17"/>
          <w:color w:val="auto"/>
        </w:rPr>
        <w:t>As previously announced by the Company, the Company entered into a share purchase agreement (the “SPA”) with Run Liang Tai and its designated entities (the “Proposed Buyers”) on March 22, 2019 and entered into a supplemental agreement (the “Supplemental Agreement”) to the SPA on July 23, 2019 for its proposed sale of 34% of the total outstanding shares of Particle Inc. (“Particle” or “Yidian”) (the “Proposed Transaction”). After the Company executed the Supplemental Agreement, two shareholders of Particle, Long De Cheng Zhang Culture Communication (Tianjin) Co., Ltd. and Long De Holdings (Hong Kong) Co., Limited (collectively, the “Long De Entities”) notified the Company that they intend to exercise their co-sale rights under the Shareholders Agreement with respect to 16 million shares of Particle for a total selling price of approximately RMB240 million while reserving their rights to co-sell more shares up to the maximum amount allowed under the Shareholders Agreement or fewer shares if they can find other buyers for their shares. The Company is in dispute with the Long De Entities as to whether the co-sale rights were duly exercised and is still discussing with the Long De Entities for an amicable resolution. If the Long De Entities are able to validly exercise their co-sale rights, the Company may have to reduce the Particle shares that it can sell in the Proposed Transaction if it decides to proceed with the transaction, and the proceeds to the Company from the transaction will be reduced accordingly. Alternatively, the Company may decide to terminate the Supplemental Agreement and reverse all transactions occurred under the Supplemental Agreement. In such case, the Company may have to resume its dispute with the Proposed Buyers under the original SPA. Notwithstanding the dispute, shareholders of the Company’s parent company, Phoenix Media Investment (Holdings) Limited (HK: 2008), a company listed on The Stock Exchange of Hong Kong ("Phoenix TV") approved the Supplemental Agreement on October 22, 2019, and pursuant to the Supplemental Agreement, the Proposed Buyers paid the Company a further cash deposit of US$50 million in October 2019. The Company has transferred 94,802,752 preferred shares of Particle (the “First Batch of Delivered Shares”) to the Proposed Buyers, corresponding to US$200 million of purchase price received before August 10, 2019. There can be no assurance that the Company’s disputes with the Long De Entities, or with the Proposed Buyers under the original SPA will be resolved in the Company’s favor. There can be no assurance that the Proposed Transaction with respect to the remaining preferred shares to be delivered will ever be closed. The fair value of available-for-sale debt investments in Particle of the Company increased from RMB2,271.1 million as of June 30, 2019 to RMB3,153.2 million (US$441.1 million) as of September 30, 2019, mainly caused by the adjustments to the assumptions used in valuation for the available-for-sale debt investments in the third quarter of 2019 as the Company transferred the First Batch of Delivered Shares to the Proposed Buyers .</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Outlook</w:t>
      </w:r>
    </w:p>
    <w:p>
      <w:pPr>
        <w:spacing w:after="0" w:line="103" w:lineRule="exact"/>
        <w:rPr>
          <w:sz w:val="20"/>
          <w:szCs w:val="20"/>
          <w:color w:val="auto"/>
        </w:rPr>
      </w:pPr>
    </w:p>
    <w:p>
      <w:pPr>
        <w:ind w:right="520"/>
        <w:spacing w:after="0" w:line="247" w:lineRule="auto"/>
        <w:rPr>
          <w:sz w:val="20"/>
          <w:szCs w:val="20"/>
          <w:color w:val="auto"/>
        </w:rPr>
      </w:pPr>
      <w:r>
        <w:rPr>
          <w:rFonts w:ascii="Arial" w:cs="Arial" w:eastAsia="Arial" w:hAnsi="Arial"/>
          <w:sz w:val="19"/>
          <w:szCs w:val="19"/>
          <w:color w:val="auto"/>
        </w:rPr>
        <w:t>For the fourth quarter of 2019, the Company expects its total revenues to be between RMB431.2 million and RMB451.2 million; net advertising revenues are expected to be between RMB370.9 million and RMB385.9 million; and paid services revenues are expected to be between RMB60.3 million and RMB65.3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All of the above forecasts reflect the Company’s current and preliminary view on the market and operational conditions, which are subject to change.</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Information</w:t>
      </w:r>
    </w:p>
    <w:p>
      <w:pPr>
        <w:spacing w:after="0" w:line="103"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auto"/>
        </w:rPr>
        <w:t>The Company will hold a conference call at 8:00 p.m. U.S. Eastern Time on November 11, 2019, (November 12, 2019 at 9:00 a.m. Beijing/Hong Kong time) to discuss its third quarter 2019 unaudited financial results and operating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To participate in the call, please use the dial-in numbers and conference ID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99" w:right="239" w:bottom="1440" w:gutter="0" w:footer="0" w:header="0"/>
        </w:sectPr>
      </w:pPr>
    </w:p>
    <w:bookmarkStart w:id="8" w:name="page9"/>
    <w:bookmarkEnd w:id="8"/>
    <w:tbl>
      <w:tblPr>
        <w:tblLayout w:type="fixed"/>
        <w:tblInd w:w="80" w:type="dxa"/>
        <w:tblCellMar>
          <w:top w:w="0" w:type="dxa"/>
          <w:left w:w="0" w:type="dxa"/>
          <w:bottom w:w="0" w:type="dxa"/>
          <w:right w:w="0" w:type="dxa"/>
        </w:tblCellMar>
      </w:tblPr>
      <w:tr>
        <w:trPr>
          <w:trHeight w:val="218"/>
        </w:trPr>
        <w:tc>
          <w:tcPr>
            <w:tcW w:w="1500" w:type="dxa"/>
            <w:vAlign w:val="bottom"/>
          </w:tcPr>
          <w:p>
            <w:pPr>
              <w:spacing w:after="0"/>
              <w:rPr>
                <w:sz w:val="20"/>
                <w:szCs w:val="20"/>
                <w:color w:val="auto"/>
              </w:rPr>
            </w:pPr>
            <w:r>
              <w:rPr>
                <w:rFonts w:ascii="Arial" w:cs="Arial" w:eastAsia="Arial" w:hAnsi="Arial"/>
                <w:sz w:val="19"/>
                <w:szCs w:val="19"/>
                <w:color w:val="auto"/>
              </w:rPr>
              <w:t>International:</w:t>
            </w:r>
          </w:p>
        </w:tc>
        <w:tc>
          <w:tcPr>
            <w:tcW w:w="1800" w:type="dxa"/>
            <w:vAlign w:val="bottom"/>
          </w:tcPr>
          <w:p>
            <w:pPr>
              <w:ind w:left="300"/>
              <w:spacing w:after="0"/>
              <w:rPr>
                <w:sz w:val="20"/>
                <w:szCs w:val="20"/>
                <w:color w:val="auto"/>
              </w:rPr>
            </w:pPr>
            <w:r>
              <w:rPr>
                <w:rFonts w:ascii="Arial" w:cs="Arial" w:eastAsia="Arial" w:hAnsi="Arial"/>
                <w:sz w:val="19"/>
                <w:szCs w:val="19"/>
                <w:color w:val="auto"/>
              </w:rPr>
              <w:t>+65 67135090</w:t>
            </w:r>
          </w:p>
        </w:tc>
      </w:tr>
      <w:tr>
        <w:trPr>
          <w:trHeight w:val="216"/>
        </w:trPr>
        <w:tc>
          <w:tcPr>
            <w:tcW w:w="1500" w:type="dxa"/>
            <w:vAlign w:val="bottom"/>
          </w:tcPr>
          <w:p>
            <w:pPr>
              <w:ind w:left="20"/>
              <w:spacing w:after="0" w:line="216" w:lineRule="exact"/>
              <w:rPr>
                <w:sz w:val="20"/>
                <w:szCs w:val="20"/>
                <w:color w:val="auto"/>
              </w:rPr>
            </w:pPr>
            <w:r>
              <w:rPr>
                <w:rFonts w:ascii="Arial" w:cs="Arial" w:eastAsia="Arial" w:hAnsi="Arial"/>
                <w:sz w:val="19"/>
                <w:szCs w:val="19"/>
                <w:color w:val="auto"/>
              </w:rPr>
              <w:t>Mainland China:</w:t>
            </w:r>
          </w:p>
        </w:tc>
        <w:tc>
          <w:tcPr>
            <w:tcW w:w="1800" w:type="dxa"/>
            <w:vAlign w:val="bottom"/>
          </w:tcPr>
          <w:p>
            <w:pPr>
              <w:ind w:left="540"/>
              <w:spacing w:after="0" w:line="216" w:lineRule="exact"/>
              <w:rPr>
                <w:sz w:val="20"/>
                <w:szCs w:val="20"/>
                <w:color w:val="auto"/>
              </w:rPr>
            </w:pPr>
            <w:r>
              <w:rPr>
                <w:rFonts w:ascii="Arial" w:cs="Arial" w:eastAsia="Arial" w:hAnsi="Arial"/>
                <w:sz w:val="19"/>
                <w:szCs w:val="19"/>
                <w:color w:val="auto"/>
              </w:rPr>
              <w:t>4006208038</w:t>
            </w:r>
          </w:p>
        </w:tc>
      </w:tr>
      <w:tr>
        <w:trPr>
          <w:trHeight w:val="216"/>
        </w:trPr>
        <w:tc>
          <w:tcPr>
            <w:tcW w:w="1500" w:type="dxa"/>
            <w:vAlign w:val="bottom"/>
          </w:tcPr>
          <w:p>
            <w:pPr>
              <w:spacing w:after="0" w:line="216" w:lineRule="exact"/>
              <w:rPr>
                <w:sz w:val="20"/>
                <w:szCs w:val="20"/>
                <w:color w:val="auto"/>
              </w:rPr>
            </w:pPr>
            <w:r>
              <w:rPr>
                <w:rFonts w:ascii="Arial" w:cs="Arial" w:eastAsia="Arial" w:hAnsi="Arial"/>
                <w:sz w:val="19"/>
                <w:szCs w:val="19"/>
                <w:color w:val="auto"/>
              </w:rPr>
              <w:t>Hong Kong:</w:t>
            </w:r>
          </w:p>
        </w:tc>
        <w:tc>
          <w:tcPr>
            <w:tcW w:w="1800" w:type="dxa"/>
            <w:vAlign w:val="bottom"/>
          </w:tcPr>
          <w:p>
            <w:pPr>
              <w:ind w:left="180"/>
              <w:spacing w:after="0" w:line="216" w:lineRule="exact"/>
              <w:rPr>
                <w:sz w:val="20"/>
                <w:szCs w:val="20"/>
                <w:color w:val="auto"/>
              </w:rPr>
            </w:pPr>
            <w:r>
              <w:rPr>
                <w:rFonts w:ascii="Arial" w:cs="Arial" w:eastAsia="Arial" w:hAnsi="Arial"/>
                <w:sz w:val="19"/>
                <w:szCs w:val="19"/>
                <w:color w:val="auto"/>
              </w:rPr>
              <w:t>+852 30186771</w:t>
            </w:r>
          </w:p>
        </w:tc>
      </w:tr>
      <w:tr>
        <w:trPr>
          <w:trHeight w:val="216"/>
        </w:trPr>
        <w:tc>
          <w:tcPr>
            <w:tcW w:w="1500" w:type="dxa"/>
            <w:vAlign w:val="bottom"/>
          </w:tcPr>
          <w:p>
            <w:pPr>
              <w:spacing w:after="0" w:line="216" w:lineRule="exact"/>
              <w:rPr>
                <w:sz w:val="20"/>
                <w:szCs w:val="20"/>
                <w:color w:val="auto"/>
              </w:rPr>
            </w:pPr>
            <w:r>
              <w:rPr>
                <w:rFonts w:ascii="Arial" w:cs="Arial" w:eastAsia="Arial" w:hAnsi="Arial"/>
                <w:sz w:val="19"/>
                <w:szCs w:val="19"/>
                <w:color w:val="auto"/>
              </w:rPr>
              <w:t>United States:</w:t>
            </w:r>
          </w:p>
        </w:tc>
        <w:tc>
          <w:tcPr>
            <w:tcW w:w="1800" w:type="dxa"/>
            <w:vAlign w:val="bottom"/>
          </w:tcPr>
          <w:p>
            <w:pPr>
              <w:ind w:left="300"/>
              <w:spacing w:after="0" w:line="216" w:lineRule="exact"/>
              <w:rPr>
                <w:sz w:val="20"/>
                <w:szCs w:val="20"/>
                <w:color w:val="auto"/>
              </w:rPr>
            </w:pPr>
            <w:r>
              <w:rPr>
                <w:rFonts w:ascii="Arial" w:cs="Arial" w:eastAsia="Arial" w:hAnsi="Arial"/>
                <w:sz w:val="19"/>
                <w:szCs w:val="19"/>
                <w:color w:val="auto"/>
              </w:rPr>
              <w:t>+1 8456750437</w:t>
            </w:r>
          </w:p>
        </w:tc>
      </w:tr>
      <w:tr>
        <w:trPr>
          <w:trHeight w:val="216"/>
        </w:trPr>
        <w:tc>
          <w:tcPr>
            <w:tcW w:w="1500" w:type="dxa"/>
            <w:vAlign w:val="bottom"/>
          </w:tcPr>
          <w:p>
            <w:pPr>
              <w:ind w:left="20"/>
              <w:spacing w:after="0" w:line="216" w:lineRule="exact"/>
              <w:rPr>
                <w:sz w:val="20"/>
                <w:szCs w:val="20"/>
                <w:color w:val="auto"/>
              </w:rPr>
            </w:pPr>
            <w:r>
              <w:rPr>
                <w:rFonts w:ascii="Arial" w:cs="Arial" w:eastAsia="Arial" w:hAnsi="Arial"/>
                <w:sz w:val="19"/>
                <w:szCs w:val="19"/>
                <w:color w:val="auto"/>
              </w:rPr>
              <w:t>United Kingdom:</w:t>
            </w:r>
          </w:p>
        </w:tc>
        <w:tc>
          <w:tcPr>
            <w:tcW w:w="1800" w:type="dxa"/>
            <w:vAlign w:val="bottom"/>
          </w:tcPr>
          <w:p>
            <w:pPr>
              <w:ind w:left="540"/>
              <w:spacing w:after="0" w:line="216" w:lineRule="exact"/>
              <w:rPr>
                <w:sz w:val="20"/>
                <w:szCs w:val="20"/>
                <w:color w:val="auto"/>
              </w:rPr>
            </w:pPr>
            <w:r>
              <w:rPr>
                <w:rFonts w:ascii="Arial" w:cs="Arial" w:eastAsia="Arial" w:hAnsi="Arial"/>
                <w:sz w:val="19"/>
                <w:szCs w:val="19"/>
                <w:color w:val="auto"/>
                <w:w w:val="86"/>
              </w:rPr>
              <w:t>+44 2036214779</w:t>
            </w:r>
          </w:p>
        </w:tc>
      </w:tr>
      <w:tr>
        <w:trPr>
          <w:trHeight w:val="216"/>
        </w:trPr>
        <w:tc>
          <w:tcPr>
            <w:tcW w:w="1500" w:type="dxa"/>
            <w:vAlign w:val="bottom"/>
          </w:tcPr>
          <w:p>
            <w:pPr>
              <w:spacing w:after="0" w:line="216" w:lineRule="exact"/>
              <w:rPr>
                <w:sz w:val="20"/>
                <w:szCs w:val="20"/>
                <w:color w:val="auto"/>
              </w:rPr>
            </w:pPr>
            <w:r>
              <w:rPr>
                <w:rFonts w:ascii="Arial" w:cs="Arial" w:eastAsia="Arial" w:hAnsi="Arial"/>
                <w:sz w:val="19"/>
                <w:szCs w:val="19"/>
                <w:color w:val="auto"/>
              </w:rPr>
              <w:t>Australia:</w:t>
            </w:r>
          </w:p>
        </w:tc>
        <w:tc>
          <w:tcPr>
            <w:tcW w:w="1800" w:type="dxa"/>
            <w:vAlign w:val="bottom"/>
          </w:tcPr>
          <w:p>
            <w:pPr>
              <w:ind w:left="160"/>
              <w:spacing w:after="0" w:line="216" w:lineRule="exact"/>
              <w:rPr>
                <w:sz w:val="20"/>
                <w:szCs w:val="20"/>
                <w:color w:val="auto"/>
              </w:rPr>
            </w:pPr>
            <w:r>
              <w:rPr>
                <w:rFonts w:ascii="Arial" w:cs="Arial" w:eastAsia="Arial" w:hAnsi="Arial"/>
                <w:sz w:val="19"/>
                <w:szCs w:val="19"/>
                <w:color w:val="auto"/>
              </w:rPr>
              <w:t>+61 290833212</w:t>
            </w:r>
          </w:p>
        </w:tc>
      </w:tr>
      <w:tr>
        <w:trPr>
          <w:trHeight w:val="238"/>
        </w:trPr>
        <w:tc>
          <w:tcPr>
            <w:tcW w:w="1500" w:type="dxa"/>
            <w:vAlign w:val="bottom"/>
          </w:tcPr>
          <w:p>
            <w:pPr>
              <w:ind w:left="20"/>
              <w:spacing w:after="0"/>
              <w:rPr>
                <w:sz w:val="20"/>
                <w:szCs w:val="20"/>
                <w:color w:val="auto"/>
              </w:rPr>
            </w:pPr>
            <w:r>
              <w:rPr>
                <w:rFonts w:ascii="Arial" w:cs="Arial" w:eastAsia="Arial" w:hAnsi="Arial"/>
                <w:sz w:val="19"/>
                <w:szCs w:val="19"/>
                <w:color w:val="auto"/>
              </w:rPr>
              <w:t>Conference ID:</w:t>
            </w:r>
          </w:p>
        </w:tc>
        <w:tc>
          <w:tcPr>
            <w:tcW w:w="1800" w:type="dxa"/>
            <w:vAlign w:val="bottom"/>
          </w:tcPr>
          <w:p>
            <w:pPr>
              <w:ind w:left="400"/>
              <w:spacing w:after="0"/>
              <w:rPr>
                <w:sz w:val="20"/>
                <w:szCs w:val="20"/>
                <w:color w:val="auto"/>
              </w:rPr>
            </w:pPr>
            <w:r>
              <w:rPr>
                <w:rFonts w:ascii="Arial" w:cs="Arial" w:eastAsia="Arial" w:hAnsi="Arial"/>
                <w:sz w:val="19"/>
                <w:szCs w:val="19"/>
                <w:color w:val="auto"/>
              </w:rPr>
              <w:t>1968979</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A replay of the call will be available through November 18, 2019, by using the dial-in numbers and conference ID below:</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1480" w:type="dxa"/>
            <w:vAlign w:val="bottom"/>
          </w:tcPr>
          <w:p>
            <w:pPr>
              <w:spacing w:after="0"/>
              <w:rPr>
                <w:sz w:val="20"/>
                <w:szCs w:val="20"/>
                <w:color w:val="auto"/>
              </w:rPr>
            </w:pPr>
            <w:r>
              <w:rPr>
                <w:rFonts w:ascii="Arial" w:cs="Arial" w:eastAsia="Arial" w:hAnsi="Arial"/>
                <w:sz w:val="19"/>
                <w:szCs w:val="19"/>
                <w:color w:val="auto"/>
              </w:rPr>
              <w:t>International:</w:t>
            </w:r>
          </w:p>
        </w:tc>
        <w:tc>
          <w:tcPr>
            <w:tcW w:w="580" w:type="dxa"/>
            <w:vAlign w:val="bottom"/>
          </w:tcPr>
          <w:p>
            <w:pPr>
              <w:jc w:val="right"/>
              <w:spacing w:after="0"/>
              <w:rPr>
                <w:sz w:val="20"/>
                <w:szCs w:val="20"/>
                <w:color w:val="auto"/>
              </w:rPr>
            </w:pPr>
            <w:r>
              <w:rPr>
                <w:rFonts w:ascii="Arial" w:cs="Arial" w:eastAsia="Arial" w:hAnsi="Arial"/>
                <w:sz w:val="19"/>
                <w:szCs w:val="19"/>
                <w:color w:val="auto"/>
              </w:rPr>
              <w:t>+61</w:t>
            </w:r>
          </w:p>
        </w:tc>
        <w:tc>
          <w:tcPr>
            <w:tcW w:w="960" w:type="dxa"/>
            <w:vAlign w:val="bottom"/>
          </w:tcPr>
          <w:p>
            <w:pPr>
              <w:jc w:val="right"/>
              <w:spacing w:after="0"/>
              <w:rPr>
                <w:sz w:val="20"/>
                <w:szCs w:val="20"/>
                <w:color w:val="auto"/>
              </w:rPr>
            </w:pPr>
            <w:r>
              <w:rPr>
                <w:rFonts w:ascii="Arial" w:cs="Arial" w:eastAsia="Arial" w:hAnsi="Arial"/>
                <w:sz w:val="19"/>
                <w:szCs w:val="19"/>
                <w:color w:val="auto"/>
                <w:w w:val="88"/>
              </w:rPr>
              <w:t>2 8199 0299</w:t>
            </w:r>
          </w:p>
        </w:tc>
      </w:tr>
      <w:tr>
        <w:trPr>
          <w:trHeight w:val="216"/>
        </w:trPr>
        <w:tc>
          <w:tcPr>
            <w:tcW w:w="1480" w:type="dxa"/>
            <w:vAlign w:val="bottom"/>
          </w:tcPr>
          <w:p>
            <w:pPr>
              <w:ind w:left="20"/>
              <w:spacing w:after="0" w:line="216" w:lineRule="exact"/>
              <w:rPr>
                <w:sz w:val="20"/>
                <w:szCs w:val="20"/>
                <w:color w:val="auto"/>
              </w:rPr>
            </w:pPr>
            <w:r>
              <w:rPr>
                <w:rFonts w:ascii="Arial" w:cs="Arial" w:eastAsia="Arial" w:hAnsi="Arial"/>
                <w:sz w:val="19"/>
                <w:szCs w:val="19"/>
                <w:color w:val="auto"/>
              </w:rPr>
              <w:t>Mainland China:</w:t>
            </w:r>
          </w:p>
        </w:tc>
        <w:tc>
          <w:tcPr>
            <w:tcW w:w="15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4006322162</w:t>
            </w:r>
          </w:p>
        </w:tc>
      </w:tr>
      <w:tr>
        <w:trPr>
          <w:trHeight w:val="216"/>
        </w:trPr>
        <w:tc>
          <w:tcPr>
            <w:tcW w:w="1480" w:type="dxa"/>
            <w:vAlign w:val="bottom"/>
          </w:tcPr>
          <w:p>
            <w:pPr>
              <w:spacing w:after="0" w:line="216" w:lineRule="exact"/>
              <w:rPr>
                <w:sz w:val="20"/>
                <w:szCs w:val="20"/>
                <w:color w:val="auto"/>
              </w:rPr>
            </w:pPr>
            <w:r>
              <w:rPr>
                <w:rFonts w:ascii="Arial" w:cs="Arial" w:eastAsia="Arial" w:hAnsi="Arial"/>
                <w:sz w:val="19"/>
                <w:szCs w:val="19"/>
                <w:color w:val="auto"/>
              </w:rPr>
              <w:t>Hong Kong:</w:t>
            </w:r>
          </w:p>
        </w:tc>
        <w:tc>
          <w:tcPr>
            <w:tcW w:w="1540" w:type="dxa"/>
            <w:vAlign w:val="bottom"/>
            <w:gridSpan w:val="2"/>
          </w:tcPr>
          <w:p>
            <w:pPr>
              <w:jc w:val="right"/>
              <w:ind w:right="67"/>
              <w:spacing w:after="0" w:line="216" w:lineRule="exact"/>
              <w:rPr>
                <w:sz w:val="20"/>
                <w:szCs w:val="20"/>
                <w:color w:val="auto"/>
              </w:rPr>
            </w:pPr>
            <w:r>
              <w:rPr>
                <w:rFonts w:ascii="Arial" w:cs="Arial" w:eastAsia="Arial" w:hAnsi="Arial"/>
                <w:sz w:val="19"/>
                <w:szCs w:val="19"/>
                <w:color w:val="auto"/>
              </w:rPr>
              <w:t>+852 30512780</w:t>
            </w:r>
          </w:p>
        </w:tc>
      </w:tr>
      <w:tr>
        <w:trPr>
          <w:trHeight w:val="216"/>
        </w:trPr>
        <w:tc>
          <w:tcPr>
            <w:tcW w:w="1480" w:type="dxa"/>
            <w:vAlign w:val="bottom"/>
          </w:tcPr>
          <w:p>
            <w:pPr>
              <w:spacing w:after="0" w:line="216" w:lineRule="exact"/>
              <w:rPr>
                <w:sz w:val="20"/>
                <w:szCs w:val="20"/>
                <w:color w:val="auto"/>
              </w:rPr>
            </w:pPr>
            <w:r>
              <w:rPr>
                <w:rFonts w:ascii="Arial" w:cs="Arial" w:eastAsia="Arial" w:hAnsi="Arial"/>
                <w:sz w:val="19"/>
                <w:szCs w:val="19"/>
                <w:color w:val="auto"/>
              </w:rPr>
              <w:t>United States:</w:t>
            </w:r>
          </w:p>
        </w:tc>
        <w:tc>
          <w:tcPr>
            <w:tcW w:w="580" w:type="dxa"/>
            <w:vAlign w:val="bottom"/>
          </w:tcPr>
          <w:p>
            <w:pPr>
              <w:jc w:val="right"/>
              <w:spacing w:after="0" w:line="216" w:lineRule="exact"/>
              <w:rPr>
                <w:sz w:val="20"/>
                <w:szCs w:val="20"/>
                <w:color w:val="auto"/>
              </w:rPr>
            </w:pPr>
            <w:r>
              <w:rPr>
                <w:rFonts w:ascii="Arial" w:cs="Arial" w:eastAsia="Arial" w:hAnsi="Arial"/>
                <w:sz w:val="19"/>
                <w:szCs w:val="19"/>
                <w:color w:val="auto"/>
              </w:rPr>
              <w:t>+1</w:t>
            </w: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w w:val="88"/>
              </w:rPr>
              <w:t>6462543697</w:t>
            </w:r>
          </w:p>
        </w:tc>
      </w:tr>
      <w:tr>
        <w:trPr>
          <w:trHeight w:val="238"/>
        </w:trPr>
        <w:tc>
          <w:tcPr>
            <w:tcW w:w="1480" w:type="dxa"/>
            <w:vAlign w:val="bottom"/>
          </w:tcPr>
          <w:p>
            <w:pPr>
              <w:ind w:left="20"/>
              <w:spacing w:after="0"/>
              <w:rPr>
                <w:sz w:val="20"/>
                <w:szCs w:val="20"/>
                <w:color w:val="auto"/>
              </w:rPr>
            </w:pPr>
            <w:r>
              <w:rPr>
                <w:rFonts w:ascii="Arial" w:cs="Arial" w:eastAsia="Arial" w:hAnsi="Arial"/>
                <w:sz w:val="19"/>
                <w:szCs w:val="19"/>
                <w:color w:val="auto"/>
              </w:rPr>
              <w:t>Conference ID:</w:t>
            </w:r>
          </w:p>
        </w:tc>
        <w:tc>
          <w:tcPr>
            <w:tcW w:w="1540" w:type="dxa"/>
            <w:vAlign w:val="bottom"/>
            <w:gridSpan w:val="2"/>
          </w:tcPr>
          <w:p>
            <w:pPr>
              <w:jc w:val="right"/>
              <w:ind w:right="387"/>
              <w:spacing w:after="0"/>
              <w:rPr>
                <w:sz w:val="20"/>
                <w:szCs w:val="20"/>
                <w:color w:val="auto"/>
              </w:rPr>
            </w:pPr>
            <w:r>
              <w:rPr>
                <w:rFonts w:ascii="Arial" w:cs="Arial" w:eastAsia="Arial" w:hAnsi="Arial"/>
                <w:sz w:val="19"/>
                <w:szCs w:val="19"/>
                <w:color w:val="auto"/>
              </w:rPr>
              <w:t>1968979</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live and archived webcast of the conference call will also be available at the Company’s investor relations website at http://ir.ifeng.com.</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Non-GAAP Financial Measures</w:t>
      </w:r>
    </w:p>
    <w:p>
      <w:pPr>
        <w:spacing w:after="0" w:line="10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To supplement the consolidated financial statements presented in accordance with the United States Generally Accepted Accounting Principles (“GAAP”), Phoenix New Media Limited uses non-GAAP gross profit, non-GAAP gross margin, non-GAAP income or loss from operations, non-GAAP operating margin, non-GAAP net income or loss attributable to Phoenix New Media Limited, non-GAAP net margin and non-GAAP net income or loss per diluted ADS, each of which is a non-GAAP financial measure. Non-GAAP gross profit is gross profit excluding share-based compensation. Non-GAAP gross margin is non-GAAP gross profit divided by total revenues. Non-GAAP income or loss from operations is income or loss from operations excluding share-based compensation and changes in fair value of financial assets-contingent returnable consideration. Non-GAAP operating margin is non-GAAP income or loss from operations divided by total revenues. Non-GAAP net income or loss attributable to Phoenix New Media Limited is net income or loss attributable to Phoenix New Media Limited excluding share-based compensation, income or loss from equity method investments, net of impairments, and changes in fair value of financial assets-contingent returnable consideration. Non-GAAP net margin is non-GAAP net income or loss attributable to Phoenix New Media Limited divided by total revenues. Non-GAAP net income or loss per diluted ADS is non-GAAP net income or loss attributable to Phoenix New Media Limited divided by weighted average number of diluted ADSs. The Company believes that separate analysis and exclusion of the aforementioned non-GAAP to GAAP reconciling items add clarity to the constituent parts of its performance. The Company reviews these non-GAAP financial measures together with the related GAAP financial measures to obtain a better understanding of its operating performance. It uses these non-GAAP financial measures for planning, forecasting and measuring results against the forecast. The Company believes that using these non-GAAP financial measures to evaluate its business allows both management and investors to assess the Company’s performance against its competitors and ultimately monitor its capacity to generate returns for investors. The Company also believes that these non-GAAP financial measures are useful supplemental information for investors and analysts to assess its operating performance without the effect of items like share-based compensation, income or loss from equity method investments, net of impairments, and changes in fair value of financial assets-contingent returnable consideration, which have been and will continue to be significant and recurring in its business. However, the use of these non-GAAP financial measures has material limitations as an analytical tool. One of the limitations of using these non-GAAP financial measures is that they do not include all items that impact the Company’s gross profit, income or loss from operations and net income or loss attributable to Phoenix New Media Limited for the period. In addition, because these non-GAAP financial measures are not calculated in the same manner by all companies, they may not be comparable to other similarly titled measures used by other companies. In light of the foregoing limitations, you should not consider these non-GAAP financial measures in isolation from, or as an alternative to, the financial measures prepared in accordance with GAAP.</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00"/>
          </w:cols>
          <w:pgMar w:left="240" w:top="399" w:right="259" w:bottom="1440" w:gutter="0" w:footer="0" w:header="0"/>
        </w:sectPr>
      </w:pPr>
    </w:p>
    <w:bookmarkStart w:id="9" w:name="page10"/>
    <w:bookmarkEnd w:id="9"/>
    <w:p>
      <w:pPr>
        <w:spacing w:after="0"/>
        <w:rPr>
          <w:sz w:val="20"/>
          <w:szCs w:val="20"/>
          <w:color w:val="auto"/>
        </w:rPr>
      </w:pPr>
      <w:r>
        <w:rPr>
          <w:rFonts w:ascii="Arial" w:cs="Arial" w:eastAsia="Arial" w:hAnsi="Arial"/>
          <w:sz w:val="19"/>
          <w:szCs w:val="19"/>
          <w:b w:val="1"/>
          <w:bCs w:val="1"/>
          <w:color w:val="auto"/>
        </w:rPr>
        <w:t>Exchange Rate</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announcement contains translations of certain RMB amounts into U.S. dollars (“USD”) at specified rates solely for the convenience of the reader. Unless otherwise stated, all translations from RMB to USD were made at the rate of RMB7.1477 to US$1.00, the noon buying rate in effect on September 30, 2019, in the H.10 statistical release of the Federal Reserve Board. The Company makes no representation that the RMB or USD amounts referred could be converted into USD or RMB, as the case may be, at any particular rate or at all. For analytical presentation, all percentages are calculated using the numbers presented in the financial statements contained in this earnings release.</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Phoenix New Media Limited</w:t>
      </w:r>
    </w:p>
    <w:p>
      <w:pPr>
        <w:spacing w:after="0" w:line="10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and share user-generated content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Safe Harbor Statement</w:t>
      </w:r>
    </w:p>
    <w:p>
      <w:pPr>
        <w:spacing w:after="0" w:line="10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Phoenix New Media’s strategic and operational plans, contain forward−looking statements. Phoenix New Media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Phoenix New Media’s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online and mobile advertising, online video and mobile paid services markets in China; the Company’s reliance on online and mobile advertising and MVAS for a majority of its total revenues; the Company’s expectations regarding demand for and market acceptance of its services; the Company’s expectations regarding maintaining and strengthening its relationships with advertisers, partners and customers; the Company’s investment plans and strategies, fluctuations in the Company’s quarterly operating results; the Company’s plans to enhance its user experience, infrastructure and services offerings; the Company’s reliance on mobile operators in China to provide most of its MVAS; changes by mobile operators in China to their policies for MVAS; competition in its industry in China; and relevant government policies and regulations relating to the Company. Further information regarding these and other risks is included in the Company’s filings with the SEC, including its registration statement on Form F−1, as amended, and its annual reports on Form 20−F. All information provided in this press release and in the attachments is as of the date of this press release, and Phoenix New Media does not undertake any obligation to update any forward−looking statement, except as required under applicable law.</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investor and media inquiries please contact:</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Phoenix New Media Limited</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Qing Liu</w:t>
      </w:r>
    </w:p>
    <w:p>
      <w:pPr>
        <w:spacing w:after="0"/>
        <w:rPr>
          <w:sz w:val="20"/>
          <w:szCs w:val="20"/>
          <w:color w:val="auto"/>
        </w:rPr>
      </w:pPr>
      <w:r>
        <w:rPr>
          <w:rFonts w:ascii="Arial" w:cs="Arial" w:eastAsia="Arial" w:hAnsi="Arial"/>
          <w:sz w:val="19"/>
          <w:szCs w:val="19"/>
          <w:color w:val="auto"/>
        </w:rPr>
        <w:t>Email: investorrelations@ifeng.com</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ICR, Inc.</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Jack Wang</w:t>
      </w:r>
    </w:p>
    <w:p>
      <w:pPr>
        <w:spacing w:after="0" w:line="237" w:lineRule="auto"/>
        <w:rPr>
          <w:sz w:val="20"/>
          <w:szCs w:val="20"/>
          <w:color w:val="auto"/>
        </w:rPr>
      </w:pPr>
      <w:r>
        <w:rPr>
          <w:rFonts w:ascii="Arial" w:cs="Arial" w:eastAsia="Arial" w:hAnsi="Arial"/>
          <w:sz w:val="19"/>
          <w:szCs w:val="19"/>
          <w:color w:val="auto"/>
        </w:rPr>
        <w:t>Tel: +1 (646) 405-4883</w:t>
      </w:r>
    </w:p>
    <w:p>
      <w:pPr>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investorrelations@ifeng.com</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380"/>
          </w:cols>
          <w:pgMar w:left="240" w:top="500"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Phoenix New Media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Balance Sheets</w:t>
      </w:r>
    </w:p>
    <w:p>
      <w:pPr>
        <w:jc w:val="center"/>
        <w:spacing w:after="0"/>
        <w:rPr>
          <w:sz w:val="20"/>
          <w:szCs w:val="20"/>
          <w:color w:val="auto"/>
        </w:rPr>
      </w:pPr>
      <w:r>
        <w:rPr>
          <w:rFonts w:ascii="Arial" w:cs="Arial" w:eastAsia="Arial" w:hAnsi="Arial"/>
          <w:sz w:val="19"/>
          <w:szCs w:val="19"/>
          <w:b w:val="1"/>
          <w:bCs w:val="1"/>
          <w:color w:val="auto"/>
        </w:rPr>
        <w:t>(Amounts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140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3"/>
                <w:szCs w:val="13"/>
                <w:color w:val="auto"/>
              </w:rPr>
            </w:pPr>
          </w:p>
        </w:tc>
        <w:tc>
          <w:tcPr>
            <w:tcW w:w="142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3"/>
                <w:szCs w:val="13"/>
                <w:color w:val="auto"/>
              </w:rPr>
            </w:pPr>
          </w:p>
        </w:tc>
        <w:tc>
          <w:tcPr>
            <w:tcW w:w="140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Audited</w:t>
            </w:r>
            <w:r>
              <w:rPr>
                <w:rFonts w:ascii="Arial" w:cs="Arial" w:eastAsia="Arial" w:hAnsi="Arial"/>
                <w:sz w:val="11"/>
                <w:szCs w:val="11"/>
                <w:b w:val="1"/>
                <w:bCs w:val="1"/>
                <w:color w:val="auto"/>
                <w:w w:val="92"/>
              </w:rPr>
              <w:t>*</w:t>
            </w: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Unaudited</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ASSETS</w:t>
            </w:r>
          </w:p>
        </w:tc>
        <w:tc>
          <w:tcPr>
            <w:tcW w:w="1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line="153" w:lineRule="exact"/>
              <w:rPr>
                <w:sz w:val="20"/>
                <w:szCs w:val="20"/>
                <w:color w:val="auto"/>
              </w:rPr>
            </w:pPr>
            <w:r>
              <w:rPr>
                <w:rFonts w:ascii="Arial" w:cs="Arial" w:eastAsia="Arial" w:hAnsi="Arial"/>
                <w:sz w:val="14"/>
                <w:szCs w:val="14"/>
                <w:b w:val="1"/>
                <w:bCs w:val="1"/>
                <w:color w:val="auto"/>
              </w:rPr>
              <w:t>Current assets:</w:t>
            </w: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Cash and cash equivalents</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174,024</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169,157</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23,666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Term deposits and short term investments</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912,594</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1,764,261</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246,829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Restricted cash</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269,648</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131,441</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18,389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Accounts receivable, net</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484,113</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613,237</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85,795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Amounts due from related parties</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91,228</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71,843</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10,051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Borders>
              <w:bottom w:val="single" w:sz="8" w:color="CFF0FC"/>
            </w:tcBorders>
          </w:tcPr>
          <w:p>
            <w:pPr>
              <w:ind w:left="240"/>
              <w:spacing w:after="0" w:line="153" w:lineRule="exact"/>
              <w:rPr>
                <w:sz w:val="20"/>
                <w:szCs w:val="20"/>
                <w:color w:val="auto"/>
              </w:rPr>
            </w:pPr>
            <w:r>
              <w:rPr>
                <w:rFonts w:ascii="Arial" w:cs="Arial" w:eastAsia="Arial" w:hAnsi="Arial"/>
                <w:sz w:val="14"/>
                <w:szCs w:val="14"/>
                <w:color w:val="auto"/>
              </w:rPr>
              <w:t>Prepayment and other current assets</w:t>
            </w: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88,963</w:t>
            </w:r>
          </w:p>
        </w:tc>
        <w:tc>
          <w:tcPr>
            <w:tcW w:w="2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186,548</w:t>
            </w:r>
          </w:p>
        </w:tc>
        <w:tc>
          <w:tcPr>
            <w:tcW w:w="280" w:type="dxa"/>
            <w:vAlign w:val="bottom"/>
            <w:tcBorders>
              <w:bottom w:val="single" w:sz="8" w:color="CFF0FC"/>
            </w:tcBorders>
          </w:tcPr>
          <w:p>
            <w:pPr>
              <w:spacing w:after="0"/>
              <w:rPr>
                <w:sz w:val="13"/>
                <w:szCs w:val="13"/>
                <w:color w:val="auto"/>
              </w:rPr>
            </w:pP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26,099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520" w:type="dxa"/>
            <w:vAlign w:val="bottom"/>
            <w:shd w:val="clear" w:color="auto" w:fill="CFF0FC"/>
          </w:tcPr>
          <w:p>
            <w:pPr>
              <w:spacing w:after="0" w:line="145" w:lineRule="exact"/>
              <w:rPr>
                <w:sz w:val="20"/>
                <w:szCs w:val="20"/>
                <w:color w:val="auto"/>
              </w:rPr>
            </w:pPr>
            <w:r>
              <w:rPr>
                <w:rFonts w:ascii="Arial" w:cs="Arial" w:eastAsia="Arial" w:hAnsi="Arial"/>
                <w:sz w:val="14"/>
                <w:szCs w:val="14"/>
                <w:b w:val="1"/>
                <w:bCs w:val="1"/>
                <w:color w:val="auto"/>
              </w:rPr>
              <w:t>Total current assets</w:t>
            </w:r>
          </w:p>
        </w:tc>
        <w:tc>
          <w:tcPr>
            <w:tcW w:w="140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2,020,570</w:t>
            </w:r>
          </w:p>
        </w:tc>
        <w:tc>
          <w:tcPr>
            <w:tcW w:w="280" w:type="dxa"/>
            <w:vAlign w:val="bottom"/>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2,936,487</w:t>
            </w:r>
          </w:p>
        </w:tc>
        <w:tc>
          <w:tcPr>
            <w:tcW w:w="280" w:type="dxa"/>
            <w:vAlign w:val="bottom"/>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410,829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20" w:type="dxa"/>
            <w:vAlign w:val="bottom"/>
          </w:tcPr>
          <w:p>
            <w:pPr>
              <w:spacing w:after="0" w:line="145" w:lineRule="exact"/>
              <w:rPr>
                <w:sz w:val="20"/>
                <w:szCs w:val="20"/>
                <w:color w:val="auto"/>
              </w:rPr>
            </w:pPr>
            <w:r>
              <w:rPr>
                <w:rFonts w:ascii="Arial" w:cs="Arial" w:eastAsia="Arial" w:hAnsi="Arial"/>
                <w:sz w:val="14"/>
                <w:szCs w:val="14"/>
                <w:b w:val="1"/>
                <w:bCs w:val="1"/>
                <w:color w:val="auto"/>
              </w:rPr>
              <w:t>Non-current assets:</w:t>
            </w: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Property and equipment, net</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95,631</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110,116</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15,406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Intangible assets, net</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97,448</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97,729</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13,673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Goodwill</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338,288</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361,074</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50,516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Available-for-sale debt investments</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1,961,474</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3,155,193</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441,428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Equity investments, net</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33,694</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13,236</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1,852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Deferred tax assets</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60,160</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72,318</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10,118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Operating lease right-of- use assets, net**</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91,786</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12,841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Borders>
              <w:bottom w:val="single" w:sz="8" w:color="CFF0FC"/>
            </w:tcBorders>
          </w:tcPr>
          <w:p>
            <w:pPr>
              <w:ind w:left="240"/>
              <w:spacing w:after="0" w:line="153" w:lineRule="exact"/>
              <w:rPr>
                <w:sz w:val="20"/>
                <w:szCs w:val="20"/>
                <w:color w:val="auto"/>
              </w:rPr>
            </w:pPr>
            <w:r>
              <w:rPr>
                <w:rFonts w:ascii="Arial" w:cs="Arial" w:eastAsia="Arial" w:hAnsi="Arial"/>
                <w:sz w:val="14"/>
                <w:szCs w:val="14"/>
                <w:color w:val="auto"/>
              </w:rPr>
              <w:t>Other non-current assets</w:t>
            </w: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23,454</w:t>
            </w:r>
          </w:p>
        </w:tc>
        <w:tc>
          <w:tcPr>
            <w:tcW w:w="2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20,258</w:t>
            </w:r>
          </w:p>
        </w:tc>
        <w:tc>
          <w:tcPr>
            <w:tcW w:w="280" w:type="dxa"/>
            <w:vAlign w:val="bottom"/>
            <w:tcBorders>
              <w:bottom w:val="single" w:sz="8" w:color="CFF0FC"/>
            </w:tcBorders>
          </w:tcPr>
          <w:p>
            <w:pPr>
              <w:spacing w:after="0"/>
              <w:rPr>
                <w:sz w:val="13"/>
                <w:szCs w:val="13"/>
                <w:color w:val="auto"/>
              </w:rPr>
            </w:pP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2,834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520" w:type="dxa"/>
            <w:vAlign w:val="bottom"/>
            <w:shd w:val="clear" w:color="auto" w:fill="CFF0FC"/>
          </w:tcPr>
          <w:p>
            <w:pPr>
              <w:spacing w:after="0" w:line="145" w:lineRule="exact"/>
              <w:rPr>
                <w:sz w:val="20"/>
                <w:szCs w:val="20"/>
                <w:color w:val="auto"/>
              </w:rPr>
            </w:pPr>
            <w:r>
              <w:rPr>
                <w:rFonts w:ascii="Arial" w:cs="Arial" w:eastAsia="Arial" w:hAnsi="Arial"/>
                <w:sz w:val="14"/>
                <w:szCs w:val="14"/>
                <w:b w:val="1"/>
                <w:bCs w:val="1"/>
                <w:color w:val="auto"/>
              </w:rPr>
              <w:t>Total non-current assets</w:t>
            </w:r>
          </w:p>
        </w:tc>
        <w:tc>
          <w:tcPr>
            <w:tcW w:w="140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2,610,149</w:t>
            </w:r>
          </w:p>
        </w:tc>
        <w:tc>
          <w:tcPr>
            <w:tcW w:w="280" w:type="dxa"/>
            <w:vAlign w:val="bottom"/>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3,921,710</w:t>
            </w:r>
          </w:p>
        </w:tc>
        <w:tc>
          <w:tcPr>
            <w:tcW w:w="280" w:type="dxa"/>
            <w:vAlign w:val="bottom"/>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548,668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20" w:type="dxa"/>
            <w:vAlign w:val="bottom"/>
            <w:tcBorders>
              <w:bottom w:val="single" w:sz="8" w:color="CFF0FC"/>
            </w:tcBorders>
          </w:tcPr>
          <w:p>
            <w:pPr>
              <w:spacing w:after="0" w:line="145" w:lineRule="exact"/>
              <w:rPr>
                <w:sz w:val="20"/>
                <w:szCs w:val="20"/>
                <w:color w:val="auto"/>
              </w:rPr>
            </w:pPr>
            <w:r>
              <w:rPr>
                <w:rFonts w:ascii="Arial" w:cs="Arial" w:eastAsia="Arial" w:hAnsi="Arial"/>
                <w:sz w:val="14"/>
                <w:szCs w:val="14"/>
                <w:b w:val="1"/>
                <w:bCs w:val="1"/>
                <w:color w:val="auto"/>
              </w:rPr>
              <w:t>Total assets</w:t>
            </w:r>
          </w:p>
        </w:tc>
        <w:tc>
          <w:tcPr>
            <w:tcW w:w="1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4,630,719</w:t>
            </w:r>
          </w:p>
        </w:tc>
        <w:tc>
          <w:tcPr>
            <w:tcW w:w="280" w:type="dxa"/>
            <w:vAlign w:val="bottom"/>
            <w:tcBorders>
              <w:bottom w:val="single" w:sz="8" w:color="CFF0FC"/>
            </w:tcBorders>
          </w:tcPr>
          <w:p>
            <w:pPr>
              <w:spacing w:after="0"/>
              <w:rPr>
                <w:sz w:val="16"/>
                <w:szCs w:val="16"/>
                <w:color w:val="auto"/>
              </w:rPr>
            </w:pPr>
          </w:p>
        </w:tc>
        <w:tc>
          <w:tcPr>
            <w:tcW w:w="1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6,858,197</w:t>
            </w:r>
          </w:p>
        </w:tc>
        <w:tc>
          <w:tcPr>
            <w:tcW w:w="280" w:type="dxa"/>
            <w:vAlign w:val="bottom"/>
            <w:tcBorders>
              <w:bottom w:val="single" w:sz="8" w:color="CFF0FC"/>
            </w:tcBorders>
          </w:tcPr>
          <w:p>
            <w:pPr>
              <w:spacing w:after="0"/>
              <w:rPr>
                <w:sz w:val="16"/>
                <w:szCs w:val="16"/>
                <w:color w:val="auto"/>
              </w:rPr>
            </w:pPr>
          </w:p>
        </w:tc>
        <w:tc>
          <w:tcPr>
            <w:tcW w:w="1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959,497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520" w:type="dxa"/>
            <w:vAlign w:val="bottom"/>
            <w:shd w:val="clear" w:color="auto" w:fill="CFF0FC"/>
          </w:tcPr>
          <w:p>
            <w:pPr>
              <w:spacing w:after="0" w:line="131" w:lineRule="exact"/>
              <w:rPr>
                <w:sz w:val="20"/>
                <w:szCs w:val="20"/>
                <w:color w:val="auto"/>
              </w:rPr>
            </w:pPr>
            <w:r>
              <w:rPr>
                <w:rFonts w:ascii="Arial" w:cs="Arial" w:eastAsia="Arial" w:hAnsi="Arial"/>
                <w:sz w:val="14"/>
                <w:szCs w:val="14"/>
                <w:b w:val="1"/>
                <w:bCs w:val="1"/>
                <w:color w:val="auto"/>
              </w:rPr>
              <w:t>LIABILITIES AND SHAREHOLDERS’ EQUITY</w:t>
            </w:r>
          </w:p>
        </w:tc>
        <w:tc>
          <w:tcPr>
            <w:tcW w:w="1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line="153" w:lineRule="exact"/>
              <w:rPr>
                <w:sz w:val="20"/>
                <w:szCs w:val="20"/>
                <w:color w:val="auto"/>
              </w:rPr>
            </w:pPr>
            <w:r>
              <w:rPr>
                <w:rFonts w:ascii="Arial" w:cs="Arial" w:eastAsia="Arial" w:hAnsi="Arial"/>
                <w:sz w:val="14"/>
                <w:szCs w:val="14"/>
                <w:b w:val="1"/>
                <w:bCs w:val="1"/>
                <w:color w:val="auto"/>
              </w:rPr>
              <w:t>Current liabilities:</w:t>
            </w: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Short-term loans</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267,665</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Accounts payable</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264,753</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218,704</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30,598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Amounts due to related parties</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25,218</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25,052</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3,505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Advances from customers</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54,601</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69,611</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9,739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Taxes payable</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101,386</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137,031</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19,171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Salary and welfare payable</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132,316</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156,132</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21,845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520" w:type="dxa"/>
            <w:vAlign w:val="bottom"/>
            <w:shd w:val="clear" w:color="auto" w:fill="CFF0FC"/>
          </w:tcPr>
          <w:p>
            <w:pPr>
              <w:ind w:left="240"/>
              <w:spacing w:after="0" w:line="134" w:lineRule="exact"/>
              <w:rPr>
                <w:sz w:val="20"/>
                <w:szCs w:val="20"/>
                <w:color w:val="auto"/>
              </w:rPr>
            </w:pPr>
            <w:r>
              <w:rPr>
                <w:rFonts w:ascii="Arial" w:cs="Arial" w:eastAsia="Arial" w:hAnsi="Arial"/>
                <w:sz w:val="14"/>
                <w:szCs w:val="14"/>
                <w:color w:val="auto"/>
              </w:rPr>
              <w:t>Amounts received from proposed buyers of investments in</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520" w:type="dxa"/>
            <w:vAlign w:val="bottom"/>
            <w:shd w:val="clear" w:color="auto" w:fill="CFF0FC"/>
          </w:tcPr>
          <w:p>
            <w:pPr>
              <w:ind w:left="340"/>
              <w:spacing w:after="0" w:line="158" w:lineRule="exact"/>
              <w:rPr>
                <w:sz w:val="20"/>
                <w:szCs w:val="20"/>
                <w:color w:val="auto"/>
              </w:rPr>
            </w:pPr>
            <w:r>
              <w:rPr>
                <w:rFonts w:ascii="Arial" w:cs="Arial" w:eastAsia="Arial" w:hAnsi="Arial"/>
                <w:sz w:val="14"/>
                <w:szCs w:val="14"/>
                <w:color w:val="auto"/>
              </w:rPr>
              <w:t>Particle</w:t>
            </w:r>
          </w:p>
        </w:tc>
        <w:tc>
          <w:tcPr>
            <w:tcW w:w="140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1,419,633</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198,614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Accrued expenses and other current liabilities</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227,328</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289,275</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40,471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Operating lease liabilities**</w:t>
            </w:r>
          </w:p>
        </w:tc>
        <w:tc>
          <w:tcPr>
            <w:tcW w:w="14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34,734</w:t>
            </w:r>
          </w:p>
        </w:tc>
        <w:tc>
          <w:tcPr>
            <w:tcW w:w="280" w:type="dxa"/>
            <w:vAlign w:val="bottom"/>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4,859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520" w:type="dxa"/>
            <w:vAlign w:val="bottom"/>
            <w:tcBorders>
              <w:bottom w:val="single" w:sz="8" w:color="CFF0FC"/>
            </w:tcBorders>
          </w:tcPr>
          <w:p>
            <w:pPr>
              <w:spacing w:after="0" w:line="145" w:lineRule="exact"/>
              <w:rPr>
                <w:sz w:val="20"/>
                <w:szCs w:val="20"/>
                <w:color w:val="auto"/>
              </w:rPr>
            </w:pPr>
            <w:r>
              <w:rPr>
                <w:rFonts w:ascii="Arial" w:cs="Arial" w:eastAsia="Arial" w:hAnsi="Arial"/>
                <w:sz w:val="14"/>
                <w:szCs w:val="14"/>
                <w:b w:val="1"/>
                <w:bCs w:val="1"/>
                <w:color w:val="auto"/>
              </w:rPr>
              <w:t>Total current liabilities</w:t>
            </w:r>
          </w:p>
        </w:tc>
        <w:tc>
          <w:tcPr>
            <w:tcW w:w="1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1,073,267</w:t>
            </w:r>
          </w:p>
        </w:tc>
        <w:tc>
          <w:tcPr>
            <w:tcW w:w="280" w:type="dxa"/>
            <w:vAlign w:val="bottom"/>
            <w:tcBorders>
              <w:bottom w:val="single" w:sz="8" w:color="CFF0FC"/>
            </w:tcBorders>
          </w:tcPr>
          <w:p>
            <w:pPr>
              <w:spacing w:after="0"/>
              <w:rPr>
                <w:sz w:val="12"/>
                <w:szCs w:val="12"/>
                <w:color w:val="auto"/>
              </w:rPr>
            </w:pPr>
          </w:p>
        </w:tc>
        <w:tc>
          <w:tcPr>
            <w:tcW w:w="1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2,350,172</w:t>
            </w:r>
          </w:p>
        </w:tc>
        <w:tc>
          <w:tcPr>
            <w:tcW w:w="280" w:type="dxa"/>
            <w:vAlign w:val="bottom"/>
            <w:tcBorders>
              <w:bottom w:val="single" w:sz="8" w:color="CFF0FC"/>
            </w:tcBorders>
          </w:tcPr>
          <w:p>
            <w:pPr>
              <w:spacing w:after="0"/>
              <w:rPr>
                <w:sz w:val="12"/>
                <w:szCs w:val="12"/>
                <w:color w:val="auto"/>
              </w:rPr>
            </w:pPr>
          </w:p>
        </w:tc>
        <w:tc>
          <w:tcPr>
            <w:tcW w:w="1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328,802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20" w:type="dxa"/>
            <w:vAlign w:val="bottom"/>
            <w:shd w:val="clear" w:color="auto" w:fill="CFF0FC"/>
          </w:tcPr>
          <w:p>
            <w:pPr>
              <w:spacing w:after="0" w:line="145" w:lineRule="exact"/>
              <w:rPr>
                <w:sz w:val="20"/>
                <w:szCs w:val="20"/>
                <w:color w:val="auto"/>
              </w:rPr>
            </w:pPr>
            <w:r>
              <w:rPr>
                <w:rFonts w:ascii="Arial" w:cs="Arial" w:eastAsia="Arial" w:hAnsi="Arial"/>
                <w:sz w:val="14"/>
                <w:szCs w:val="14"/>
                <w:b w:val="1"/>
                <w:bCs w:val="1"/>
                <w:color w:val="auto"/>
              </w:rPr>
              <w:t>Non-current liabilities:</w:t>
            </w:r>
          </w:p>
        </w:tc>
        <w:tc>
          <w:tcPr>
            <w:tcW w:w="1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Deferred tax liabilities</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140,960</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256,956</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35,949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Long-term liabilities</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26,131</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26,131</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3,656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Borders>
              <w:bottom w:val="single" w:sz="8" w:color="CFF0FC"/>
            </w:tcBorders>
          </w:tcPr>
          <w:p>
            <w:pPr>
              <w:ind w:left="240"/>
              <w:spacing w:after="0" w:line="153" w:lineRule="exact"/>
              <w:rPr>
                <w:sz w:val="20"/>
                <w:szCs w:val="20"/>
                <w:color w:val="auto"/>
              </w:rPr>
            </w:pPr>
            <w:r>
              <w:rPr>
                <w:rFonts w:ascii="Arial" w:cs="Arial" w:eastAsia="Arial" w:hAnsi="Arial"/>
                <w:sz w:val="14"/>
                <w:szCs w:val="14"/>
                <w:color w:val="auto"/>
              </w:rPr>
              <w:t>Operating lease liabilities**</w:t>
            </w: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58,469</w:t>
            </w:r>
          </w:p>
        </w:tc>
        <w:tc>
          <w:tcPr>
            <w:tcW w:w="280" w:type="dxa"/>
            <w:vAlign w:val="bottom"/>
            <w:tcBorders>
              <w:bottom w:val="single" w:sz="8" w:color="CFF0FC"/>
            </w:tcBorders>
          </w:tcPr>
          <w:p>
            <w:pPr>
              <w:spacing w:after="0"/>
              <w:rPr>
                <w:sz w:val="13"/>
                <w:szCs w:val="13"/>
                <w:color w:val="auto"/>
              </w:rPr>
            </w:pP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8,180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520" w:type="dxa"/>
            <w:vAlign w:val="bottom"/>
            <w:shd w:val="clear" w:color="auto" w:fill="CFF0FC"/>
          </w:tcPr>
          <w:p>
            <w:pPr>
              <w:spacing w:after="0" w:line="145" w:lineRule="exact"/>
              <w:rPr>
                <w:sz w:val="20"/>
                <w:szCs w:val="20"/>
                <w:color w:val="auto"/>
              </w:rPr>
            </w:pPr>
            <w:r>
              <w:rPr>
                <w:rFonts w:ascii="Arial" w:cs="Arial" w:eastAsia="Arial" w:hAnsi="Arial"/>
                <w:sz w:val="14"/>
                <w:szCs w:val="14"/>
                <w:b w:val="1"/>
                <w:bCs w:val="1"/>
                <w:color w:val="auto"/>
              </w:rPr>
              <w:t>Total non-current liabilities</w:t>
            </w:r>
          </w:p>
        </w:tc>
        <w:tc>
          <w:tcPr>
            <w:tcW w:w="140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167,091</w:t>
            </w:r>
          </w:p>
        </w:tc>
        <w:tc>
          <w:tcPr>
            <w:tcW w:w="280" w:type="dxa"/>
            <w:vAlign w:val="bottom"/>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341,556</w:t>
            </w:r>
          </w:p>
        </w:tc>
        <w:tc>
          <w:tcPr>
            <w:tcW w:w="280" w:type="dxa"/>
            <w:vAlign w:val="bottom"/>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47,785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20" w:type="dxa"/>
            <w:vAlign w:val="bottom"/>
            <w:tcBorders>
              <w:bottom w:val="single" w:sz="8" w:color="CFF0FC"/>
            </w:tcBorders>
          </w:tcPr>
          <w:p>
            <w:pPr>
              <w:spacing w:after="0" w:line="145" w:lineRule="exact"/>
              <w:rPr>
                <w:sz w:val="20"/>
                <w:szCs w:val="20"/>
                <w:color w:val="auto"/>
              </w:rPr>
            </w:pPr>
            <w:r>
              <w:rPr>
                <w:rFonts w:ascii="Arial" w:cs="Arial" w:eastAsia="Arial" w:hAnsi="Arial"/>
                <w:sz w:val="14"/>
                <w:szCs w:val="14"/>
                <w:b w:val="1"/>
                <w:bCs w:val="1"/>
                <w:color w:val="auto"/>
              </w:rPr>
              <w:t>Total liabilities</w:t>
            </w:r>
          </w:p>
        </w:tc>
        <w:tc>
          <w:tcPr>
            <w:tcW w:w="1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1,240,358</w:t>
            </w:r>
          </w:p>
        </w:tc>
        <w:tc>
          <w:tcPr>
            <w:tcW w:w="280" w:type="dxa"/>
            <w:vAlign w:val="bottom"/>
            <w:tcBorders>
              <w:bottom w:val="single" w:sz="8" w:color="CFF0FC"/>
            </w:tcBorders>
          </w:tcPr>
          <w:p>
            <w:pPr>
              <w:spacing w:after="0"/>
              <w:rPr>
                <w:sz w:val="16"/>
                <w:szCs w:val="16"/>
                <w:color w:val="auto"/>
              </w:rPr>
            </w:pPr>
          </w:p>
        </w:tc>
        <w:tc>
          <w:tcPr>
            <w:tcW w:w="1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2,691,728</w:t>
            </w:r>
          </w:p>
        </w:tc>
        <w:tc>
          <w:tcPr>
            <w:tcW w:w="280" w:type="dxa"/>
            <w:vAlign w:val="bottom"/>
            <w:tcBorders>
              <w:bottom w:val="single" w:sz="8" w:color="CFF0FC"/>
            </w:tcBorders>
          </w:tcPr>
          <w:p>
            <w:pPr>
              <w:spacing w:after="0"/>
              <w:rPr>
                <w:sz w:val="16"/>
                <w:szCs w:val="16"/>
                <w:color w:val="auto"/>
              </w:rPr>
            </w:pPr>
          </w:p>
        </w:tc>
        <w:tc>
          <w:tcPr>
            <w:tcW w:w="1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376,587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520" w:type="dxa"/>
            <w:vAlign w:val="bottom"/>
            <w:shd w:val="clear" w:color="auto" w:fill="CFF0FC"/>
          </w:tcPr>
          <w:p>
            <w:pPr>
              <w:spacing w:after="0" w:line="131" w:lineRule="exact"/>
              <w:rPr>
                <w:sz w:val="20"/>
                <w:szCs w:val="20"/>
                <w:color w:val="auto"/>
              </w:rPr>
            </w:pPr>
            <w:r>
              <w:rPr>
                <w:rFonts w:ascii="Arial" w:cs="Arial" w:eastAsia="Arial" w:hAnsi="Arial"/>
                <w:sz w:val="14"/>
                <w:szCs w:val="14"/>
                <w:b w:val="1"/>
                <w:bCs w:val="1"/>
                <w:color w:val="auto"/>
              </w:rPr>
              <w:t>Shareholders’ equity:</w:t>
            </w:r>
          </w:p>
        </w:tc>
        <w:tc>
          <w:tcPr>
            <w:tcW w:w="1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line="153" w:lineRule="exact"/>
              <w:rPr>
                <w:sz w:val="20"/>
                <w:szCs w:val="20"/>
                <w:color w:val="auto"/>
              </w:rPr>
            </w:pPr>
            <w:r>
              <w:rPr>
                <w:rFonts w:ascii="Arial" w:cs="Arial" w:eastAsia="Arial" w:hAnsi="Arial"/>
                <w:sz w:val="14"/>
                <w:szCs w:val="14"/>
                <w:color w:val="auto"/>
              </w:rPr>
              <w:t>Phoenix New Media Limited shareholders' equity:</w:t>
            </w: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Class A ordinary shares</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17,487</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17,499</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2,448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Class B ordinary shares</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22,053</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22,053</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3,085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Additional paid-in capital</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1,604,588</w:t>
            </w:r>
          </w:p>
        </w:tc>
        <w:tc>
          <w:tcPr>
            <w:tcW w:w="2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1,608,241</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225,001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tcPr>
          <w:p>
            <w:pPr>
              <w:ind w:left="240"/>
              <w:spacing w:after="0" w:line="153" w:lineRule="exact"/>
              <w:rPr>
                <w:sz w:val="20"/>
                <w:szCs w:val="20"/>
                <w:color w:val="auto"/>
              </w:rPr>
            </w:pPr>
            <w:r>
              <w:rPr>
                <w:rFonts w:ascii="Arial" w:cs="Arial" w:eastAsia="Arial" w:hAnsi="Arial"/>
                <w:sz w:val="14"/>
                <w:szCs w:val="14"/>
                <w:color w:val="auto"/>
              </w:rPr>
              <w:t>Statutory reserves</w:t>
            </w: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87,620</w:t>
            </w:r>
          </w:p>
        </w:tc>
        <w:tc>
          <w:tcPr>
            <w:tcW w:w="280" w:type="dxa"/>
            <w:vAlign w:val="bottom"/>
          </w:tcPr>
          <w:p>
            <w:pPr>
              <w:spacing w:after="0"/>
              <w:rPr>
                <w:sz w:val="13"/>
                <w:szCs w:val="13"/>
                <w:color w:val="auto"/>
              </w:rPr>
            </w:pPr>
          </w:p>
        </w:tc>
        <w:tc>
          <w:tcPr>
            <w:tcW w:w="1420" w:type="dxa"/>
            <w:vAlign w:val="bottom"/>
          </w:tcPr>
          <w:p>
            <w:pPr>
              <w:jc w:val="right"/>
              <w:spacing w:after="0" w:line="153" w:lineRule="exact"/>
              <w:rPr>
                <w:sz w:val="20"/>
                <w:szCs w:val="20"/>
                <w:color w:val="auto"/>
              </w:rPr>
            </w:pPr>
            <w:r>
              <w:rPr>
                <w:rFonts w:ascii="Arial" w:cs="Arial" w:eastAsia="Arial" w:hAnsi="Arial"/>
                <w:sz w:val="14"/>
                <w:szCs w:val="14"/>
                <w:color w:val="auto"/>
              </w:rPr>
              <w:t>87,620</w:t>
            </w:r>
          </w:p>
        </w:tc>
        <w:tc>
          <w:tcPr>
            <w:tcW w:w="28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color w:val="auto"/>
              </w:rPr>
              <w:t>12,258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Retained earnings/(accumulated deficits)</w:t>
            </w:r>
          </w:p>
        </w:tc>
        <w:tc>
          <w:tcPr>
            <w:tcW w:w="14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159,621</w:t>
            </w:r>
          </w:p>
        </w:tc>
        <w:tc>
          <w:tcPr>
            <w:tcW w:w="28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40"/>
              <w:spacing w:after="0" w:line="153" w:lineRule="exact"/>
              <w:rPr>
                <w:sz w:val="20"/>
                <w:szCs w:val="20"/>
                <w:color w:val="auto"/>
              </w:rPr>
            </w:pPr>
            <w:r>
              <w:rPr>
                <w:rFonts w:ascii="Arial" w:cs="Arial" w:eastAsia="Arial" w:hAnsi="Arial"/>
                <w:sz w:val="14"/>
                <w:szCs w:val="14"/>
                <w:color w:val="auto"/>
              </w:rPr>
              <w:t>(24,304)</w:t>
            </w:r>
          </w:p>
        </w:tc>
        <w:tc>
          <w:tcPr>
            <w:tcW w:w="1520" w:type="dxa"/>
            <w:vAlign w:val="bottom"/>
            <w:gridSpan w:val="2"/>
            <w:shd w:val="clear" w:color="auto" w:fill="CFF0FC"/>
          </w:tcPr>
          <w:p>
            <w:pPr>
              <w:jc w:val="right"/>
              <w:ind w:right="80"/>
              <w:spacing w:after="0" w:line="153" w:lineRule="exact"/>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152"/>
        </w:trPr>
        <w:tc>
          <w:tcPr>
            <w:tcW w:w="6520" w:type="dxa"/>
            <w:vAlign w:val="bottom"/>
            <w:tcBorders>
              <w:bottom w:val="single" w:sz="8" w:color="CFF0FC"/>
            </w:tcBorders>
          </w:tcPr>
          <w:p>
            <w:pPr>
              <w:ind w:left="240"/>
              <w:spacing w:after="0" w:line="153" w:lineRule="exact"/>
              <w:rPr>
                <w:sz w:val="20"/>
                <w:szCs w:val="20"/>
                <w:color w:val="auto"/>
              </w:rPr>
            </w:pPr>
            <w:r>
              <w:rPr>
                <w:rFonts w:ascii="Arial" w:cs="Arial" w:eastAsia="Arial" w:hAnsi="Arial"/>
                <w:sz w:val="14"/>
                <w:szCs w:val="14"/>
                <w:color w:val="auto"/>
              </w:rPr>
              <w:t>Accumulated other comprehensive income</w:t>
            </w: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1,188,358</w:t>
            </w:r>
          </w:p>
        </w:tc>
        <w:tc>
          <w:tcPr>
            <w:tcW w:w="2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2,254,404</w:t>
            </w:r>
          </w:p>
        </w:tc>
        <w:tc>
          <w:tcPr>
            <w:tcW w:w="280" w:type="dxa"/>
            <w:vAlign w:val="bottom"/>
            <w:tcBorders>
              <w:bottom w:val="single" w:sz="8" w:color="CFF0FC"/>
            </w:tcBorders>
          </w:tcPr>
          <w:p>
            <w:pPr>
              <w:spacing w:after="0"/>
              <w:rPr>
                <w:sz w:val="13"/>
                <w:szCs w:val="13"/>
                <w:color w:val="auto"/>
              </w:rPr>
            </w:pP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315,403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520" w:type="dxa"/>
            <w:vAlign w:val="bottom"/>
            <w:shd w:val="clear" w:color="auto" w:fill="CFF0FC"/>
          </w:tcPr>
          <w:p>
            <w:pPr>
              <w:spacing w:after="0" w:line="145" w:lineRule="exact"/>
              <w:rPr>
                <w:sz w:val="20"/>
                <w:szCs w:val="20"/>
                <w:color w:val="auto"/>
              </w:rPr>
            </w:pPr>
            <w:r>
              <w:rPr>
                <w:rFonts w:ascii="Arial" w:cs="Arial" w:eastAsia="Arial" w:hAnsi="Arial"/>
                <w:sz w:val="14"/>
                <w:szCs w:val="14"/>
                <w:color w:val="auto"/>
              </w:rPr>
              <w:t>Total Phoenix New Media Limited shareholders’ equity</w:t>
            </w:r>
          </w:p>
        </w:tc>
        <w:tc>
          <w:tcPr>
            <w:tcW w:w="1400" w:type="dxa"/>
            <w:vAlign w:val="bottom"/>
            <w:shd w:val="clear" w:color="auto" w:fill="CFF0FC"/>
          </w:tcPr>
          <w:p>
            <w:pPr>
              <w:jc w:val="right"/>
              <w:spacing w:after="0" w:line="145" w:lineRule="exact"/>
              <w:rPr>
                <w:sz w:val="20"/>
                <w:szCs w:val="20"/>
                <w:color w:val="auto"/>
              </w:rPr>
            </w:pPr>
            <w:r>
              <w:rPr>
                <w:rFonts w:ascii="Arial" w:cs="Arial" w:eastAsia="Arial" w:hAnsi="Arial"/>
                <w:sz w:val="14"/>
                <w:szCs w:val="14"/>
                <w:color w:val="auto"/>
              </w:rPr>
              <w:t>3,079,727</w:t>
            </w:r>
          </w:p>
        </w:tc>
        <w:tc>
          <w:tcPr>
            <w:tcW w:w="2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5" w:lineRule="exact"/>
              <w:rPr>
                <w:sz w:val="20"/>
                <w:szCs w:val="20"/>
                <w:color w:val="auto"/>
              </w:rPr>
            </w:pPr>
            <w:r>
              <w:rPr>
                <w:rFonts w:ascii="Arial" w:cs="Arial" w:eastAsia="Arial" w:hAnsi="Arial"/>
                <w:sz w:val="14"/>
                <w:szCs w:val="14"/>
                <w:color w:val="auto"/>
              </w:rPr>
              <w:t>3,965,513</w:t>
            </w:r>
          </w:p>
        </w:tc>
        <w:tc>
          <w:tcPr>
            <w:tcW w:w="2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5" w:lineRule="exact"/>
              <w:rPr>
                <w:sz w:val="20"/>
                <w:szCs w:val="20"/>
                <w:color w:val="auto"/>
              </w:rPr>
            </w:pPr>
            <w:r>
              <w:rPr>
                <w:rFonts w:ascii="Arial" w:cs="Arial" w:eastAsia="Arial" w:hAnsi="Arial"/>
                <w:sz w:val="14"/>
                <w:szCs w:val="14"/>
                <w:color w:val="auto"/>
              </w:rPr>
              <w:t>554,795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520" w:type="dxa"/>
            <w:vAlign w:val="bottom"/>
            <w:tcBorders>
              <w:bottom w:val="single" w:sz="8" w:color="CFF0FC"/>
            </w:tcBorders>
          </w:tcPr>
          <w:p>
            <w:pPr>
              <w:spacing w:after="0" w:line="153" w:lineRule="exact"/>
              <w:rPr>
                <w:sz w:val="20"/>
                <w:szCs w:val="20"/>
                <w:color w:val="auto"/>
              </w:rPr>
            </w:pPr>
            <w:r>
              <w:rPr>
                <w:rFonts w:ascii="Arial" w:cs="Arial" w:eastAsia="Arial" w:hAnsi="Arial"/>
                <w:sz w:val="14"/>
                <w:szCs w:val="14"/>
                <w:color w:val="auto"/>
              </w:rPr>
              <w:t>Noncontrolling interests</w:t>
            </w: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310,634</w:t>
            </w:r>
          </w:p>
        </w:tc>
        <w:tc>
          <w:tcPr>
            <w:tcW w:w="2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200,956</w:t>
            </w:r>
          </w:p>
        </w:tc>
        <w:tc>
          <w:tcPr>
            <w:tcW w:w="280" w:type="dxa"/>
            <w:vAlign w:val="bottom"/>
            <w:tcBorders>
              <w:bottom w:val="single" w:sz="8" w:color="CFF0FC"/>
            </w:tcBorders>
          </w:tcPr>
          <w:p>
            <w:pPr>
              <w:spacing w:after="0"/>
              <w:rPr>
                <w:sz w:val="13"/>
                <w:szCs w:val="13"/>
                <w:color w:val="auto"/>
              </w:rPr>
            </w:pPr>
          </w:p>
        </w:tc>
        <w:tc>
          <w:tcPr>
            <w:tcW w:w="1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28,115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520" w:type="dxa"/>
            <w:vAlign w:val="bottom"/>
            <w:shd w:val="clear" w:color="auto" w:fill="CFF0FC"/>
          </w:tcPr>
          <w:p>
            <w:pPr>
              <w:spacing w:after="0" w:line="145" w:lineRule="exact"/>
              <w:rPr>
                <w:sz w:val="20"/>
                <w:szCs w:val="20"/>
                <w:color w:val="auto"/>
              </w:rPr>
            </w:pPr>
            <w:r>
              <w:rPr>
                <w:rFonts w:ascii="Arial" w:cs="Arial" w:eastAsia="Arial" w:hAnsi="Arial"/>
                <w:sz w:val="14"/>
                <w:szCs w:val="14"/>
                <w:b w:val="1"/>
                <w:bCs w:val="1"/>
                <w:color w:val="auto"/>
              </w:rPr>
              <w:t>Total shareholders' equity</w:t>
            </w:r>
          </w:p>
        </w:tc>
        <w:tc>
          <w:tcPr>
            <w:tcW w:w="140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3,390,361</w:t>
            </w:r>
          </w:p>
        </w:tc>
        <w:tc>
          <w:tcPr>
            <w:tcW w:w="280" w:type="dxa"/>
            <w:vAlign w:val="bottom"/>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4,166,469</w:t>
            </w:r>
          </w:p>
        </w:tc>
        <w:tc>
          <w:tcPr>
            <w:tcW w:w="280" w:type="dxa"/>
            <w:vAlign w:val="bottom"/>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582,910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20" w:type="dxa"/>
            <w:vAlign w:val="bottom"/>
          </w:tcPr>
          <w:p>
            <w:pPr>
              <w:spacing w:after="0" w:line="145" w:lineRule="exact"/>
              <w:rPr>
                <w:sz w:val="20"/>
                <w:szCs w:val="20"/>
                <w:color w:val="auto"/>
              </w:rPr>
            </w:pPr>
            <w:r>
              <w:rPr>
                <w:rFonts w:ascii="Arial" w:cs="Arial" w:eastAsia="Arial" w:hAnsi="Arial"/>
                <w:sz w:val="14"/>
                <w:szCs w:val="14"/>
                <w:b w:val="1"/>
                <w:bCs w:val="1"/>
                <w:color w:val="auto"/>
              </w:rPr>
              <w:t>Total liabilities and shareholders’ equity</w:t>
            </w:r>
          </w:p>
        </w:tc>
        <w:tc>
          <w:tcPr>
            <w:tcW w:w="1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4,630,719</w:t>
            </w:r>
          </w:p>
        </w:tc>
        <w:tc>
          <w:tcPr>
            <w:tcW w:w="280" w:type="dxa"/>
            <w:vAlign w:val="bottom"/>
          </w:tcPr>
          <w:p>
            <w:pPr>
              <w:spacing w:after="0"/>
              <w:rPr>
                <w:sz w:val="12"/>
                <w:szCs w:val="12"/>
                <w:color w:val="auto"/>
              </w:rPr>
            </w:pPr>
          </w:p>
        </w:tc>
        <w:tc>
          <w:tcPr>
            <w:tcW w:w="1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6,858,197</w:t>
            </w:r>
          </w:p>
        </w:tc>
        <w:tc>
          <w:tcPr>
            <w:tcW w:w="280" w:type="dxa"/>
            <w:vAlign w:val="bottom"/>
          </w:tcPr>
          <w:p>
            <w:pPr>
              <w:spacing w:after="0"/>
              <w:rPr>
                <w:sz w:val="12"/>
                <w:szCs w:val="12"/>
                <w:color w:val="auto"/>
              </w:rPr>
            </w:pPr>
          </w:p>
        </w:tc>
        <w:tc>
          <w:tcPr>
            <w:tcW w:w="1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959,497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40" w:hanging="438"/>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Derived from audited financial statements included in the Company's Form 20-F dated April 26, 2019.</w:t>
      </w:r>
    </w:p>
    <w:p>
      <w:pPr>
        <w:ind w:left="440" w:right="140" w:hanging="438"/>
        <w:spacing w:after="0" w:line="282" w:lineRule="auto"/>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 adopted the new leasing guidance (ASU 2016-2) started from January 1, 2019, which requires that a lessee recognize the assets and liabilities that arise from operating leases. The Company recognized a right-of-use asset and a liability relating to lease payments (the Lease Liability) in the statements of financial position for lease contracts having terms beyond 12 months period.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9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Phoenix New Media Limited</w:t>
      </w:r>
    </w:p>
    <w:p>
      <w:pPr>
        <w:jc w:val="center"/>
        <w:spacing w:after="0" w:line="208" w:lineRule="auto"/>
        <w:rPr>
          <w:sz w:val="20"/>
          <w:szCs w:val="20"/>
          <w:color w:val="auto"/>
        </w:rPr>
      </w:pPr>
      <w:r>
        <w:rPr>
          <w:rFonts w:ascii="Arial" w:cs="Arial" w:eastAsia="Arial" w:hAnsi="Arial"/>
          <w:sz w:val="14"/>
          <w:szCs w:val="14"/>
          <w:b w:val="1"/>
          <w:bCs w:val="1"/>
          <w:color w:val="auto"/>
        </w:rPr>
        <w:t>Condensed Consolidated Statements of Comprehensive Income/(loss)</w:t>
      </w:r>
    </w:p>
    <w:p>
      <w:pPr>
        <w:jc w:val="center"/>
        <w:spacing w:after="0"/>
        <w:rPr>
          <w:sz w:val="20"/>
          <w:szCs w:val="20"/>
          <w:color w:val="auto"/>
        </w:rPr>
      </w:pPr>
      <w:r>
        <w:rPr>
          <w:rFonts w:ascii="Arial" w:cs="Arial" w:eastAsia="Arial" w:hAnsi="Arial"/>
          <w:sz w:val="14"/>
          <w:szCs w:val="14"/>
          <w:b w:val="1"/>
          <w:bCs w:val="1"/>
          <w:color w:val="auto"/>
        </w:rPr>
        <w:t>(Amounts in thousands, except for number of shares and per share (or ADS) data)</w:t>
      </w:r>
    </w:p>
    <w:tbl>
      <w:tblPr>
        <w:tblLayout w:type="fixed"/>
        <w:tblInd w:w="0" w:type="dxa"/>
        <w:tblCellMar>
          <w:top w:w="0" w:type="dxa"/>
          <w:left w:w="0" w:type="dxa"/>
          <w:bottom w:w="0" w:type="dxa"/>
          <w:right w:w="0" w:type="dxa"/>
        </w:tblCellMar>
      </w:tblPr>
      <w:tr>
        <w:trPr>
          <w:trHeight w:val="125"/>
        </w:trPr>
        <w:tc>
          <w:tcPr>
            <w:tcW w:w="302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4"/>
          </w:tcPr>
          <w:p>
            <w:pPr>
              <w:jc w:val="right"/>
              <w:ind w:right="920"/>
              <w:spacing w:after="0" w:line="125" w:lineRule="exact"/>
              <w:rPr>
                <w:sz w:val="20"/>
                <w:szCs w:val="20"/>
                <w:color w:val="auto"/>
              </w:rPr>
            </w:pPr>
            <w:r>
              <w:rPr>
                <w:rFonts w:ascii="Arial" w:cs="Arial" w:eastAsia="Arial" w:hAnsi="Arial"/>
                <w:sz w:val="11"/>
                <w:szCs w:val="11"/>
                <w:b w:val="1"/>
                <w:bCs w:val="1"/>
                <w:color w:val="auto"/>
              </w:rPr>
              <w:t>Three Months Ended</w:t>
            </w:r>
          </w:p>
        </w:tc>
        <w:tc>
          <w:tcPr>
            <w:tcW w:w="9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jc w:val="right"/>
              <w:ind w:right="380"/>
              <w:spacing w:after="0" w:line="125" w:lineRule="exact"/>
              <w:rPr>
                <w:sz w:val="20"/>
                <w:szCs w:val="20"/>
                <w:color w:val="auto"/>
              </w:rPr>
            </w:pPr>
            <w:r>
              <w:rPr>
                <w:rFonts w:ascii="Arial" w:cs="Arial" w:eastAsia="Arial" w:hAnsi="Arial"/>
                <w:sz w:val="11"/>
                <w:szCs w:val="11"/>
                <w:b w:val="1"/>
                <w:bCs w:val="1"/>
                <w:color w:val="auto"/>
                <w:w w:val="95"/>
              </w:rPr>
              <w:t>Nine Months Ended</w:t>
            </w:r>
          </w:p>
        </w:tc>
        <w:tc>
          <w:tcPr>
            <w:tcW w:w="920" w:type="dxa"/>
            <w:vAlign w:val="bottom"/>
            <w:tcBorders>
              <w:bottom w:val="single" w:sz="8" w:color="auto"/>
            </w:tcBorders>
          </w:tcPr>
          <w:p>
            <w:pPr>
              <w:spacing w:after="0"/>
              <w:rPr>
                <w:sz w:val="10"/>
                <w:szCs w:val="10"/>
                <w:color w:val="auto"/>
              </w:rPr>
            </w:pPr>
          </w:p>
        </w:tc>
      </w:tr>
      <w:tr>
        <w:trPr>
          <w:trHeight w:val="137"/>
        </w:trPr>
        <w:tc>
          <w:tcPr>
            <w:tcW w:w="302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September 30,</w:t>
            </w: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June 30,</w:t>
            </w:r>
          </w:p>
        </w:tc>
        <w:tc>
          <w:tcPr>
            <w:tcW w:w="11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September 30,</w:t>
            </w: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September 30,</w:t>
            </w:r>
          </w:p>
        </w:tc>
        <w:tc>
          <w:tcPr>
            <w:tcW w:w="11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September 30,</w:t>
            </w:r>
          </w:p>
        </w:tc>
        <w:tc>
          <w:tcPr>
            <w:tcW w:w="13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7"/>
              </w:rPr>
              <w:t>September 30,</w:t>
            </w:r>
          </w:p>
        </w:tc>
        <w:tc>
          <w:tcPr>
            <w:tcW w:w="920" w:type="dxa"/>
            <w:vAlign w:val="bottom"/>
          </w:tcPr>
          <w:p>
            <w:pPr>
              <w:jc w:val="center"/>
              <w:ind w:right="5"/>
              <w:spacing w:after="0"/>
              <w:rPr>
                <w:sz w:val="20"/>
                <w:szCs w:val="20"/>
                <w:color w:val="auto"/>
              </w:rPr>
            </w:pPr>
            <w:r>
              <w:rPr>
                <w:rFonts w:ascii="Arial" w:cs="Arial" w:eastAsia="Arial" w:hAnsi="Arial"/>
                <w:sz w:val="11"/>
                <w:szCs w:val="11"/>
                <w:b w:val="1"/>
                <w:bCs w:val="1"/>
                <w:color w:val="auto"/>
                <w:w w:val="87"/>
              </w:rPr>
              <w:t>September 30,</w:t>
            </w:r>
          </w:p>
        </w:tc>
      </w:tr>
      <w:tr>
        <w:trPr>
          <w:trHeight w:val="135"/>
        </w:trPr>
        <w:tc>
          <w:tcPr>
            <w:tcW w:w="302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26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24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26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460" w:type="dxa"/>
            <w:vAlign w:val="bottom"/>
          </w:tcPr>
          <w:p>
            <w:pPr>
              <w:spacing w:after="0"/>
              <w:rPr>
                <w:sz w:val="11"/>
                <w:szCs w:val="11"/>
                <w:color w:val="auto"/>
              </w:rPr>
            </w:pPr>
          </w:p>
        </w:tc>
        <w:tc>
          <w:tcPr>
            <w:tcW w:w="92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9"/>
              </w:rPr>
              <w:t>2019</w:t>
            </w:r>
          </w:p>
        </w:tc>
      </w:tr>
      <w:tr>
        <w:trPr>
          <w:trHeight w:val="137"/>
        </w:trPr>
        <w:tc>
          <w:tcPr>
            <w:tcW w:w="302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RMB</w:t>
            </w:r>
          </w:p>
        </w:tc>
        <w:tc>
          <w:tcPr>
            <w:tcW w:w="11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RMB</w:t>
            </w:r>
          </w:p>
        </w:tc>
        <w:tc>
          <w:tcPr>
            <w:tcW w:w="11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RMB</w:t>
            </w: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US$</w:t>
            </w:r>
          </w:p>
        </w:tc>
        <w:tc>
          <w:tcPr>
            <w:tcW w:w="11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RMB</w:t>
            </w:r>
          </w:p>
        </w:tc>
        <w:tc>
          <w:tcPr>
            <w:tcW w:w="13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rPr>
              <w:t>RMB</w:t>
            </w:r>
          </w:p>
        </w:tc>
        <w:tc>
          <w:tcPr>
            <w:tcW w:w="920" w:type="dxa"/>
            <w:vAlign w:val="bottom"/>
          </w:tcPr>
          <w:p>
            <w:pPr>
              <w:jc w:val="center"/>
              <w:ind w:right="5"/>
              <w:spacing w:after="0"/>
              <w:rPr>
                <w:sz w:val="20"/>
                <w:szCs w:val="20"/>
                <w:color w:val="auto"/>
              </w:rPr>
            </w:pPr>
            <w:r>
              <w:rPr>
                <w:rFonts w:ascii="Arial" w:cs="Arial" w:eastAsia="Arial" w:hAnsi="Arial"/>
                <w:sz w:val="11"/>
                <w:szCs w:val="11"/>
                <w:b w:val="1"/>
                <w:bCs w:val="1"/>
                <w:color w:val="auto"/>
                <w:w w:val="83"/>
              </w:rPr>
              <w:t>US$</w:t>
            </w:r>
          </w:p>
        </w:tc>
      </w:tr>
      <w:tr>
        <w:trPr>
          <w:trHeight w:val="135"/>
        </w:trPr>
        <w:tc>
          <w:tcPr>
            <w:tcW w:w="302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Unaudited</w:t>
            </w:r>
          </w:p>
        </w:tc>
        <w:tc>
          <w:tcPr>
            <w:tcW w:w="1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Unaudited</w:t>
            </w:r>
          </w:p>
        </w:tc>
        <w:tc>
          <w:tcPr>
            <w:tcW w:w="11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Unaudited</w:t>
            </w: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Unaudited</w:t>
            </w:r>
          </w:p>
        </w:tc>
        <w:tc>
          <w:tcPr>
            <w:tcW w:w="11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Unaudited</w:t>
            </w:r>
          </w:p>
        </w:tc>
        <w:tc>
          <w:tcPr>
            <w:tcW w:w="13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2"/>
              </w:rPr>
              <w:t>Unaudited</w:t>
            </w:r>
          </w:p>
        </w:tc>
        <w:tc>
          <w:tcPr>
            <w:tcW w:w="920" w:type="dxa"/>
            <w:vAlign w:val="bottom"/>
          </w:tcPr>
          <w:p>
            <w:pPr>
              <w:jc w:val="center"/>
              <w:ind w:right="5"/>
              <w:spacing w:after="0"/>
              <w:rPr>
                <w:sz w:val="20"/>
                <w:szCs w:val="20"/>
                <w:color w:val="auto"/>
              </w:rPr>
            </w:pPr>
            <w:r>
              <w:rPr>
                <w:rFonts w:ascii="Arial" w:cs="Arial" w:eastAsia="Arial" w:hAnsi="Arial"/>
                <w:sz w:val="11"/>
                <w:szCs w:val="11"/>
                <w:b w:val="1"/>
                <w:bCs w:val="1"/>
                <w:color w:val="auto"/>
                <w:w w:val="92"/>
              </w:rPr>
              <w:t>Unaudited</w:t>
            </w:r>
          </w:p>
        </w:tc>
      </w:tr>
      <w:tr>
        <w:trPr>
          <w:trHeight w:val="140"/>
        </w:trPr>
        <w:tc>
          <w:tcPr>
            <w:tcW w:w="30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Revenues:</w:t>
            </w: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spacing w:after="0"/>
              <w:rPr>
                <w:sz w:val="12"/>
                <w:szCs w:val="12"/>
                <w:color w:val="auto"/>
              </w:rPr>
            </w:pPr>
          </w:p>
        </w:tc>
      </w:tr>
      <w:tr>
        <w:trPr>
          <w:trHeight w:val="140"/>
        </w:trPr>
        <w:tc>
          <w:tcPr>
            <w:tcW w:w="3020" w:type="dxa"/>
            <w:vAlign w:val="bottom"/>
          </w:tcPr>
          <w:p>
            <w:pPr>
              <w:ind w:left="240"/>
              <w:spacing w:after="0"/>
              <w:rPr>
                <w:sz w:val="20"/>
                <w:szCs w:val="20"/>
                <w:color w:val="auto"/>
              </w:rPr>
            </w:pPr>
            <w:r>
              <w:rPr>
                <w:rFonts w:ascii="Arial" w:cs="Arial" w:eastAsia="Arial" w:hAnsi="Arial"/>
                <w:sz w:val="11"/>
                <w:szCs w:val="11"/>
                <w:color w:val="auto"/>
              </w:rPr>
              <w:t>Net advertising revenues</w:t>
            </w:r>
          </w:p>
        </w:tc>
        <w:tc>
          <w:tcPr>
            <w:tcW w:w="1160" w:type="dxa"/>
            <w:vAlign w:val="bottom"/>
          </w:tcPr>
          <w:p>
            <w:pPr>
              <w:jc w:val="right"/>
              <w:spacing w:after="0"/>
              <w:rPr>
                <w:sz w:val="20"/>
                <w:szCs w:val="20"/>
                <w:color w:val="auto"/>
              </w:rPr>
            </w:pPr>
            <w:r>
              <w:rPr>
                <w:rFonts w:ascii="Arial" w:cs="Arial" w:eastAsia="Arial" w:hAnsi="Arial"/>
                <w:sz w:val="11"/>
                <w:szCs w:val="11"/>
                <w:color w:val="auto"/>
              </w:rPr>
              <w:t>281,500</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324,738</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327,593</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45,832</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842,292</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868,315</w:t>
            </w:r>
          </w:p>
        </w:tc>
        <w:tc>
          <w:tcPr>
            <w:tcW w:w="460" w:type="dxa"/>
            <w:vAlign w:val="bottom"/>
          </w:tcPr>
          <w:p>
            <w:pPr>
              <w:spacing w:after="0"/>
              <w:rPr>
                <w:sz w:val="12"/>
                <w:szCs w:val="12"/>
                <w:color w:val="auto"/>
              </w:rPr>
            </w:pPr>
          </w:p>
        </w:tc>
        <w:tc>
          <w:tcPr>
            <w:tcW w:w="920" w:type="dxa"/>
            <w:vAlign w:val="bottom"/>
          </w:tcPr>
          <w:p>
            <w:pPr>
              <w:jc w:val="right"/>
              <w:ind w:right="5"/>
              <w:spacing w:after="0"/>
              <w:rPr>
                <w:sz w:val="20"/>
                <w:szCs w:val="20"/>
                <w:color w:val="auto"/>
              </w:rPr>
            </w:pPr>
            <w:r>
              <w:rPr>
                <w:rFonts w:ascii="Arial" w:cs="Arial" w:eastAsia="Arial" w:hAnsi="Arial"/>
                <w:sz w:val="11"/>
                <w:szCs w:val="11"/>
                <w:color w:val="auto"/>
              </w:rPr>
              <w:t>121,482</w:t>
            </w:r>
          </w:p>
        </w:tc>
      </w:tr>
      <w:tr>
        <w:trPr>
          <w:trHeight w:val="140"/>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Paid service revenues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47,840</w:t>
            </w:r>
          </w:p>
        </w:tc>
        <w:tc>
          <w:tcPr>
            <w:tcW w:w="260" w:type="dxa"/>
            <w:vAlign w:val="bottom"/>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70,338</w:t>
            </w:r>
          </w:p>
        </w:tc>
        <w:tc>
          <w:tcPr>
            <w:tcW w:w="26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52,626</w:t>
            </w:r>
          </w:p>
        </w:tc>
        <w:tc>
          <w:tcPr>
            <w:tcW w:w="24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7,363</w:t>
            </w:r>
          </w:p>
        </w:tc>
        <w:tc>
          <w:tcPr>
            <w:tcW w:w="26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135,853</w:t>
            </w:r>
          </w:p>
        </w:tc>
        <w:tc>
          <w:tcPr>
            <w:tcW w:w="26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191,854</w:t>
            </w:r>
          </w:p>
        </w:tc>
        <w:tc>
          <w:tcPr>
            <w:tcW w:w="460" w:type="dxa"/>
            <w:vAlign w:val="bottom"/>
            <w:shd w:val="clear" w:color="auto" w:fill="CFF0FC"/>
          </w:tcPr>
          <w:p>
            <w:pPr>
              <w:spacing w:after="0"/>
              <w:rPr>
                <w:sz w:val="12"/>
                <w:szCs w:val="12"/>
                <w:color w:val="auto"/>
              </w:rPr>
            </w:pPr>
          </w:p>
        </w:tc>
        <w:tc>
          <w:tcPr>
            <w:tcW w:w="920" w:type="dxa"/>
            <w:vAlign w:val="bottom"/>
            <w:tcBorders>
              <w:bottom w:val="single" w:sz="8" w:color="auto"/>
              <w:right w:val="single" w:sz="8" w:color="CFF0FC"/>
            </w:tcBorders>
            <w:shd w:val="clear" w:color="auto" w:fill="CFF0FC"/>
          </w:tcPr>
          <w:p>
            <w:pPr>
              <w:jc w:val="right"/>
              <w:ind w:right="5"/>
              <w:spacing w:after="0"/>
              <w:rPr>
                <w:sz w:val="20"/>
                <w:szCs w:val="20"/>
                <w:color w:val="auto"/>
              </w:rPr>
            </w:pPr>
            <w:r>
              <w:rPr>
                <w:rFonts w:ascii="Arial" w:cs="Arial" w:eastAsia="Arial" w:hAnsi="Arial"/>
                <w:sz w:val="11"/>
                <w:szCs w:val="11"/>
                <w:color w:val="auto"/>
              </w:rPr>
              <w:t>26,841</w:t>
            </w:r>
          </w:p>
        </w:tc>
      </w:tr>
      <w:tr>
        <w:trPr>
          <w:trHeight w:val="132"/>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revenues</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329,340</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395,076</w:t>
            </w:r>
          </w:p>
        </w:tc>
        <w:tc>
          <w:tcPr>
            <w:tcW w:w="2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380,219</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53,195</w:t>
            </w:r>
          </w:p>
        </w:tc>
        <w:tc>
          <w:tcPr>
            <w:tcW w:w="2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978,145</w:t>
            </w:r>
          </w:p>
        </w:tc>
        <w:tc>
          <w:tcPr>
            <w:tcW w:w="2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1,060,169</w:t>
            </w:r>
          </w:p>
        </w:tc>
        <w:tc>
          <w:tcPr>
            <w:tcW w:w="460" w:type="dxa"/>
            <w:vAlign w:val="bottom"/>
          </w:tcPr>
          <w:p>
            <w:pPr>
              <w:spacing w:after="0"/>
              <w:rPr>
                <w:sz w:val="11"/>
                <w:szCs w:val="11"/>
                <w:color w:val="auto"/>
              </w:rPr>
            </w:pPr>
          </w:p>
        </w:tc>
        <w:tc>
          <w:tcPr>
            <w:tcW w:w="920" w:type="dxa"/>
            <w:vAlign w:val="bottom"/>
          </w:tcPr>
          <w:p>
            <w:pPr>
              <w:jc w:val="right"/>
              <w:ind w:right="5"/>
              <w:spacing w:after="0"/>
              <w:rPr>
                <w:sz w:val="20"/>
                <w:szCs w:val="20"/>
                <w:color w:val="auto"/>
              </w:rPr>
            </w:pPr>
            <w:r>
              <w:rPr>
                <w:rFonts w:ascii="Arial" w:cs="Arial" w:eastAsia="Arial" w:hAnsi="Arial"/>
                <w:sz w:val="11"/>
                <w:szCs w:val="11"/>
                <w:b w:val="1"/>
                <w:bCs w:val="1"/>
                <w:color w:val="auto"/>
              </w:rPr>
              <w:t>148,323</w:t>
            </w:r>
          </w:p>
        </w:tc>
      </w:tr>
      <w:tr>
        <w:trPr>
          <w:trHeight w:val="140"/>
        </w:trPr>
        <w:tc>
          <w:tcPr>
            <w:tcW w:w="3020" w:type="dxa"/>
            <w:vAlign w:val="bottom"/>
            <w:shd w:val="clear" w:color="auto" w:fill="CFF0FC"/>
          </w:tcPr>
          <w:p>
            <w:pPr>
              <w:spacing w:after="0"/>
              <w:rPr>
                <w:sz w:val="20"/>
                <w:szCs w:val="20"/>
                <w:color w:val="auto"/>
              </w:rPr>
            </w:pPr>
            <w:r>
              <w:rPr>
                <w:rFonts w:ascii="Arial" w:cs="Arial" w:eastAsia="Arial" w:hAnsi="Arial"/>
                <w:sz w:val="11"/>
                <w:szCs w:val="11"/>
                <w:color w:val="auto"/>
              </w:rPr>
              <w:t>Cost of revenues</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(152,236)</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(184,951)</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(194,268)</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(27,179)</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(415,276)</w:t>
            </w: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(557,364)</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(77,978)</w:t>
            </w:r>
          </w:p>
        </w:tc>
      </w:tr>
      <w:tr>
        <w:trPr>
          <w:trHeight w:val="132"/>
        </w:trPr>
        <w:tc>
          <w:tcPr>
            <w:tcW w:w="3020" w:type="dxa"/>
            <w:vAlign w:val="bottom"/>
          </w:tcPr>
          <w:p>
            <w:pPr>
              <w:spacing w:after="0"/>
              <w:rPr>
                <w:sz w:val="20"/>
                <w:szCs w:val="20"/>
                <w:color w:val="auto"/>
              </w:rPr>
            </w:pPr>
            <w:r>
              <w:rPr>
                <w:rFonts w:ascii="Arial" w:cs="Arial" w:eastAsia="Arial" w:hAnsi="Arial"/>
                <w:sz w:val="11"/>
                <w:szCs w:val="11"/>
                <w:b w:val="1"/>
                <w:bCs w:val="1"/>
                <w:color w:val="auto"/>
              </w:rPr>
              <w:t>Gross profit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177,104</w:t>
            </w:r>
          </w:p>
        </w:tc>
        <w:tc>
          <w:tcPr>
            <w:tcW w:w="260" w:type="dxa"/>
            <w:vAlign w:val="bottom"/>
          </w:tcPr>
          <w:p>
            <w:pPr>
              <w:spacing w:after="0"/>
              <w:rPr>
                <w:sz w:val="11"/>
                <w:szCs w:val="1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210,125</w:t>
            </w:r>
          </w:p>
        </w:tc>
        <w:tc>
          <w:tcPr>
            <w:tcW w:w="260" w:type="dxa"/>
            <w:vAlign w:val="bottom"/>
          </w:tcPr>
          <w:p>
            <w:pPr>
              <w:spacing w:after="0"/>
              <w:rPr>
                <w:sz w:val="11"/>
                <w:szCs w:val="1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185,951</w:t>
            </w:r>
          </w:p>
        </w:tc>
        <w:tc>
          <w:tcPr>
            <w:tcW w:w="240" w:type="dxa"/>
            <w:vAlign w:val="bottom"/>
          </w:tcPr>
          <w:p>
            <w:pPr>
              <w:spacing w:after="0"/>
              <w:rPr>
                <w:sz w:val="11"/>
                <w:szCs w:val="1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26,016</w:t>
            </w:r>
          </w:p>
        </w:tc>
        <w:tc>
          <w:tcPr>
            <w:tcW w:w="260" w:type="dxa"/>
            <w:vAlign w:val="bottom"/>
          </w:tcPr>
          <w:p>
            <w:pPr>
              <w:spacing w:after="0"/>
              <w:rPr>
                <w:sz w:val="11"/>
                <w:szCs w:val="1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562,869</w:t>
            </w:r>
          </w:p>
        </w:tc>
        <w:tc>
          <w:tcPr>
            <w:tcW w:w="260" w:type="dxa"/>
            <w:vAlign w:val="bottom"/>
          </w:tcPr>
          <w:p>
            <w:pPr>
              <w:spacing w:after="0"/>
              <w:rPr>
                <w:sz w:val="11"/>
                <w:szCs w:val="1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502,805</w:t>
            </w:r>
          </w:p>
        </w:tc>
        <w:tc>
          <w:tcPr>
            <w:tcW w:w="460" w:type="dxa"/>
            <w:vAlign w:val="bottom"/>
          </w:tcPr>
          <w:p>
            <w:pPr>
              <w:spacing w:after="0"/>
              <w:rPr>
                <w:sz w:val="11"/>
                <w:szCs w:val="11"/>
                <w:color w:val="auto"/>
              </w:rPr>
            </w:pPr>
          </w:p>
        </w:tc>
        <w:tc>
          <w:tcPr>
            <w:tcW w:w="9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70,345</w:t>
            </w:r>
          </w:p>
        </w:tc>
      </w:tr>
      <w:tr>
        <w:trPr>
          <w:trHeight w:val="140"/>
        </w:trPr>
        <w:tc>
          <w:tcPr>
            <w:tcW w:w="30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Operating expenses:</w:t>
            </w: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spacing w:after="0"/>
              <w:rPr>
                <w:sz w:val="12"/>
                <w:szCs w:val="12"/>
                <w:color w:val="auto"/>
              </w:rPr>
            </w:pPr>
          </w:p>
        </w:tc>
      </w:tr>
      <w:tr>
        <w:trPr>
          <w:trHeight w:val="140"/>
        </w:trPr>
        <w:tc>
          <w:tcPr>
            <w:tcW w:w="3020" w:type="dxa"/>
            <w:vAlign w:val="bottom"/>
          </w:tcPr>
          <w:p>
            <w:pPr>
              <w:ind w:left="240"/>
              <w:spacing w:after="0"/>
              <w:rPr>
                <w:sz w:val="20"/>
                <w:szCs w:val="20"/>
                <w:color w:val="auto"/>
              </w:rPr>
            </w:pPr>
            <w:r>
              <w:rPr>
                <w:rFonts w:ascii="Arial" w:cs="Arial" w:eastAsia="Arial" w:hAnsi="Arial"/>
                <w:sz w:val="11"/>
                <w:szCs w:val="11"/>
                <w:color w:val="auto"/>
              </w:rPr>
              <w:t>Sales and marketing expenses</w:t>
            </w:r>
          </w:p>
        </w:tc>
        <w:tc>
          <w:tcPr>
            <w:tcW w:w="1420" w:type="dxa"/>
            <w:vAlign w:val="bottom"/>
            <w:gridSpan w:val="2"/>
          </w:tcPr>
          <w:p>
            <w:pPr>
              <w:jc w:val="right"/>
              <w:ind w:right="220"/>
              <w:spacing w:after="0"/>
              <w:rPr>
                <w:sz w:val="20"/>
                <w:szCs w:val="20"/>
                <w:color w:val="auto"/>
              </w:rPr>
            </w:pPr>
            <w:r>
              <w:rPr>
                <w:rFonts w:ascii="Arial" w:cs="Arial" w:eastAsia="Arial" w:hAnsi="Arial"/>
                <w:sz w:val="11"/>
                <w:szCs w:val="11"/>
                <w:color w:val="auto"/>
              </w:rPr>
              <w:t>(140,998)</w:t>
            </w: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(163,655)</w:t>
            </w: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(154,969)</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(21,681)</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(382,040)</w:t>
            </w: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(439,196)</w:t>
            </w:r>
          </w:p>
        </w:tc>
        <w:tc>
          <w:tcPr>
            <w:tcW w:w="920" w:type="dxa"/>
            <w:vAlign w:val="bottom"/>
          </w:tcPr>
          <w:p>
            <w:pPr>
              <w:jc w:val="right"/>
              <w:spacing w:after="0"/>
              <w:rPr>
                <w:sz w:val="20"/>
                <w:szCs w:val="20"/>
                <w:color w:val="auto"/>
              </w:rPr>
            </w:pPr>
            <w:r>
              <w:rPr>
                <w:rFonts w:ascii="Arial" w:cs="Arial" w:eastAsia="Arial" w:hAnsi="Arial"/>
                <w:sz w:val="11"/>
                <w:szCs w:val="11"/>
                <w:color w:val="auto"/>
              </w:rPr>
              <w:t>(61,446)</w:t>
            </w:r>
          </w:p>
        </w:tc>
      </w:tr>
      <w:tr>
        <w:trPr>
          <w:trHeight w:val="140"/>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General and administrative expenses</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(41,692)</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(65,380)</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(43,131)</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(6,034)</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(117,898)</w:t>
            </w: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(157,363)</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(22,016)</w:t>
            </w:r>
          </w:p>
        </w:tc>
      </w:tr>
      <w:tr>
        <w:trPr>
          <w:trHeight w:val="140"/>
        </w:trPr>
        <w:tc>
          <w:tcPr>
            <w:tcW w:w="3020" w:type="dxa"/>
            <w:vAlign w:val="bottom"/>
          </w:tcPr>
          <w:p>
            <w:pPr>
              <w:ind w:left="240"/>
              <w:spacing w:after="0"/>
              <w:rPr>
                <w:sz w:val="20"/>
                <w:szCs w:val="20"/>
                <w:color w:val="auto"/>
              </w:rPr>
            </w:pPr>
            <w:r>
              <w:rPr>
                <w:rFonts w:ascii="Arial" w:cs="Arial" w:eastAsia="Arial" w:hAnsi="Arial"/>
                <w:sz w:val="11"/>
                <w:szCs w:val="11"/>
                <w:color w:val="auto"/>
              </w:rPr>
              <w:t>Technology and product development expenses</w:t>
            </w:r>
          </w:p>
        </w:tc>
        <w:tc>
          <w:tcPr>
            <w:tcW w:w="1420" w:type="dxa"/>
            <w:vAlign w:val="bottom"/>
            <w:gridSpan w:val="2"/>
          </w:tcPr>
          <w:p>
            <w:pPr>
              <w:jc w:val="right"/>
              <w:ind w:right="220"/>
              <w:spacing w:after="0"/>
              <w:rPr>
                <w:sz w:val="20"/>
                <w:szCs w:val="20"/>
                <w:color w:val="auto"/>
              </w:rPr>
            </w:pPr>
            <w:r>
              <w:rPr>
                <w:rFonts w:ascii="Arial" w:cs="Arial" w:eastAsia="Arial" w:hAnsi="Arial"/>
                <w:sz w:val="11"/>
                <w:szCs w:val="11"/>
                <w:color w:val="auto"/>
              </w:rPr>
              <w:t>(50,969)</w:t>
            </w: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(60,121)</w:t>
            </w: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(60,735)</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(8,497)</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(147,904)</w:t>
            </w: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(180,297)</w:t>
            </w:r>
          </w:p>
        </w:tc>
        <w:tc>
          <w:tcPr>
            <w:tcW w:w="920" w:type="dxa"/>
            <w:vAlign w:val="bottom"/>
          </w:tcPr>
          <w:p>
            <w:pPr>
              <w:jc w:val="right"/>
              <w:spacing w:after="0"/>
              <w:rPr>
                <w:sz w:val="20"/>
                <w:szCs w:val="20"/>
                <w:color w:val="auto"/>
              </w:rPr>
            </w:pPr>
            <w:r>
              <w:rPr>
                <w:rFonts w:ascii="Arial" w:cs="Arial" w:eastAsia="Arial" w:hAnsi="Arial"/>
                <w:sz w:val="11"/>
                <w:szCs w:val="11"/>
                <w:color w:val="auto"/>
              </w:rPr>
              <w:t>(25,224)</w:t>
            </w:r>
          </w:p>
        </w:tc>
      </w:tr>
      <w:tr>
        <w:trPr>
          <w:trHeight w:val="135"/>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w w:val="91"/>
              </w:rPr>
              <w:t>Changes in fair value of financial assets-contingent returnable</w:t>
            </w: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spacing w:after="0"/>
              <w:rPr>
                <w:sz w:val="11"/>
                <w:szCs w:val="11"/>
                <w:color w:val="auto"/>
              </w:rPr>
            </w:pPr>
          </w:p>
        </w:tc>
      </w:tr>
      <w:tr>
        <w:trPr>
          <w:trHeight w:val="131"/>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consideration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62,051</w:t>
            </w:r>
          </w:p>
        </w:tc>
        <w:tc>
          <w:tcPr>
            <w:tcW w:w="240" w:type="dxa"/>
            <w:vAlign w:val="bottom"/>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8,681</w:t>
            </w:r>
          </w:p>
        </w:tc>
        <w:tc>
          <w:tcPr>
            <w:tcW w:w="260" w:type="dxa"/>
            <w:vAlign w:val="bottom"/>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62,051</w:t>
            </w:r>
          </w:p>
        </w:tc>
        <w:tc>
          <w:tcPr>
            <w:tcW w:w="460" w:type="dxa"/>
            <w:vAlign w:val="bottom"/>
            <w:shd w:val="clear" w:color="auto" w:fill="CFF0FC"/>
          </w:tcPr>
          <w:p>
            <w:pPr>
              <w:spacing w:after="0"/>
              <w:rPr>
                <w:sz w:val="11"/>
                <w:szCs w:val="11"/>
                <w:color w:val="auto"/>
              </w:rPr>
            </w:pPr>
          </w:p>
        </w:tc>
        <w:tc>
          <w:tcPr>
            <w:tcW w:w="920" w:type="dxa"/>
            <w:vAlign w:val="bottom"/>
            <w:tcBorders>
              <w:bottom w:val="single" w:sz="8" w:color="auto"/>
              <w:right w:val="single" w:sz="8" w:color="CFF0FC"/>
            </w:tcBorders>
            <w:shd w:val="clear" w:color="auto" w:fill="CFF0FC"/>
          </w:tcPr>
          <w:p>
            <w:pPr>
              <w:jc w:val="right"/>
              <w:ind w:right="5"/>
              <w:spacing w:after="0"/>
              <w:rPr>
                <w:sz w:val="20"/>
                <w:szCs w:val="20"/>
                <w:color w:val="auto"/>
              </w:rPr>
            </w:pPr>
            <w:r>
              <w:rPr>
                <w:rFonts w:ascii="Arial" w:cs="Arial" w:eastAsia="Arial" w:hAnsi="Arial"/>
                <w:sz w:val="11"/>
                <w:szCs w:val="11"/>
                <w:color w:val="auto"/>
              </w:rPr>
              <w:t>8,681</w:t>
            </w:r>
          </w:p>
        </w:tc>
      </w:tr>
      <w:tr>
        <w:trPr>
          <w:trHeight w:val="132"/>
        </w:trPr>
        <w:tc>
          <w:tcPr>
            <w:tcW w:w="3020" w:type="dxa"/>
            <w:vAlign w:val="bottom"/>
          </w:tcPr>
          <w:p>
            <w:pPr>
              <w:spacing w:after="0"/>
              <w:rPr>
                <w:sz w:val="20"/>
                <w:szCs w:val="20"/>
                <w:color w:val="auto"/>
              </w:rPr>
            </w:pPr>
            <w:r>
              <w:rPr>
                <w:rFonts w:ascii="Arial" w:cs="Arial" w:eastAsia="Arial" w:hAnsi="Arial"/>
                <w:sz w:val="11"/>
                <w:szCs w:val="11"/>
                <w:color w:val="auto"/>
              </w:rPr>
              <w:t>Total operating expenses</w:t>
            </w:r>
          </w:p>
        </w:tc>
        <w:tc>
          <w:tcPr>
            <w:tcW w:w="1420" w:type="dxa"/>
            <w:vAlign w:val="bottom"/>
            <w:gridSpan w:val="2"/>
          </w:tcPr>
          <w:p>
            <w:pPr>
              <w:jc w:val="right"/>
              <w:ind w:right="220"/>
              <w:spacing w:after="0"/>
              <w:rPr>
                <w:sz w:val="20"/>
                <w:szCs w:val="20"/>
                <w:color w:val="auto"/>
              </w:rPr>
            </w:pPr>
            <w:r>
              <w:rPr>
                <w:rFonts w:ascii="Arial" w:cs="Arial" w:eastAsia="Arial" w:hAnsi="Arial"/>
                <w:sz w:val="11"/>
                <w:szCs w:val="11"/>
                <w:color w:val="auto"/>
              </w:rPr>
              <w:t>(233,659)</w:t>
            </w: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(289,156)</w:t>
            </w: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(196,784)</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(27,531)</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(647,842)</w:t>
            </w: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(714,805)</w:t>
            </w:r>
          </w:p>
        </w:tc>
        <w:tc>
          <w:tcPr>
            <w:tcW w:w="920" w:type="dxa"/>
            <w:vAlign w:val="bottom"/>
          </w:tcPr>
          <w:p>
            <w:pPr>
              <w:jc w:val="right"/>
              <w:spacing w:after="0"/>
              <w:rPr>
                <w:sz w:val="20"/>
                <w:szCs w:val="20"/>
                <w:color w:val="auto"/>
              </w:rPr>
            </w:pPr>
            <w:r>
              <w:rPr>
                <w:rFonts w:ascii="Arial" w:cs="Arial" w:eastAsia="Arial" w:hAnsi="Arial"/>
                <w:sz w:val="11"/>
                <w:szCs w:val="11"/>
                <w:color w:val="auto"/>
              </w:rPr>
              <w:t>(100,005)</w:t>
            </w:r>
          </w:p>
        </w:tc>
      </w:tr>
      <w:tr>
        <w:trPr>
          <w:trHeight w:val="140"/>
        </w:trPr>
        <w:tc>
          <w:tcPr>
            <w:tcW w:w="30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Loss from operations</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(56,555)</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(79,031)</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b w:val="1"/>
                <w:bCs w:val="1"/>
                <w:color w:val="auto"/>
              </w:rPr>
              <w:t>(10,833)</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(1,515)</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(84,973)</w:t>
            </w: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1"/>
                <w:szCs w:val="11"/>
                <w:b w:val="1"/>
                <w:bCs w:val="1"/>
                <w:color w:val="auto"/>
              </w:rPr>
              <w:t>(212,000)</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b w:val="1"/>
                <w:bCs w:val="1"/>
                <w:color w:val="auto"/>
              </w:rPr>
              <w:t>(29,660)</w:t>
            </w:r>
          </w:p>
        </w:tc>
      </w:tr>
      <w:tr>
        <w:trPr>
          <w:trHeight w:val="140"/>
        </w:trPr>
        <w:tc>
          <w:tcPr>
            <w:tcW w:w="3020" w:type="dxa"/>
            <w:vAlign w:val="bottom"/>
          </w:tcPr>
          <w:p>
            <w:pPr>
              <w:ind w:left="240"/>
              <w:spacing w:after="0"/>
              <w:rPr>
                <w:sz w:val="20"/>
                <w:szCs w:val="20"/>
                <w:color w:val="auto"/>
              </w:rPr>
            </w:pPr>
            <w:r>
              <w:rPr>
                <w:rFonts w:ascii="Arial" w:cs="Arial" w:eastAsia="Arial" w:hAnsi="Arial"/>
                <w:sz w:val="11"/>
                <w:szCs w:val="11"/>
                <w:b w:val="1"/>
                <w:bCs w:val="1"/>
                <w:color w:val="auto"/>
              </w:rPr>
              <w:t>Other income/(loss):</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0"/>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Interest income</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12,349</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4,637</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8,106</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1,134</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38,837</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21,401</w:t>
            </w:r>
          </w:p>
        </w:tc>
        <w:tc>
          <w:tcPr>
            <w:tcW w:w="46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1"/>
                <w:szCs w:val="11"/>
                <w:color w:val="auto"/>
              </w:rPr>
              <w:t>2,994</w:t>
            </w:r>
          </w:p>
        </w:tc>
      </w:tr>
      <w:tr>
        <w:trPr>
          <w:trHeight w:val="140"/>
        </w:trPr>
        <w:tc>
          <w:tcPr>
            <w:tcW w:w="3020" w:type="dxa"/>
            <w:vAlign w:val="bottom"/>
          </w:tcPr>
          <w:p>
            <w:pPr>
              <w:ind w:left="240"/>
              <w:spacing w:after="0"/>
              <w:rPr>
                <w:sz w:val="20"/>
                <w:szCs w:val="20"/>
                <w:color w:val="auto"/>
              </w:rPr>
            </w:pPr>
            <w:r>
              <w:rPr>
                <w:rFonts w:ascii="Arial" w:cs="Arial" w:eastAsia="Arial" w:hAnsi="Arial"/>
                <w:sz w:val="11"/>
                <w:szCs w:val="11"/>
                <w:color w:val="auto"/>
              </w:rPr>
              <w:t>Interest expense</w:t>
            </w:r>
          </w:p>
        </w:tc>
        <w:tc>
          <w:tcPr>
            <w:tcW w:w="1420" w:type="dxa"/>
            <w:vAlign w:val="bottom"/>
            <w:gridSpan w:val="2"/>
          </w:tcPr>
          <w:p>
            <w:pPr>
              <w:jc w:val="right"/>
              <w:ind w:right="220"/>
              <w:spacing w:after="0"/>
              <w:rPr>
                <w:sz w:val="20"/>
                <w:szCs w:val="20"/>
                <w:color w:val="auto"/>
              </w:rPr>
            </w:pPr>
            <w:r>
              <w:rPr>
                <w:rFonts w:ascii="Arial" w:cs="Arial" w:eastAsia="Arial" w:hAnsi="Arial"/>
                <w:sz w:val="11"/>
                <w:szCs w:val="11"/>
                <w:color w:val="auto"/>
              </w:rPr>
              <w:t>(3,080)</w:t>
            </w: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(1,730)</w:t>
            </w: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(252)</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(35)</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(11,102)</w:t>
            </w: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(4,885)</w:t>
            </w:r>
          </w:p>
        </w:tc>
        <w:tc>
          <w:tcPr>
            <w:tcW w:w="920" w:type="dxa"/>
            <w:vAlign w:val="bottom"/>
          </w:tcPr>
          <w:p>
            <w:pPr>
              <w:jc w:val="right"/>
              <w:spacing w:after="0"/>
              <w:rPr>
                <w:sz w:val="20"/>
                <w:szCs w:val="20"/>
                <w:color w:val="auto"/>
              </w:rPr>
            </w:pPr>
            <w:r>
              <w:rPr>
                <w:rFonts w:ascii="Arial" w:cs="Arial" w:eastAsia="Arial" w:hAnsi="Arial"/>
                <w:sz w:val="11"/>
                <w:szCs w:val="11"/>
                <w:color w:val="auto"/>
              </w:rPr>
              <w:t>(683)</w:t>
            </w:r>
          </w:p>
        </w:tc>
      </w:tr>
      <w:tr>
        <w:trPr>
          <w:trHeight w:val="140"/>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Foreign currency exchange gain</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6,066</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2,922</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6,134</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858</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7,166</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6,889</w:t>
            </w:r>
          </w:p>
        </w:tc>
        <w:tc>
          <w:tcPr>
            <w:tcW w:w="46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1"/>
                <w:szCs w:val="11"/>
                <w:color w:val="auto"/>
              </w:rPr>
              <w:t>964</w:t>
            </w:r>
          </w:p>
        </w:tc>
      </w:tr>
      <w:tr>
        <w:trPr>
          <w:trHeight w:val="135"/>
        </w:trPr>
        <w:tc>
          <w:tcPr>
            <w:tcW w:w="3020" w:type="dxa"/>
            <w:vAlign w:val="bottom"/>
          </w:tcPr>
          <w:p>
            <w:pPr>
              <w:ind w:left="240"/>
              <w:spacing w:after="0"/>
              <w:rPr>
                <w:sz w:val="20"/>
                <w:szCs w:val="20"/>
                <w:color w:val="auto"/>
              </w:rPr>
            </w:pPr>
            <w:r>
              <w:rPr>
                <w:rFonts w:ascii="Arial" w:cs="Arial" w:eastAsia="Arial" w:hAnsi="Arial"/>
                <w:sz w:val="11"/>
                <w:szCs w:val="11"/>
                <w:color w:val="auto"/>
              </w:rPr>
              <w:t>Income/(loss) from equity method investments, net of</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1"/>
        </w:trPr>
        <w:tc>
          <w:tcPr>
            <w:tcW w:w="3020" w:type="dxa"/>
            <w:vAlign w:val="bottom"/>
          </w:tcPr>
          <w:p>
            <w:pPr>
              <w:ind w:left="240"/>
              <w:spacing w:after="0"/>
              <w:rPr>
                <w:sz w:val="20"/>
                <w:szCs w:val="20"/>
                <w:color w:val="auto"/>
              </w:rPr>
            </w:pPr>
            <w:r>
              <w:rPr>
                <w:rFonts w:ascii="Arial" w:cs="Arial" w:eastAsia="Arial" w:hAnsi="Arial"/>
                <w:sz w:val="11"/>
                <w:szCs w:val="11"/>
                <w:color w:val="auto"/>
              </w:rPr>
              <w:t>impairments</w:t>
            </w:r>
          </w:p>
        </w:tc>
        <w:tc>
          <w:tcPr>
            <w:tcW w:w="1160" w:type="dxa"/>
            <w:vAlign w:val="bottom"/>
          </w:tcPr>
          <w:p>
            <w:pPr>
              <w:jc w:val="right"/>
              <w:spacing w:after="0"/>
              <w:rPr>
                <w:sz w:val="20"/>
                <w:szCs w:val="20"/>
                <w:color w:val="auto"/>
              </w:rPr>
            </w:pPr>
            <w:r>
              <w:rPr>
                <w:rFonts w:ascii="Arial" w:cs="Arial" w:eastAsia="Arial" w:hAnsi="Arial"/>
                <w:sz w:val="11"/>
                <w:szCs w:val="11"/>
                <w:color w:val="auto"/>
              </w:rPr>
              <w:t>4,240</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521</w:t>
            </w:r>
          </w:p>
        </w:tc>
        <w:tc>
          <w:tcPr>
            <w:tcW w:w="2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1,375</w:t>
            </w:r>
          </w:p>
        </w:tc>
        <w:tc>
          <w:tcPr>
            <w:tcW w:w="260" w:type="dxa"/>
            <w:vAlign w:val="bottom"/>
          </w:tcPr>
          <w:p>
            <w:pPr>
              <w:spacing w:after="0"/>
              <w:rPr>
                <w:sz w:val="11"/>
                <w:szCs w:val="11"/>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(3,447)</w:t>
            </w:r>
          </w:p>
        </w:tc>
        <w:tc>
          <w:tcPr>
            <w:tcW w:w="920" w:type="dxa"/>
            <w:vAlign w:val="bottom"/>
          </w:tcPr>
          <w:p>
            <w:pPr>
              <w:jc w:val="right"/>
              <w:spacing w:after="0"/>
              <w:rPr>
                <w:sz w:val="20"/>
                <w:szCs w:val="20"/>
                <w:color w:val="auto"/>
              </w:rPr>
            </w:pPr>
            <w:r>
              <w:rPr>
                <w:rFonts w:ascii="Arial" w:cs="Arial" w:eastAsia="Arial" w:hAnsi="Arial"/>
                <w:sz w:val="11"/>
                <w:szCs w:val="11"/>
                <w:color w:val="auto"/>
              </w:rPr>
              <w:t>(482)</w:t>
            </w:r>
          </w:p>
        </w:tc>
      </w:tr>
      <w:tr>
        <w:trPr>
          <w:trHeight w:val="140"/>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w w:val="92"/>
              </w:rPr>
              <w:t>Gain on disposal of convertible loans due from a related party</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10,565</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10,565</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1"/>
                <w:szCs w:val="11"/>
                <w:color w:val="auto"/>
              </w:rPr>
              <w:t>-</w:t>
            </w:r>
          </w:p>
        </w:tc>
      </w:tr>
      <w:tr>
        <w:trPr>
          <w:trHeight w:val="140"/>
        </w:trPr>
        <w:tc>
          <w:tcPr>
            <w:tcW w:w="3020" w:type="dxa"/>
            <w:vAlign w:val="bottom"/>
            <w:tcBorders>
              <w:bottom w:val="single" w:sz="8" w:color="CFF0FC"/>
            </w:tcBorders>
          </w:tcPr>
          <w:p>
            <w:pPr>
              <w:ind w:left="240"/>
              <w:spacing w:after="0"/>
              <w:rPr>
                <w:sz w:val="20"/>
                <w:szCs w:val="20"/>
                <w:color w:val="auto"/>
              </w:rPr>
            </w:pPr>
            <w:r>
              <w:rPr>
                <w:rFonts w:ascii="Arial" w:cs="Arial" w:eastAsia="Arial" w:hAnsi="Arial"/>
                <w:sz w:val="11"/>
                <w:szCs w:val="11"/>
                <w:color w:val="auto"/>
              </w:rPr>
              <w:t>Others,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5,773</w:t>
            </w:r>
          </w:p>
        </w:tc>
        <w:tc>
          <w:tcPr>
            <w:tcW w:w="26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4,789</w:t>
            </w:r>
          </w:p>
        </w:tc>
        <w:tc>
          <w:tcPr>
            <w:tcW w:w="2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5,608</w:t>
            </w:r>
          </w:p>
        </w:tc>
        <w:tc>
          <w:tcPr>
            <w:tcW w:w="24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785</w:t>
            </w:r>
          </w:p>
        </w:tc>
        <w:tc>
          <w:tcPr>
            <w:tcW w:w="2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11,994</w:t>
            </w:r>
          </w:p>
        </w:tc>
        <w:tc>
          <w:tcPr>
            <w:tcW w:w="2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12,638</w:t>
            </w:r>
          </w:p>
        </w:tc>
        <w:tc>
          <w:tcPr>
            <w:tcW w:w="4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1,768</w:t>
            </w:r>
          </w:p>
        </w:tc>
      </w:tr>
      <w:tr>
        <w:trPr>
          <w:trHeight w:val="132"/>
        </w:trPr>
        <w:tc>
          <w:tcPr>
            <w:tcW w:w="30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(Loss)/income before tax</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(20,642)</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(67,892)</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8,763</w:t>
            </w: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1,227</w:t>
            </w:r>
          </w:p>
        </w:tc>
        <w:tc>
          <w:tcPr>
            <w:tcW w:w="26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(26,138)</w:t>
            </w: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1"/>
                <w:szCs w:val="11"/>
                <w:b w:val="1"/>
                <w:bCs w:val="1"/>
                <w:color w:val="auto"/>
              </w:rPr>
              <w:t>(179,404)</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b w:val="1"/>
                <w:bCs w:val="1"/>
                <w:color w:val="auto"/>
              </w:rPr>
              <w:t>(25,099)</w:t>
            </w:r>
          </w:p>
        </w:tc>
      </w:tr>
      <w:tr>
        <w:trPr>
          <w:trHeight w:val="140"/>
        </w:trPr>
        <w:tc>
          <w:tcPr>
            <w:tcW w:w="3020" w:type="dxa"/>
            <w:vAlign w:val="bottom"/>
          </w:tcPr>
          <w:p>
            <w:pPr>
              <w:ind w:left="240"/>
              <w:spacing w:after="0"/>
              <w:rPr>
                <w:sz w:val="20"/>
                <w:szCs w:val="20"/>
                <w:color w:val="auto"/>
              </w:rPr>
            </w:pPr>
            <w:r>
              <w:rPr>
                <w:rFonts w:ascii="Arial" w:cs="Arial" w:eastAsia="Arial" w:hAnsi="Arial"/>
                <w:sz w:val="11"/>
                <w:szCs w:val="11"/>
                <w:color w:val="auto"/>
              </w:rPr>
              <w:t>Income tax benefit/(expense)</w:t>
            </w:r>
          </w:p>
        </w:tc>
        <w:tc>
          <w:tcPr>
            <w:tcW w:w="1160" w:type="dxa"/>
            <w:vAlign w:val="bottom"/>
          </w:tcPr>
          <w:p>
            <w:pPr>
              <w:jc w:val="right"/>
              <w:spacing w:after="0"/>
              <w:rPr>
                <w:sz w:val="20"/>
                <w:szCs w:val="20"/>
                <w:color w:val="auto"/>
              </w:rPr>
            </w:pPr>
            <w:r>
              <w:rPr>
                <w:rFonts w:ascii="Arial" w:cs="Arial" w:eastAsia="Arial" w:hAnsi="Arial"/>
                <w:sz w:val="11"/>
                <w:szCs w:val="11"/>
                <w:color w:val="auto"/>
              </w:rPr>
              <w:t>3,889</w:t>
            </w:r>
          </w:p>
        </w:tc>
        <w:tc>
          <w:tcPr>
            <w:tcW w:w="2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(2,977)</w:t>
            </w: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(6,732)</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(942)</w:t>
            </w:r>
          </w:p>
        </w:tc>
        <w:tc>
          <w:tcPr>
            <w:tcW w:w="920" w:type="dxa"/>
            <w:vAlign w:val="bottom"/>
          </w:tcPr>
          <w:p>
            <w:pPr>
              <w:jc w:val="right"/>
              <w:spacing w:after="0"/>
              <w:rPr>
                <w:sz w:val="20"/>
                <w:szCs w:val="20"/>
                <w:color w:val="auto"/>
              </w:rPr>
            </w:pPr>
            <w:r>
              <w:rPr>
                <w:rFonts w:ascii="Arial" w:cs="Arial" w:eastAsia="Arial" w:hAnsi="Arial"/>
                <w:sz w:val="11"/>
                <w:szCs w:val="11"/>
                <w:color w:val="auto"/>
              </w:rPr>
              <w:t>115</w:t>
            </w:r>
          </w:p>
        </w:tc>
        <w:tc>
          <w:tcPr>
            <w:tcW w:w="260" w:type="dxa"/>
            <w:vAlign w:val="bottom"/>
          </w:tcPr>
          <w:p>
            <w:pPr>
              <w:spacing w:after="0"/>
              <w:rPr>
                <w:sz w:val="12"/>
                <w:szCs w:val="12"/>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(17,170)</w:t>
            </w:r>
          </w:p>
        </w:tc>
        <w:tc>
          <w:tcPr>
            <w:tcW w:w="920" w:type="dxa"/>
            <w:vAlign w:val="bottom"/>
          </w:tcPr>
          <w:p>
            <w:pPr>
              <w:jc w:val="right"/>
              <w:spacing w:after="0"/>
              <w:rPr>
                <w:sz w:val="20"/>
                <w:szCs w:val="20"/>
                <w:color w:val="auto"/>
              </w:rPr>
            </w:pPr>
            <w:r>
              <w:rPr>
                <w:rFonts w:ascii="Arial" w:cs="Arial" w:eastAsia="Arial" w:hAnsi="Arial"/>
                <w:sz w:val="11"/>
                <w:szCs w:val="11"/>
                <w:color w:val="auto"/>
              </w:rPr>
              <w:t>(2,402)</w:t>
            </w:r>
          </w:p>
        </w:tc>
      </w:tr>
      <w:tr>
        <w:trPr>
          <w:trHeight w:val="20"/>
        </w:trPr>
        <w:tc>
          <w:tcPr>
            <w:tcW w:w="30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r>
      <w:tr>
        <w:trPr>
          <w:trHeight w:val="132"/>
        </w:trPr>
        <w:tc>
          <w:tcPr>
            <w:tcW w:w="30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Net (loss)/income</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(16,753)</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(70,869)</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2,031</w:t>
            </w: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285</w:t>
            </w:r>
          </w:p>
        </w:tc>
        <w:tc>
          <w:tcPr>
            <w:tcW w:w="26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(26,023)</w:t>
            </w: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1"/>
                <w:szCs w:val="11"/>
                <w:b w:val="1"/>
                <w:bCs w:val="1"/>
                <w:color w:val="auto"/>
              </w:rPr>
              <w:t>(196,574)</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b w:val="1"/>
                <w:bCs w:val="1"/>
                <w:color w:val="auto"/>
              </w:rPr>
              <w:t>(27,501)</w:t>
            </w:r>
          </w:p>
        </w:tc>
      </w:tr>
      <w:tr>
        <w:trPr>
          <w:trHeight w:val="140"/>
        </w:trPr>
        <w:tc>
          <w:tcPr>
            <w:tcW w:w="3020" w:type="dxa"/>
            <w:vAlign w:val="bottom"/>
            <w:tcBorders>
              <w:bottom w:val="single" w:sz="8" w:color="CFF0FC"/>
            </w:tcBorders>
          </w:tcPr>
          <w:p>
            <w:pPr>
              <w:ind w:left="240"/>
              <w:spacing w:after="0"/>
              <w:rPr>
                <w:sz w:val="20"/>
                <w:szCs w:val="20"/>
                <w:color w:val="auto"/>
              </w:rPr>
            </w:pPr>
            <w:r>
              <w:rPr>
                <w:rFonts w:ascii="Arial" w:cs="Arial" w:eastAsia="Arial" w:hAnsi="Arial"/>
                <w:sz w:val="11"/>
                <w:szCs w:val="11"/>
                <w:color w:val="auto"/>
              </w:rPr>
              <w:t>Net loss attributable to noncontrolling interests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c>
          <w:tcPr>
            <w:tcW w:w="26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754</w:t>
            </w:r>
          </w:p>
        </w:tc>
        <w:tc>
          <w:tcPr>
            <w:tcW w:w="2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3,896</w:t>
            </w:r>
          </w:p>
        </w:tc>
        <w:tc>
          <w:tcPr>
            <w:tcW w:w="24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545</w:t>
            </w:r>
          </w:p>
        </w:tc>
        <w:tc>
          <w:tcPr>
            <w:tcW w:w="2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1,098</w:t>
            </w:r>
          </w:p>
        </w:tc>
        <w:tc>
          <w:tcPr>
            <w:tcW w:w="2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12,649</w:t>
            </w:r>
          </w:p>
        </w:tc>
        <w:tc>
          <w:tcPr>
            <w:tcW w:w="4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1,770</w:t>
            </w:r>
          </w:p>
        </w:tc>
      </w:tr>
      <w:tr>
        <w:trPr>
          <w:trHeight w:val="132"/>
        </w:trPr>
        <w:tc>
          <w:tcPr>
            <w:tcW w:w="30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w w:val="94"/>
              </w:rPr>
              <w:t>Net (loss)/income attributable to Phoenix New Media Limited</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(16,626)</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(70,115)</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5,927</w:t>
            </w: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830</w:t>
            </w:r>
          </w:p>
        </w:tc>
        <w:tc>
          <w:tcPr>
            <w:tcW w:w="26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(24,925)</w:t>
            </w: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1"/>
                <w:szCs w:val="11"/>
                <w:b w:val="1"/>
                <w:bCs w:val="1"/>
                <w:color w:val="auto"/>
              </w:rPr>
              <w:t>(183,925)</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b w:val="1"/>
                <w:bCs w:val="1"/>
                <w:color w:val="auto"/>
              </w:rPr>
              <w:t>(25,731)</w:t>
            </w: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8"/>
        </w:trPr>
        <w:tc>
          <w:tcPr>
            <w:tcW w:w="3020" w:type="dxa"/>
            <w:vAlign w:val="bottom"/>
          </w:tcPr>
          <w:p>
            <w:pPr>
              <w:spacing w:after="0" w:line="118" w:lineRule="exact"/>
              <w:rPr>
                <w:sz w:val="20"/>
                <w:szCs w:val="20"/>
                <w:color w:val="auto"/>
              </w:rPr>
            </w:pPr>
            <w:r>
              <w:rPr>
                <w:rFonts w:ascii="Arial" w:cs="Arial" w:eastAsia="Arial" w:hAnsi="Arial"/>
                <w:sz w:val="11"/>
                <w:szCs w:val="11"/>
                <w:b w:val="1"/>
                <w:bCs w:val="1"/>
                <w:color w:val="auto"/>
              </w:rPr>
              <w:t>Net (loss)/income</w:t>
            </w:r>
          </w:p>
        </w:tc>
        <w:tc>
          <w:tcPr>
            <w:tcW w:w="1420" w:type="dxa"/>
            <w:vAlign w:val="bottom"/>
            <w:gridSpan w:val="2"/>
          </w:tcPr>
          <w:p>
            <w:pPr>
              <w:jc w:val="right"/>
              <w:ind w:right="220"/>
              <w:spacing w:after="0" w:line="118" w:lineRule="exact"/>
              <w:rPr>
                <w:sz w:val="20"/>
                <w:szCs w:val="20"/>
                <w:color w:val="auto"/>
              </w:rPr>
            </w:pPr>
            <w:r>
              <w:rPr>
                <w:rFonts w:ascii="Arial" w:cs="Arial" w:eastAsia="Arial" w:hAnsi="Arial"/>
                <w:sz w:val="11"/>
                <w:szCs w:val="11"/>
                <w:b w:val="1"/>
                <w:bCs w:val="1"/>
                <w:color w:val="auto"/>
              </w:rPr>
              <w:t>(16,753)</w:t>
            </w:r>
          </w:p>
        </w:tc>
        <w:tc>
          <w:tcPr>
            <w:tcW w:w="1160" w:type="dxa"/>
            <w:vAlign w:val="bottom"/>
            <w:gridSpan w:val="2"/>
          </w:tcPr>
          <w:p>
            <w:pPr>
              <w:jc w:val="right"/>
              <w:ind w:right="220"/>
              <w:spacing w:after="0" w:line="118" w:lineRule="exact"/>
              <w:rPr>
                <w:sz w:val="20"/>
                <w:szCs w:val="20"/>
                <w:color w:val="auto"/>
              </w:rPr>
            </w:pPr>
            <w:r>
              <w:rPr>
                <w:rFonts w:ascii="Arial" w:cs="Arial" w:eastAsia="Arial" w:hAnsi="Arial"/>
                <w:sz w:val="11"/>
                <w:szCs w:val="11"/>
                <w:b w:val="1"/>
                <w:bCs w:val="1"/>
                <w:color w:val="auto"/>
              </w:rPr>
              <w:t>(70,869)</w:t>
            </w:r>
          </w:p>
        </w:tc>
        <w:tc>
          <w:tcPr>
            <w:tcW w:w="920" w:type="dxa"/>
            <w:vAlign w:val="bottom"/>
          </w:tcPr>
          <w:p>
            <w:pPr>
              <w:jc w:val="right"/>
              <w:spacing w:after="0" w:line="118" w:lineRule="exact"/>
              <w:rPr>
                <w:sz w:val="20"/>
                <w:szCs w:val="20"/>
                <w:color w:val="auto"/>
              </w:rPr>
            </w:pPr>
            <w:r>
              <w:rPr>
                <w:rFonts w:ascii="Arial" w:cs="Arial" w:eastAsia="Arial" w:hAnsi="Arial"/>
                <w:sz w:val="11"/>
                <w:szCs w:val="11"/>
                <w:b w:val="1"/>
                <w:bCs w:val="1"/>
                <w:color w:val="auto"/>
              </w:rPr>
              <w:t>2,031</w:t>
            </w:r>
          </w:p>
        </w:tc>
        <w:tc>
          <w:tcPr>
            <w:tcW w:w="24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Arial" w:cs="Arial" w:eastAsia="Arial" w:hAnsi="Arial"/>
                <w:sz w:val="11"/>
                <w:szCs w:val="11"/>
                <w:b w:val="1"/>
                <w:bCs w:val="1"/>
                <w:color w:val="auto"/>
              </w:rPr>
              <w:t>285</w:t>
            </w:r>
          </w:p>
        </w:tc>
        <w:tc>
          <w:tcPr>
            <w:tcW w:w="260" w:type="dxa"/>
            <w:vAlign w:val="bottom"/>
          </w:tcPr>
          <w:p>
            <w:pPr>
              <w:spacing w:after="0"/>
              <w:rPr>
                <w:sz w:val="10"/>
                <w:szCs w:val="10"/>
                <w:color w:val="auto"/>
              </w:rPr>
            </w:pPr>
          </w:p>
        </w:tc>
        <w:tc>
          <w:tcPr>
            <w:tcW w:w="1180" w:type="dxa"/>
            <w:vAlign w:val="bottom"/>
            <w:gridSpan w:val="2"/>
          </w:tcPr>
          <w:p>
            <w:pPr>
              <w:jc w:val="right"/>
              <w:ind w:right="220"/>
              <w:spacing w:after="0" w:line="118" w:lineRule="exact"/>
              <w:rPr>
                <w:sz w:val="20"/>
                <w:szCs w:val="20"/>
                <w:color w:val="auto"/>
              </w:rPr>
            </w:pPr>
            <w:r>
              <w:rPr>
                <w:rFonts w:ascii="Arial" w:cs="Arial" w:eastAsia="Arial" w:hAnsi="Arial"/>
                <w:sz w:val="11"/>
                <w:szCs w:val="11"/>
                <w:b w:val="1"/>
                <w:bCs w:val="1"/>
                <w:color w:val="auto"/>
              </w:rPr>
              <w:t>(26,023)</w:t>
            </w:r>
          </w:p>
        </w:tc>
        <w:tc>
          <w:tcPr>
            <w:tcW w:w="1380" w:type="dxa"/>
            <w:vAlign w:val="bottom"/>
            <w:gridSpan w:val="2"/>
          </w:tcPr>
          <w:p>
            <w:pPr>
              <w:jc w:val="right"/>
              <w:ind w:right="420"/>
              <w:spacing w:after="0" w:line="118" w:lineRule="exact"/>
              <w:rPr>
                <w:sz w:val="20"/>
                <w:szCs w:val="20"/>
                <w:color w:val="auto"/>
              </w:rPr>
            </w:pPr>
            <w:r>
              <w:rPr>
                <w:rFonts w:ascii="Arial" w:cs="Arial" w:eastAsia="Arial" w:hAnsi="Arial"/>
                <w:sz w:val="11"/>
                <w:szCs w:val="11"/>
                <w:b w:val="1"/>
                <w:bCs w:val="1"/>
                <w:color w:val="auto"/>
              </w:rPr>
              <w:t>(196,574)</w:t>
            </w:r>
          </w:p>
        </w:tc>
        <w:tc>
          <w:tcPr>
            <w:tcW w:w="920" w:type="dxa"/>
            <w:vAlign w:val="bottom"/>
          </w:tcPr>
          <w:p>
            <w:pPr>
              <w:jc w:val="right"/>
              <w:spacing w:after="0" w:line="118" w:lineRule="exact"/>
              <w:rPr>
                <w:sz w:val="20"/>
                <w:szCs w:val="20"/>
                <w:color w:val="auto"/>
              </w:rPr>
            </w:pPr>
            <w:r>
              <w:rPr>
                <w:rFonts w:ascii="Arial" w:cs="Arial" w:eastAsia="Arial" w:hAnsi="Arial"/>
                <w:sz w:val="11"/>
                <w:szCs w:val="11"/>
                <w:b w:val="1"/>
                <w:bCs w:val="1"/>
                <w:color w:val="auto"/>
              </w:rPr>
              <w:t>(27,501)</w:t>
            </w:r>
          </w:p>
        </w:tc>
      </w:tr>
      <w:tr>
        <w:trPr>
          <w:trHeight w:val="135"/>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Other comprehensive income/(loss), net of tax: fair value</w:t>
            </w: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spacing w:after="0"/>
              <w:rPr>
                <w:sz w:val="11"/>
                <w:szCs w:val="11"/>
                <w:color w:val="auto"/>
              </w:rPr>
            </w:pPr>
          </w:p>
        </w:tc>
      </w:tr>
      <w:tr>
        <w:trPr>
          <w:trHeight w:val="131"/>
        </w:trPr>
        <w:tc>
          <w:tcPr>
            <w:tcW w:w="3020" w:type="dxa"/>
            <w:vAlign w:val="bottom"/>
            <w:shd w:val="clear" w:color="auto" w:fill="CFF0FC"/>
          </w:tcPr>
          <w:p>
            <w:pPr>
              <w:ind w:left="360"/>
              <w:spacing w:after="0"/>
              <w:rPr>
                <w:sz w:val="20"/>
                <w:szCs w:val="20"/>
                <w:color w:val="auto"/>
              </w:rPr>
            </w:pPr>
            <w:r>
              <w:rPr>
                <w:rFonts w:ascii="Arial" w:cs="Arial" w:eastAsia="Arial" w:hAnsi="Arial"/>
                <w:sz w:val="11"/>
                <w:szCs w:val="11"/>
                <w:color w:val="auto"/>
              </w:rPr>
              <w:t>remeasurement for available-for-sale investments</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52,111</w:t>
            </w:r>
          </w:p>
        </w:tc>
        <w:tc>
          <w:tcPr>
            <w:tcW w:w="2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(463,083)</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734,931</w:t>
            </w: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102,821</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103,762</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997,251</w:t>
            </w:r>
          </w:p>
        </w:tc>
        <w:tc>
          <w:tcPr>
            <w:tcW w:w="46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1"/>
                <w:szCs w:val="11"/>
                <w:color w:val="auto"/>
              </w:rPr>
              <w:t>139,521</w:t>
            </w:r>
          </w:p>
        </w:tc>
      </w:tr>
      <w:tr>
        <w:trPr>
          <w:trHeight w:val="135"/>
        </w:trPr>
        <w:tc>
          <w:tcPr>
            <w:tcW w:w="3020" w:type="dxa"/>
            <w:vAlign w:val="bottom"/>
          </w:tcPr>
          <w:p>
            <w:pPr>
              <w:ind w:left="240"/>
              <w:spacing w:after="0"/>
              <w:rPr>
                <w:sz w:val="20"/>
                <w:szCs w:val="20"/>
                <w:color w:val="auto"/>
              </w:rPr>
            </w:pPr>
            <w:r>
              <w:rPr>
                <w:rFonts w:ascii="Arial" w:cs="Arial" w:eastAsia="Arial" w:hAnsi="Arial"/>
                <w:sz w:val="11"/>
                <w:szCs w:val="11"/>
                <w:color w:val="auto"/>
                <w:w w:val="98"/>
              </w:rPr>
              <w:t>Other comprehensive income, net of tax: foreign currency</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1"/>
        </w:trPr>
        <w:tc>
          <w:tcPr>
            <w:tcW w:w="3020" w:type="dxa"/>
            <w:vAlign w:val="bottom"/>
            <w:tcBorders>
              <w:bottom w:val="single" w:sz="8" w:color="CFF0FC"/>
            </w:tcBorders>
          </w:tcPr>
          <w:p>
            <w:pPr>
              <w:ind w:left="360"/>
              <w:spacing w:after="0"/>
              <w:rPr>
                <w:sz w:val="20"/>
                <w:szCs w:val="20"/>
                <w:color w:val="auto"/>
              </w:rPr>
            </w:pPr>
            <w:r>
              <w:rPr>
                <w:rFonts w:ascii="Arial" w:cs="Arial" w:eastAsia="Arial" w:hAnsi="Arial"/>
                <w:sz w:val="11"/>
                <w:szCs w:val="11"/>
                <w:color w:val="auto"/>
              </w:rPr>
              <w:t>translation adjustment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39,966</w:t>
            </w:r>
          </w:p>
        </w:tc>
        <w:tc>
          <w:tcPr>
            <w:tcW w:w="260" w:type="dxa"/>
            <w:vAlign w:val="bottom"/>
            <w:tcBorders>
              <w:bottom w:val="single" w:sz="8" w:color="CFF0FC"/>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44,944</w:t>
            </w:r>
          </w:p>
        </w:tc>
        <w:tc>
          <w:tcPr>
            <w:tcW w:w="26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51,044</w:t>
            </w:r>
          </w:p>
        </w:tc>
        <w:tc>
          <w:tcPr>
            <w:tcW w:w="24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7,141</w:t>
            </w:r>
          </w:p>
        </w:tc>
        <w:tc>
          <w:tcPr>
            <w:tcW w:w="26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54,328</w:t>
            </w:r>
          </w:p>
        </w:tc>
        <w:tc>
          <w:tcPr>
            <w:tcW w:w="26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68,795</w:t>
            </w:r>
          </w:p>
        </w:tc>
        <w:tc>
          <w:tcPr>
            <w:tcW w:w="46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9,625</w:t>
            </w:r>
          </w:p>
        </w:tc>
      </w:tr>
      <w:tr>
        <w:trPr>
          <w:trHeight w:val="132"/>
        </w:trPr>
        <w:tc>
          <w:tcPr>
            <w:tcW w:w="30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Comprehensive income/(loss)</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75,324</w:t>
            </w:r>
          </w:p>
        </w:tc>
        <w:tc>
          <w:tcPr>
            <w:tcW w:w="2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(489,008)</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788,006</w:t>
            </w: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110,247</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132,067</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869,472</w:t>
            </w:r>
          </w:p>
        </w:tc>
        <w:tc>
          <w:tcPr>
            <w:tcW w:w="46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1"/>
                <w:szCs w:val="11"/>
                <w:b w:val="1"/>
                <w:bCs w:val="1"/>
                <w:color w:val="auto"/>
              </w:rPr>
              <w:t>121,645</w:t>
            </w:r>
          </w:p>
        </w:tc>
      </w:tr>
      <w:tr>
        <w:trPr>
          <w:trHeight w:val="140"/>
        </w:trPr>
        <w:tc>
          <w:tcPr>
            <w:tcW w:w="3020" w:type="dxa"/>
            <w:vAlign w:val="bottom"/>
            <w:tcBorders>
              <w:bottom w:val="single" w:sz="8" w:color="CFF0FC"/>
            </w:tcBorders>
          </w:tcPr>
          <w:p>
            <w:pPr>
              <w:ind w:left="240"/>
              <w:spacing w:after="0"/>
              <w:rPr>
                <w:sz w:val="20"/>
                <w:szCs w:val="20"/>
                <w:color w:val="auto"/>
              </w:rPr>
            </w:pPr>
            <w:r>
              <w:rPr>
                <w:rFonts w:ascii="Arial" w:cs="Arial" w:eastAsia="Arial" w:hAnsi="Arial"/>
                <w:sz w:val="11"/>
                <w:szCs w:val="11"/>
                <w:color w:val="auto"/>
                <w:w w:val="96"/>
              </w:rPr>
              <w:t>Comprehensive loss attributable to noncontrolling interests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c>
          <w:tcPr>
            <w:tcW w:w="26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754</w:t>
            </w:r>
          </w:p>
        </w:tc>
        <w:tc>
          <w:tcPr>
            <w:tcW w:w="2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3,896</w:t>
            </w:r>
          </w:p>
        </w:tc>
        <w:tc>
          <w:tcPr>
            <w:tcW w:w="24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545</w:t>
            </w:r>
          </w:p>
        </w:tc>
        <w:tc>
          <w:tcPr>
            <w:tcW w:w="2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1,098</w:t>
            </w:r>
          </w:p>
        </w:tc>
        <w:tc>
          <w:tcPr>
            <w:tcW w:w="2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12,649</w:t>
            </w:r>
          </w:p>
        </w:tc>
        <w:tc>
          <w:tcPr>
            <w:tcW w:w="4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1,770</w:t>
            </w:r>
          </w:p>
        </w:tc>
      </w:tr>
      <w:tr>
        <w:trPr>
          <w:trHeight w:val="124"/>
        </w:trPr>
        <w:tc>
          <w:tcPr>
            <w:tcW w:w="3020" w:type="dxa"/>
            <w:vAlign w:val="bottom"/>
            <w:shd w:val="clear" w:color="auto" w:fill="CFF0FC"/>
          </w:tcPr>
          <w:p>
            <w:pPr>
              <w:spacing w:after="0" w:line="124" w:lineRule="exact"/>
              <w:rPr>
                <w:sz w:val="20"/>
                <w:szCs w:val="20"/>
                <w:color w:val="auto"/>
              </w:rPr>
            </w:pPr>
            <w:r>
              <w:rPr>
                <w:rFonts w:ascii="Arial" w:cs="Arial" w:eastAsia="Arial" w:hAnsi="Arial"/>
                <w:sz w:val="11"/>
                <w:szCs w:val="11"/>
                <w:b w:val="1"/>
                <w:bCs w:val="1"/>
                <w:color w:val="auto"/>
                <w:w w:val="98"/>
              </w:rPr>
              <w:t>Comprehensive income/(loss) attributable to Phoenix New</w:t>
            </w:r>
          </w:p>
        </w:tc>
        <w:tc>
          <w:tcPr>
            <w:tcW w:w="1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920" w:type="dxa"/>
            <w:vAlign w:val="bottom"/>
            <w:tcBorders>
              <w:right w:val="single" w:sz="8" w:color="CFF0FC"/>
            </w:tcBorders>
            <w:shd w:val="clear" w:color="auto" w:fill="CFF0FC"/>
          </w:tcPr>
          <w:p>
            <w:pPr>
              <w:spacing w:after="0"/>
              <w:rPr>
                <w:sz w:val="10"/>
                <w:szCs w:val="10"/>
                <w:color w:val="auto"/>
              </w:rPr>
            </w:pPr>
          </w:p>
        </w:tc>
      </w:tr>
      <w:tr>
        <w:trPr>
          <w:trHeight w:val="135"/>
        </w:trPr>
        <w:tc>
          <w:tcPr>
            <w:tcW w:w="30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Media Limited</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75,451</w:t>
            </w:r>
          </w:p>
        </w:tc>
        <w:tc>
          <w:tcPr>
            <w:tcW w:w="2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(488,254)</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791,902</w:t>
            </w: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110,792</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133,165</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882,121</w:t>
            </w:r>
          </w:p>
        </w:tc>
        <w:tc>
          <w:tcPr>
            <w:tcW w:w="46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1"/>
                <w:szCs w:val="11"/>
                <w:b w:val="1"/>
                <w:bCs w:val="1"/>
                <w:color w:val="auto"/>
              </w:rPr>
              <w:t>123,415</w:t>
            </w: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8"/>
        </w:trPr>
        <w:tc>
          <w:tcPr>
            <w:tcW w:w="3020" w:type="dxa"/>
            <w:vAlign w:val="bottom"/>
          </w:tcPr>
          <w:p>
            <w:pPr>
              <w:spacing w:after="0" w:line="118" w:lineRule="exact"/>
              <w:rPr>
                <w:sz w:val="20"/>
                <w:szCs w:val="20"/>
                <w:color w:val="auto"/>
              </w:rPr>
            </w:pPr>
            <w:r>
              <w:rPr>
                <w:rFonts w:ascii="Arial" w:cs="Arial" w:eastAsia="Arial" w:hAnsi="Arial"/>
                <w:sz w:val="11"/>
                <w:szCs w:val="11"/>
                <w:b w:val="1"/>
                <w:bCs w:val="1"/>
                <w:color w:val="auto"/>
                <w:w w:val="94"/>
              </w:rPr>
              <w:t>Net (loss)/income attributable to Phoenix New Media Limited</w:t>
            </w:r>
          </w:p>
        </w:tc>
        <w:tc>
          <w:tcPr>
            <w:tcW w:w="1420" w:type="dxa"/>
            <w:vAlign w:val="bottom"/>
            <w:gridSpan w:val="2"/>
          </w:tcPr>
          <w:p>
            <w:pPr>
              <w:jc w:val="right"/>
              <w:ind w:right="220"/>
              <w:spacing w:after="0" w:line="118" w:lineRule="exact"/>
              <w:rPr>
                <w:sz w:val="20"/>
                <w:szCs w:val="20"/>
                <w:color w:val="auto"/>
              </w:rPr>
            </w:pPr>
            <w:r>
              <w:rPr>
                <w:rFonts w:ascii="Arial" w:cs="Arial" w:eastAsia="Arial" w:hAnsi="Arial"/>
                <w:sz w:val="11"/>
                <w:szCs w:val="11"/>
                <w:b w:val="1"/>
                <w:bCs w:val="1"/>
                <w:color w:val="auto"/>
              </w:rPr>
              <w:t>(16,626)</w:t>
            </w:r>
          </w:p>
        </w:tc>
        <w:tc>
          <w:tcPr>
            <w:tcW w:w="1160" w:type="dxa"/>
            <w:vAlign w:val="bottom"/>
            <w:gridSpan w:val="2"/>
          </w:tcPr>
          <w:p>
            <w:pPr>
              <w:jc w:val="right"/>
              <w:ind w:right="220"/>
              <w:spacing w:after="0" w:line="118" w:lineRule="exact"/>
              <w:rPr>
                <w:sz w:val="20"/>
                <w:szCs w:val="20"/>
                <w:color w:val="auto"/>
              </w:rPr>
            </w:pPr>
            <w:r>
              <w:rPr>
                <w:rFonts w:ascii="Arial" w:cs="Arial" w:eastAsia="Arial" w:hAnsi="Arial"/>
                <w:sz w:val="11"/>
                <w:szCs w:val="11"/>
                <w:b w:val="1"/>
                <w:bCs w:val="1"/>
                <w:color w:val="auto"/>
              </w:rPr>
              <w:t>(70,115)</w:t>
            </w:r>
          </w:p>
        </w:tc>
        <w:tc>
          <w:tcPr>
            <w:tcW w:w="920" w:type="dxa"/>
            <w:vAlign w:val="bottom"/>
          </w:tcPr>
          <w:p>
            <w:pPr>
              <w:jc w:val="right"/>
              <w:spacing w:after="0" w:line="118" w:lineRule="exact"/>
              <w:rPr>
                <w:sz w:val="20"/>
                <w:szCs w:val="20"/>
                <w:color w:val="auto"/>
              </w:rPr>
            </w:pPr>
            <w:r>
              <w:rPr>
                <w:rFonts w:ascii="Arial" w:cs="Arial" w:eastAsia="Arial" w:hAnsi="Arial"/>
                <w:sz w:val="11"/>
                <w:szCs w:val="11"/>
                <w:b w:val="1"/>
                <w:bCs w:val="1"/>
                <w:color w:val="auto"/>
              </w:rPr>
              <w:t>5,927</w:t>
            </w:r>
          </w:p>
        </w:tc>
        <w:tc>
          <w:tcPr>
            <w:tcW w:w="24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Arial" w:cs="Arial" w:eastAsia="Arial" w:hAnsi="Arial"/>
                <w:sz w:val="11"/>
                <w:szCs w:val="11"/>
                <w:b w:val="1"/>
                <w:bCs w:val="1"/>
                <w:color w:val="auto"/>
              </w:rPr>
              <w:t>830</w:t>
            </w:r>
          </w:p>
        </w:tc>
        <w:tc>
          <w:tcPr>
            <w:tcW w:w="260" w:type="dxa"/>
            <w:vAlign w:val="bottom"/>
          </w:tcPr>
          <w:p>
            <w:pPr>
              <w:spacing w:after="0"/>
              <w:rPr>
                <w:sz w:val="10"/>
                <w:szCs w:val="10"/>
                <w:color w:val="auto"/>
              </w:rPr>
            </w:pPr>
          </w:p>
        </w:tc>
        <w:tc>
          <w:tcPr>
            <w:tcW w:w="1180" w:type="dxa"/>
            <w:vAlign w:val="bottom"/>
            <w:gridSpan w:val="2"/>
          </w:tcPr>
          <w:p>
            <w:pPr>
              <w:jc w:val="right"/>
              <w:ind w:right="220"/>
              <w:spacing w:after="0" w:line="118" w:lineRule="exact"/>
              <w:rPr>
                <w:sz w:val="20"/>
                <w:szCs w:val="20"/>
                <w:color w:val="auto"/>
              </w:rPr>
            </w:pPr>
            <w:r>
              <w:rPr>
                <w:rFonts w:ascii="Arial" w:cs="Arial" w:eastAsia="Arial" w:hAnsi="Arial"/>
                <w:sz w:val="11"/>
                <w:szCs w:val="11"/>
                <w:b w:val="1"/>
                <w:bCs w:val="1"/>
                <w:color w:val="auto"/>
              </w:rPr>
              <w:t>(24,925)</w:t>
            </w:r>
          </w:p>
        </w:tc>
        <w:tc>
          <w:tcPr>
            <w:tcW w:w="1380" w:type="dxa"/>
            <w:vAlign w:val="bottom"/>
            <w:gridSpan w:val="2"/>
          </w:tcPr>
          <w:p>
            <w:pPr>
              <w:jc w:val="right"/>
              <w:ind w:right="420"/>
              <w:spacing w:after="0" w:line="118" w:lineRule="exact"/>
              <w:rPr>
                <w:sz w:val="20"/>
                <w:szCs w:val="20"/>
                <w:color w:val="auto"/>
              </w:rPr>
            </w:pPr>
            <w:r>
              <w:rPr>
                <w:rFonts w:ascii="Arial" w:cs="Arial" w:eastAsia="Arial" w:hAnsi="Arial"/>
                <w:sz w:val="11"/>
                <w:szCs w:val="11"/>
                <w:b w:val="1"/>
                <w:bCs w:val="1"/>
                <w:color w:val="auto"/>
              </w:rPr>
              <w:t>(183,925)</w:t>
            </w:r>
          </w:p>
        </w:tc>
        <w:tc>
          <w:tcPr>
            <w:tcW w:w="920" w:type="dxa"/>
            <w:vAlign w:val="bottom"/>
          </w:tcPr>
          <w:p>
            <w:pPr>
              <w:jc w:val="right"/>
              <w:spacing w:after="0" w:line="118" w:lineRule="exact"/>
              <w:rPr>
                <w:sz w:val="20"/>
                <w:szCs w:val="20"/>
                <w:color w:val="auto"/>
              </w:rPr>
            </w:pPr>
            <w:r>
              <w:rPr>
                <w:rFonts w:ascii="Arial" w:cs="Arial" w:eastAsia="Arial" w:hAnsi="Arial"/>
                <w:sz w:val="11"/>
                <w:szCs w:val="11"/>
                <w:b w:val="1"/>
                <w:bCs w:val="1"/>
                <w:color w:val="auto"/>
              </w:rPr>
              <w:t>(25,731)</w:t>
            </w:r>
          </w:p>
        </w:tc>
      </w:tr>
      <w:tr>
        <w:trPr>
          <w:trHeight w:val="140"/>
        </w:trPr>
        <w:tc>
          <w:tcPr>
            <w:tcW w:w="3020" w:type="dxa"/>
            <w:vAlign w:val="bottom"/>
            <w:shd w:val="clear" w:color="auto" w:fill="CFF0FC"/>
          </w:tcPr>
          <w:p>
            <w:pPr>
              <w:spacing w:after="0"/>
              <w:rPr>
                <w:sz w:val="20"/>
                <w:szCs w:val="20"/>
                <w:color w:val="auto"/>
              </w:rPr>
            </w:pPr>
            <w:r>
              <w:rPr>
                <w:rFonts w:ascii="Arial" w:cs="Arial" w:eastAsia="Arial" w:hAnsi="Arial"/>
                <w:sz w:val="11"/>
                <w:szCs w:val="11"/>
                <w:color w:val="auto"/>
              </w:rPr>
              <w:t>Net (loss)/income per Class A and Class B ordinary share:</w:t>
            </w: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spacing w:after="0"/>
              <w:rPr>
                <w:sz w:val="12"/>
                <w:szCs w:val="12"/>
                <w:color w:val="auto"/>
              </w:rPr>
            </w:pPr>
          </w:p>
        </w:tc>
      </w:tr>
      <w:tr>
        <w:trPr>
          <w:trHeight w:val="140"/>
        </w:trPr>
        <w:tc>
          <w:tcPr>
            <w:tcW w:w="3020" w:type="dxa"/>
            <w:vAlign w:val="bottom"/>
          </w:tcPr>
          <w:p>
            <w:pPr>
              <w:ind w:left="240"/>
              <w:spacing w:after="0"/>
              <w:rPr>
                <w:sz w:val="20"/>
                <w:szCs w:val="20"/>
                <w:color w:val="auto"/>
              </w:rPr>
            </w:pPr>
            <w:r>
              <w:rPr>
                <w:rFonts w:ascii="Arial" w:cs="Arial" w:eastAsia="Arial" w:hAnsi="Arial"/>
                <w:sz w:val="11"/>
                <w:szCs w:val="11"/>
                <w:color w:val="auto"/>
              </w:rPr>
              <w:t>Basic</w:t>
            </w:r>
          </w:p>
        </w:tc>
        <w:tc>
          <w:tcPr>
            <w:tcW w:w="1420" w:type="dxa"/>
            <w:vAlign w:val="bottom"/>
            <w:gridSpan w:val="2"/>
          </w:tcPr>
          <w:p>
            <w:pPr>
              <w:jc w:val="right"/>
              <w:ind w:right="220"/>
              <w:spacing w:after="0"/>
              <w:rPr>
                <w:sz w:val="20"/>
                <w:szCs w:val="20"/>
                <w:color w:val="auto"/>
              </w:rPr>
            </w:pPr>
            <w:r>
              <w:rPr>
                <w:rFonts w:ascii="Arial" w:cs="Arial" w:eastAsia="Arial" w:hAnsi="Arial"/>
                <w:sz w:val="11"/>
                <w:szCs w:val="11"/>
                <w:color w:val="auto"/>
              </w:rPr>
              <w:t>(0.03)</w:t>
            </w: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(0.12)</w:t>
            </w:r>
          </w:p>
        </w:tc>
        <w:tc>
          <w:tcPr>
            <w:tcW w:w="920" w:type="dxa"/>
            <w:vAlign w:val="bottom"/>
          </w:tcPr>
          <w:p>
            <w:pPr>
              <w:jc w:val="right"/>
              <w:spacing w:after="0"/>
              <w:rPr>
                <w:sz w:val="20"/>
                <w:szCs w:val="20"/>
                <w:color w:val="auto"/>
              </w:rPr>
            </w:pPr>
            <w:r>
              <w:rPr>
                <w:rFonts w:ascii="Arial" w:cs="Arial" w:eastAsia="Arial" w:hAnsi="Arial"/>
                <w:sz w:val="11"/>
                <w:szCs w:val="11"/>
                <w:color w:val="auto"/>
              </w:rPr>
              <w:t>0.01</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0.00</w:t>
            </w:r>
          </w:p>
        </w:tc>
        <w:tc>
          <w:tcPr>
            <w:tcW w:w="2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(0.04)</w:t>
            </w: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(0.32)</w:t>
            </w:r>
          </w:p>
        </w:tc>
        <w:tc>
          <w:tcPr>
            <w:tcW w:w="920" w:type="dxa"/>
            <w:vAlign w:val="bottom"/>
          </w:tcPr>
          <w:p>
            <w:pPr>
              <w:jc w:val="right"/>
              <w:spacing w:after="0"/>
              <w:rPr>
                <w:sz w:val="20"/>
                <w:szCs w:val="20"/>
                <w:color w:val="auto"/>
              </w:rPr>
            </w:pPr>
            <w:r>
              <w:rPr>
                <w:rFonts w:ascii="Arial" w:cs="Arial" w:eastAsia="Arial" w:hAnsi="Arial"/>
                <w:sz w:val="11"/>
                <w:szCs w:val="11"/>
                <w:color w:val="auto"/>
              </w:rPr>
              <w:t>(0.04)</w:t>
            </w:r>
          </w:p>
        </w:tc>
      </w:tr>
      <w:tr>
        <w:trPr>
          <w:trHeight w:val="140"/>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Diluted</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(0.03)</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(0.12)</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0.01</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0.00</w:t>
            </w:r>
          </w:p>
        </w:tc>
        <w:tc>
          <w:tcPr>
            <w:tcW w:w="2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(0.04)</w:t>
            </w: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(0.32)</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(0.04)</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w w:val="94"/>
              </w:rPr>
              <w:t>Net (loss)/income per ADS (1 ADS represents 8 Class A ordinary</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1"/>
        </w:trPr>
        <w:tc>
          <w:tcPr>
            <w:tcW w:w="3020" w:type="dxa"/>
            <w:vAlign w:val="bottom"/>
          </w:tcPr>
          <w:p>
            <w:pPr>
              <w:spacing w:after="0"/>
              <w:rPr>
                <w:sz w:val="20"/>
                <w:szCs w:val="20"/>
                <w:color w:val="auto"/>
              </w:rPr>
            </w:pPr>
            <w:r>
              <w:rPr>
                <w:rFonts w:ascii="Arial" w:cs="Arial" w:eastAsia="Arial" w:hAnsi="Arial"/>
                <w:sz w:val="11"/>
                <w:szCs w:val="11"/>
                <w:color w:val="auto"/>
              </w:rPr>
              <w:t>shares):</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0"/>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Basic</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(0.23)</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(0.96)</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0.08</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0.01</w:t>
            </w:r>
          </w:p>
        </w:tc>
        <w:tc>
          <w:tcPr>
            <w:tcW w:w="2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(0.34)</w:t>
            </w:r>
          </w:p>
        </w:tc>
        <w:tc>
          <w:tcPr>
            <w:tcW w:w="1380" w:type="dxa"/>
            <w:vAlign w:val="bottom"/>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(2.53)</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(0.35)</w:t>
            </w:r>
          </w:p>
        </w:tc>
      </w:tr>
      <w:tr>
        <w:trPr>
          <w:trHeight w:val="140"/>
        </w:trPr>
        <w:tc>
          <w:tcPr>
            <w:tcW w:w="3020" w:type="dxa"/>
            <w:vAlign w:val="bottom"/>
          </w:tcPr>
          <w:p>
            <w:pPr>
              <w:ind w:left="240"/>
              <w:spacing w:after="0"/>
              <w:rPr>
                <w:sz w:val="20"/>
                <w:szCs w:val="20"/>
                <w:color w:val="auto"/>
              </w:rPr>
            </w:pPr>
            <w:r>
              <w:rPr>
                <w:rFonts w:ascii="Arial" w:cs="Arial" w:eastAsia="Arial" w:hAnsi="Arial"/>
                <w:sz w:val="11"/>
                <w:szCs w:val="11"/>
                <w:color w:val="auto"/>
              </w:rPr>
              <w:t>Diluted</w:t>
            </w:r>
          </w:p>
        </w:tc>
        <w:tc>
          <w:tcPr>
            <w:tcW w:w="1420" w:type="dxa"/>
            <w:vAlign w:val="bottom"/>
            <w:gridSpan w:val="2"/>
          </w:tcPr>
          <w:p>
            <w:pPr>
              <w:jc w:val="right"/>
              <w:ind w:right="220"/>
              <w:spacing w:after="0"/>
              <w:rPr>
                <w:sz w:val="20"/>
                <w:szCs w:val="20"/>
                <w:color w:val="auto"/>
              </w:rPr>
            </w:pPr>
            <w:r>
              <w:rPr>
                <w:rFonts w:ascii="Arial" w:cs="Arial" w:eastAsia="Arial" w:hAnsi="Arial"/>
                <w:sz w:val="11"/>
                <w:szCs w:val="11"/>
                <w:color w:val="auto"/>
              </w:rPr>
              <w:t>(0.23)</w:t>
            </w: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(0.96)</w:t>
            </w:r>
          </w:p>
        </w:tc>
        <w:tc>
          <w:tcPr>
            <w:tcW w:w="920" w:type="dxa"/>
            <w:vAlign w:val="bottom"/>
          </w:tcPr>
          <w:p>
            <w:pPr>
              <w:jc w:val="right"/>
              <w:spacing w:after="0"/>
              <w:rPr>
                <w:sz w:val="20"/>
                <w:szCs w:val="20"/>
                <w:color w:val="auto"/>
              </w:rPr>
            </w:pPr>
            <w:r>
              <w:rPr>
                <w:rFonts w:ascii="Arial" w:cs="Arial" w:eastAsia="Arial" w:hAnsi="Arial"/>
                <w:sz w:val="11"/>
                <w:szCs w:val="11"/>
                <w:color w:val="auto"/>
              </w:rPr>
              <w:t>0.08</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0.01</w:t>
            </w:r>
          </w:p>
        </w:tc>
        <w:tc>
          <w:tcPr>
            <w:tcW w:w="2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(0.34)</w:t>
            </w:r>
          </w:p>
        </w:tc>
        <w:tc>
          <w:tcPr>
            <w:tcW w:w="1380" w:type="dxa"/>
            <w:vAlign w:val="bottom"/>
            <w:gridSpan w:val="2"/>
          </w:tcPr>
          <w:p>
            <w:pPr>
              <w:jc w:val="right"/>
              <w:ind w:right="420"/>
              <w:spacing w:after="0"/>
              <w:rPr>
                <w:sz w:val="20"/>
                <w:szCs w:val="20"/>
                <w:color w:val="auto"/>
              </w:rPr>
            </w:pPr>
            <w:r>
              <w:rPr>
                <w:rFonts w:ascii="Arial" w:cs="Arial" w:eastAsia="Arial" w:hAnsi="Arial"/>
                <w:sz w:val="11"/>
                <w:szCs w:val="11"/>
                <w:color w:val="auto"/>
              </w:rPr>
              <w:t>(2.53)</w:t>
            </w:r>
          </w:p>
        </w:tc>
        <w:tc>
          <w:tcPr>
            <w:tcW w:w="920" w:type="dxa"/>
            <w:vAlign w:val="bottom"/>
          </w:tcPr>
          <w:p>
            <w:pPr>
              <w:jc w:val="right"/>
              <w:spacing w:after="0"/>
              <w:rPr>
                <w:sz w:val="20"/>
                <w:szCs w:val="20"/>
                <w:color w:val="auto"/>
              </w:rPr>
            </w:pPr>
            <w:r>
              <w:rPr>
                <w:rFonts w:ascii="Arial" w:cs="Arial" w:eastAsia="Arial" w:hAnsi="Arial"/>
                <w:sz w:val="11"/>
                <w:szCs w:val="11"/>
                <w:color w:val="auto"/>
              </w:rPr>
              <w:t>(0.35)</w:t>
            </w:r>
          </w:p>
        </w:tc>
      </w:tr>
      <w:tr>
        <w:trPr>
          <w:trHeight w:val="135"/>
        </w:trPr>
        <w:tc>
          <w:tcPr>
            <w:tcW w:w="3020" w:type="dxa"/>
            <w:vAlign w:val="bottom"/>
            <w:shd w:val="clear" w:color="auto" w:fill="CFF0FC"/>
          </w:tcPr>
          <w:p>
            <w:pPr>
              <w:spacing w:after="0"/>
              <w:rPr>
                <w:sz w:val="20"/>
                <w:szCs w:val="20"/>
                <w:color w:val="auto"/>
              </w:rPr>
            </w:pPr>
            <w:r>
              <w:rPr>
                <w:rFonts w:ascii="Arial" w:cs="Arial" w:eastAsia="Arial" w:hAnsi="Arial"/>
                <w:sz w:val="11"/>
                <w:szCs w:val="11"/>
                <w:color w:val="auto"/>
                <w:w w:val="92"/>
              </w:rPr>
              <w:t>Weighted average number of Class A and Class B ordinary shares</w:t>
            </w: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spacing w:after="0"/>
              <w:rPr>
                <w:sz w:val="11"/>
                <w:szCs w:val="11"/>
                <w:color w:val="auto"/>
              </w:rPr>
            </w:pPr>
          </w:p>
        </w:tc>
      </w:tr>
      <w:tr>
        <w:trPr>
          <w:trHeight w:val="131"/>
        </w:trPr>
        <w:tc>
          <w:tcPr>
            <w:tcW w:w="3020" w:type="dxa"/>
            <w:vAlign w:val="bottom"/>
            <w:shd w:val="clear" w:color="auto" w:fill="CFF0FC"/>
          </w:tcPr>
          <w:p>
            <w:pPr>
              <w:ind w:left="80"/>
              <w:spacing w:after="0"/>
              <w:rPr>
                <w:sz w:val="20"/>
                <w:szCs w:val="20"/>
                <w:color w:val="auto"/>
              </w:rPr>
            </w:pPr>
            <w:r>
              <w:rPr>
                <w:rFonts w:ascii="Arial" w:cs="Arial" w:eastAsia="Arial" w:hAnsi="Arial"/>
                <w:sz w:val="11"/>
                <w:szCs w:val="11"/>
                <w:color w:val="auto"/>
              </w:rPr>
              <w:t>used in computing net (loss)/income per share:</w:t>
            </w: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spacing w:after="0"/>
              <w:rPr>
                <w:sz w:val="11"/>
                <w:szCs w:val="11"/>
                <w:color w:val="auto"/>
              </w:rPr>
            </w:pPr>
          </w:p>
        </w:tc>
      </w:tr>
      <w:tr>
        <w:trPr>
          <w:trHeight w:val="140"/>
        </w:trPr>
        <w:tc>
          <w:tcPr>
            <w:tcW w:w="3020" w:type="dxa"/>
            <w:vAlign w:val="bottom"/>
          </w:tcPr>
          <w:p>
            <w:pPr>
              <w:ind w:left="240"/>
              <w:spacing w:after="0"/>
              <w:rPr>
                <w:sz w:val="20"/>
                <w:szCs w:val="20"/>
                <w:color w:val="auto"/>
              </w:rPr>
            </w:pPr>
            <w:r>
              <w:rPr>
                <w:rFonts w:ascii="Arial" w:cs="Arial" w:eastAsia="Arial" w:hAnsi="Arial"/>
                <w:sz w:val="11"/>
                <w:szCs w:val="11"/>
                <w:color w:val="auto"/>
              </w:rPr>
              <w:t>Basic</w:t>
            </w:r>
          </w:p>
        </w:tc>
        <w:tc>
          <w:tcPr>
            <w:tcW w:w="1160" w:type="dxa"/>
            <w:vAlign w:val="bottom"/>
          </w:tcPr>
          <w:p>
            <w:pPr>
              <w:jc w:val="right"/>
              <w:spacing w:after="0"/>
              <w:rPr>
                <w:sz w:val="20"/>
                <w:szCs w:val="20"/>
                <w:color w:val="auto"/>
              </w:rPr>
            </w:pPr>
            <w:r>
              <w:rPr>
                <w:rFonts w:ascii="Arial" w:cs="Arial" w:eastAsia="Arial" w:hAnsi="Arial"/>
                <w:sz w:val="11"/>
                <w:szCs w:val="11"/>
                <w:color w:val="auto"/>
              </w:rPr>
              <w:t>581,962,548</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582,267,440</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582,324,325</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582,324,325</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580,729,644</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582,259,624</w:t>
            </w:r>
          </w:p>
        </w:tc>
        <w:tc>
          <w:tcPr>
            <w:tcW w:w="460" w:type="dxa"/>
            <w:vAlign w:val="bottom"/>
          </w:tcPr>
          <w:p>
            <w:pPr>
              <w:spacing w:after="0"/>
              <w:rPr>
                <w:sz w:val="12"/>
                <w:szCs w:val="12"/>
                <w:color w:val="auto"/>
              </w:rPr>
            </w:pPr>
          </w:p>
        </w:tc>
        <w:tc>
          <w:tcPr>
            <w:tcW w:w="920" w:type="dxa"/>
            <w:vAlign w:val="bottom"/>
          </w:tcPr>
          <w:p>
            <w:pPr>
              <w:jc w:val="right"/>
              <w:ind w:right="5"/>
              <w:spacing w:after="0"/>
              <w:rPr>
                <w:sz w:val="20"/>
                <w:szCs w:val="20"/>
                <w:color w:val="auto"/>
              </w:rPr>
            </w:pPr>
            <w:r>
              <w:rPr>
                <w:rFonts w:ascii="Arial" w:cs="Arial" w:eastAsia="Arial" w:hAnsi="Arial"/>
                <w:sz w:val="11"/>
                <w:szCs w:val="11"/>
                <w:color w:val="auto"/>
              </w:rPr>
              <w:t>582,259,624</w:t>
            </w:r>
          </w:p>
        </w:tc>
      </w:tr>
      <w:tr>
        <w:trPr>
          <w:trHeight w:val="140"/>
        </w:trPr>
        <w:tc>
          <w:tcPr>
            <w:tcW w:w="30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Diluted</w:t>
            </w: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581,962,548</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582,267,440</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582,324,325</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582,324,325</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580,729,644</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582,259,624</w:t>
            </w:r>
          </w:p>
        </w:tc>
        <w:tc>
          <w:tcPr>
            <w:tcW w:w="46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1"/>
                <w:szCs w:val="11"/>
                <w:color w:val="auto"/>
              </w:rPr>
              <w:t>582,259,624</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88"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9"/>
          <w:szCs w:val="19"/>
          <w:b w:val="1"/>
          <w:bCs w:val="1"/>
          <w:color w:val="auto"/>
        </w:rPr>
        <w:t>Phoenix New Media Limited</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Condensed Segments Information</w:t>
      </w:r>
    </w:p>
    <w:p>
      <w:pPr>
        <w:jc w:val="center"/>
        <w:ind w:right="40"/>
        <w:spacing w:after="0"/>
        <w:rPr>
          <w:sz w:val="20"/>
          <w:szCs w:val="20"/>
          <w:color w:val="auto"/>
        </w:rPr>
      </w:pPr>
      <w:r>
        <w:rPr>
          <w:rFonts w:ascii="Arial" w:cs="Arial" w:eastAsia="Arial" w:hAnsi="Arial"/>
          <w:sz w:val="19"/>
          <w:szCs w:val="19"/>
          <w:b w:val="1"/>
          <w:bCs w:val="1"/>
          <w:color w:val="auto"/>
        </w:rPr>
        <w:t>(Amounts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7"/>
                <w:szCs w:val="17"/>
                <w:b w:val="1"/>
                <w:bCs w:val="1"/>
                <w:color w:val="auto"/>
                <w:w w:val="91"/>
              </w:rPr>
              <w:t>Nine Months Ended</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220" w:type="dxa"/>
            <w:vAlign w:val="bottom"/>
            <w:gridSpan w:val="2"/>
          </w:tcPr>
          <w:p>
            <w:pPr>
              <w:jc w:val="center"/>
              <w:ind w:right="240"/>
              <w:spacing w:after="0" w:line="193" w:lineRule="exact"/>
              <w:rPr>
                <w:sz w:val="20"/>
                <w:szCs w:val="20"/>
                <w:color w:val="auto"/>
              </w:rPr>
            </w:pPr>
            <w:r>
              <w:rPr>
                <w:rFonts w:ascii="Arial" w:cs="Arial" w:eastAsia="Arial" w:hAnsi="Arial"/>
                <w:sz w:val="17"/>
                <w:szCs w:val="17"/>
                <w:b w:val="1"/>
                <w:bCs w:val="1"/>
                <w:color w:val="auto"/>
                <w:w w:val="88"/>
              </w:rPr>
              <w:t>September</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2"/>
          </w:tcPr>
          <w:p>
            <w:pPr>
              <w:jc w:val="center"/>
              <w:ind w:right="220"/>
              <w:spacing w:after="0" w:line="193" w:lineRule="exact"/>
              <w:rPr>
                <w:sz w:val="20"/>
                <w:szCs w:val="20"/>
                <w:color w:val="auto"/>
              </w:rPr>
            </w:pPr>
            <w:r>
              <w:rPr>
                <w:rFonts w:ascii="Arial" w:cs="Arial" w:eastAsia="Arial" w:hAnsi="Arial"/>
                <w:sz w:val="17"/>
                <w:szCs w:val="17"/>
                <w:b w:val="1"/>
                <w:bCs w:val="1"/>
                <w:color w:val="auto"/>
                <w:w w:val="88"/>
              </w:rPr>
              <w:t>September</w:t>
            </w:r>
          </w:p>
        </w:tc>
        <w:tc>
          <w:tcPr>
            <w:tcW w:w="100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88"/>
              </w:rPr>
              <w:t>September</w:t>
            </w:r>
          </w:p>
        </w:tc>
        <w:tc>
          <w:tcPr>
            <w:tcW w:w="220" w:type="dxa"/>
            <w:vAlign w:val="bottom"/>
          </w:tcPr>
          <w:p>
            <w:pPr>
              <w:spacing w:after="0"/>
              <w:rPr>
                <w:sz w:val="16"/>
                <w:szCs w:val="16"/>
                <w:color w:val="auto"/>
              </w:rPr>
            </w:pPr>
          </w:p>
        </w:tc>
        <w:tc>
          <w:tcPr>
            <w:tcW w:w="102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88"/>
              </w:rPr>
              <w:t>September</w:t>
            </w:r>
          </w:p>
        </w:tc>
        <w:tc>
          <w:tcPr>
            <w:tcW w:w="220" w:type="dxa"/>
            <w:vAlign w:val="bottom"/>
          </w:tcPr>
          <w:p>
            <w:pPr>
              <w:spacing w:after="0"/>
              <w:rPr>
                <w:sz w:val="16"/>
                <w:szCs w:val="16"/>
                <w:color w:val="auto"/>
              </w:rPr>
            </w:pPr>
          </w:p>
        </w:tc>
        <w:tc>
          <w:tcPr>
            <w:tcW w:w="1300" w:type="dxa"/>
            <w:vAlign w:val="bottom"/>
            <w:gridSpan w:val="3"/>
          </w:tcPr>
          <w:p>
            <w:pPr>
              <w:jc w:val="center"/>
              <w:ind w:right="320"/>
              <w:spacing w:after="0" w:line="193" w:lineRule="exact"/>
              <w:rPr>
                <w:sz w:val="20"/>
                <w:szCs w:val="20"/>
                <w:color w:val="auto"/>
              </w:rPr>
            </w:pPr>
            <w:r>
              <w:rPr>
                <w:rFonts w:ascii="Arial" w:cs="Arial" w:eastAsia="Arial" w:hAnsi="Arial"/>
                <w:sz w:val="17"/>
                <w:szCs w:val="17"/>
                <w:b w:val="1"/>
                <w:bCs w:val="1"/>
                <w:color w:val="auto"/>
                <w:w w:val="88"/>
              </w:rPr>
              <w:t>September</w:t>
            </w:r>
          </w:p>
        </w:tc>
        <w:tc>
          <w:tcPr>
            <w:tcW w:w="960" w:type="dxa"/>
            <w:vAlign w:val="bottom"/>
          </w:tcPr>
          <w:p>
            <w:pPr>
              <w:jc w:val="center"/>
              <w:ind w:right="15"/>
              <w:spacing w:after="0" w:line="193" w:lineRule="exact"/>
              <w:rPr>
                <w:sz w:val="20"/>
                <w:szCs w:val="20"/>
                <w:color w:val="auto"/>
              </w:rPr>
            </w:pPr>
            <w:r>
              <w:rPr>
                <w:rFonts w:ascii="Arial" w:cs="Arial" w:eastAsia="Arial" w:hAnsi="Arial"/>
                <w:sz w:val="17"/>
                <w:szCs w:val="17"/>
                <w:b w:val="1"/>
                <w:bCs w:val="1"/>
                <w:color w:val="auto"/>
                <w:w w:val="88"/>
              </w:rPr>
              <w:t>September</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0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30,</w:t>
            </w:r>
          </w:p>
        </w:tc>
        <w:tc>
          <w:tcPr>
            <w:tcW w:w="2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30,</w:t>
            </w:r>
          </w:p>
        </w:tc>
        <w:tc>
          <w:tcPr>
            <w:tcW w:w="240" w:type="dxa"/>
            <w:vAlign w:val="bottom"/>
          </w:tcPr>
          <w:p>
            <w:pPr>
              <w:spacing w:after="0"/>
              <w:rPr>
                <w:sz w:val="10"/>
                <w:szCs w:val="10"/>
                <w:color w:val="auto"/>
              </w:rPr>
            </w:pPr>
          </w:p>
        </w:tc>
        <w:tc>
          <w:tcPr>
            <w:tcW w:w="10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30,</w:t>
            </w:r>
          </w:p>
        </w:tc>
        <w:tc>
          <w:tcPr>
            <w:tcW w:w="220" w:type="dxa"/>
            <w:vAlign w:val="bottom"/>
          </w:tcPr>
          <w:p>
            <w:pPr>
              <w:spacing w:after="0"/>
              <w:rPr>
                <w:sz w:val="10"/>
                <w:szCs w:val="10"/>
                <w:color w:val="auto"/>
              </w:rPr>
            </w:pPr>
          </w:p>
        </w:tc>
        <w:tc>
          <w:tcPr>
            <w:tcW w:w="10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30,</w:t>
            </w:r>
          </w:p>
        </w:tc>
        <w:tc>
          <w:tcPr>
            <w:tcW w:w="1220" w:type="dxa"/>
            <w:vAlign w:val="bottom"/>
            <w:gridSpan w:val="2"/>
            <w:vMerge w:val="restart"/>
          </w:tcPr>
          <w:p>
            <w:pPr>
              <w:jc w:val="right"/>
              <w:ind w:right="315"/>
              <w:spacing w:after="0"/>
              <w:rPr>
                <w:sz w:val="20"/>
                <w:szCs w:val="20"/>
                <w:color w:val="auto"/>
              </w:rPr>
            </w:pPr>
            <w:r>
              <w:rPr>
                <w:rFonts w:ascii="Arial" w:cs="Arial" w:eastAsia="Arial" w:hAnsi="Arial"/>
                <w:sz w:val="17"/>
                <w:szCs w:val="17"/>
                <w:b w:val="1"/>
                <w:bCs w:val="1"/>
                <w:color w:val="auto"/>
              </w:rPr>
              <w:t>30,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30,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9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10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89"/>
              </w:rPr>
              <w:t>2019</w:t>
            </w:r>
          </w:p>
        </w:tc>
        <w:tc>
          <w:tcPr>
            <w:tcW w:w="220" w:type="dxa"/>
            <w:vAlign w:val="bottom"/>
          </w:tcPr>
          <w:p>
            <w:pPr>
              <w:spacing w:after="0"/>
              <w:rPr>
                <w:sz w:val="19"/>
                <w:szCs w:val="19"/>
                <w:color w:val="auto"/>
              </w:rPr>
            </w:pPr>
          </w:p>
        </w:tc>
        <w:tc>
          <w:tcPr>
            <w:tcW w:w="1000" w:type="dxa"/>
            <w:vAlign w:val="bottom"/>
          </w:tcPr>
          <w:p>
            <w:pPr>
              <w:jc w:val="right"/>
              <w:ind w:right="235"/>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9"/>
                <w:szCs w:val="19"/>
                <w:color w:val="auto"/>
              </w:rPr>
            </w:pPr>
          </w:p>
        </w:tc>
        <w:tc>
          <w:tcPr>
            <w:tcW w:w="10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9"/>
                <w:szCs w:val="19"/>
                <w:color w:val="auto"/>
              </w:rPr>
            </w:pPr>
          </w:p>
        </w:tc>
        <w:tc>
          <w:tcPr>
            <w:tcW w:w="1020" w:type="dxa"/>
            <w:vAlign w:val="bottom"/>
          </w:tcPr>
          <w:p>
            <w:pPr>
              <w:jc w:val="right"/>
              <w:ind w:right="255"/>
              <w:spacing w:after="0"/>
              <w:rPr>
                <w:sz w:val="20"/>
                <w:szCs w:val="20"/>
                <w:color w:val="auto"/>
              </w:rPr>
            </w:pPr>
            <w:r>
              <w:rPr>
                <w:rFonts w:ascii="Arial" w:cs="Arial" w:eastAsia="Arial" w:hAnsi="Arial"/>
                <w:sz w:val="17"/>
                <w:szCs w:val="17"/>
                <w:b w:val="1"/>
                <w:bCs w:val="1"/>
                <w:color w:val="auto"/>
              </w:rPr>
              <w:t>2018</w:t>
            </w:r>
          </w:p>
        </w:tc>
        <w:tc>
          <w:tcPr>
            <w:tcW w:w="122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90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4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US$</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0"/>
              </w:rPr>
              <w:t>US$</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Unaudited</w:t>
            </w: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Unaudited</w:t>
            </w:r>
          </w:p>
        </w:tc>
        <w:tc>
          <w:tcPr>
            <w:tcW w:w="12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Unaudited</w:t>
            </w: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Unaudited</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1"/>
              </w:rPr>
              <w:t>Unaudited</w:t>
            </w:r>
          </w:p>
        </w:tc>
        <w:tc>
          <w:tcPr>
            <w:tcW w:w="220" w:type="dxa"/>
            <w:vAlign w:val="bottom"/>
          </w:tcPr>
          <w:p>
            <w:pPr>
              <w:spacing w:after="0"/>
              <w:rPr>
                <w:sz w:val="19"/>
                <w:szCs w:val="19"/>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1"/>
              </w:rPr>
              <w:t>Unaudited</w:t>
            </w: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Unaudited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40"/>
              <w:spacing w:after="0"/>
              <w:rPr>
                <w:sz w:val="20"/>
                <w:szCs w:val="20"/>
                <w:color w:val="auto"/>
              </w:rPr>
            </w:pPr>
            <w:r>
              <w:rPr>
                <w:rFonts w:ascii="Arial" w:cs="Arial" w:eastAsia="Arial" w:hAnsi="Arial"/>
                <w:sz w:val="17"/>
                <w:szCs w:val="17"/>
                <w:color w:val="auto"/>
              </w:rPr>
              <w:t>Net advertising service</w:t>
            </w:r>
          </w:p>
        </w:tc>
        <w:tc>
          <w:tcPr>
            <w:tcW w:w="1000" w:type="dxa"/>
            <w:vAlign w:val="bottom"/>
          </w:tcPr>
          <w:p>
            <w:pPr>
              <w:jc w:val="right"/>
              <w:spacing w:after="0"/>
              <w:rPr>
                <w:sz w:val="20"/>
                <w:szCs w:val="20"/>
                <w:color w:val="auto"/>
              </w:rPr>
            </w:pPr>
            <w:r>
              <w:rPr>
                <w:rFonts w:ascii="Arial" w:cs="Arial" w:eastAsia="Arial" w:hAnsi="Arial"/>
                <w:sz w:val="17"/>
                <w:szCs w:val="17"/>
                <w:color w:val="auto"/>
              </w:rPr>
              <w:t>281,500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324,738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327,593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45,832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842,292</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868,315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121,482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Paid services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47,840</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70,338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52,626</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7,363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135,853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191,854</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26,841</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0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Total revenues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329,340</w:t>
            </w:r>
          </w:p>
        </w:tc>
        <w:tc>
          <w:tcPr>
            <w:tcW w:w="2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395,076</w:t>
            </w:r>
          </w:p>
        </w:tc>
        <w:tc>
          <w:tcPr>
            <w:tcW w:w="2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380,219</w:t>
            </w:r>
          </w:p>
        </w:tc>
        <w:tc>
          <w:tcPr>
            <w:tcW w:w="24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53,195</w:t>
            </w:r>
          </w:p>
        </w:tc>
        <w:tc>
          <w:tcPr>
            <w:tcW w:w="22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978,145</w:t>
            </w:r>
          </w:p>
        </w:tc>
        <w:tc>
          <w:tcPr>
            <w:tcW w:w="2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1,060,169</w:t>
            </w:r>
          </w:p>
        </w:tc>
        <w:tc>
          <w:tcPr>
            <w:tcW w:w="240" w:type="dxa"/>
            <w:vAlign w:val="bottom"/>
            <w:tcBorders>
              <w:bottom w:val="single" w:sz="8" w:color="CFF0FC"/>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148,323</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Cost of revenues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40"/>
              <w:spacing w:after="0"/>
              <w:rPr>
                <w:sz w:val="20"/>
                <w:szCs w:val="20"/>
                <w:color w:val="auto"/>
              </w:rPr>
            </w:pPr>
            <w:r>
              <w:rPr>
                <w:rFonts w:ascii="Arial" w:cs="Arial" w:eastAsia="Arial" w:hAnsi="Arial"/>
                <w:sz w:val="17"/>
                <w:szCs w:val="17"/>
                <w:color w:val="auto"/>
              </w:rPr>
              <w:t>Net advertising service</w:t>
            </w:r>
          </w:p>
        </w:tc>
        <w:tc>
          <w:tcPr>
            <w:tcW w:w="1000" w:type="dxa"/>
            <w:vAlign w:val="bottom"/>
          </w:tcPr>
          <w:p>
            <w:pPr>
              <w:jc w:val="right"/>
              <w:spacing w:after="0"/>
              <w:rPr>
                <w:sz w:val="20"/>
                <w:szCs w:val="20"/>
                <w:color w:val="auto"/>
              </w:rPr>
            </w:pPr>
            <w:r>
              <w:rPr>
                <w:rFonts w:ascii="Arial" w:cs="Arial" w:eastAsia="Arial" w:hAnsi="Arial"/>
                <w:sz w:val="17"/>
                <w:szCs w:val="17"/>
                <w:color w:val="auto"/>
              </w:rPr>
              <w:t>132,519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146,869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162,926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22,794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350,881</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449,855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62,937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Paid services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38,082</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31,342</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64,395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107,509</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15,041</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0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Total cost of revenues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152,236</w:t>
            </w:r>
          </w:p>
        </w:tc>
        <w:tc>
          <w:tcPr>
            <w:tcW w:w="2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184,951</w:t>
            </w:r>
          </w:p>
        </w:tc>
        <w:tc>
          <w:tcPr>
            <w:tcW w:w="2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194,268</w:t>
            </w:r>
          </w:p>
        </w:tc>
        <w:tc>
          <w:tcPr>
            <w:tcW w:w="24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27,179</w:t>
            </w:r>
          </w:p>
        </w:tc>
        <w:tc>
          <w:tcPr>
            <w:tcW w:w="22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415,276</w:t>
            </w:r>
          </w:p>
        </w:tc>
        <w:tc>
          <w:tcPr>
            <w:tcW w:w="2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557,364</w:t>
            </w:r>
          </w:p>
        </w:tc>
        <w:tc>
          <w:tcPr>
            <w:tcW w:w="240" w:type="dxa"/>
            <w:vAlign w:val="bottom"/>
            <w:tcBorders>
              <w:bottom w:val="single" w:sz="8" w:color="CFF0FC"/>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77,978</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Gross profit</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40"/>
              <w:spacing w:after="0"/>
              <w:rPr>
                <w:sz w:val="20"/>
                <w:szCs w:val="20"/>
                <w:color w:val="auto"/>
              </w:rPr>
            </w:pPr>
            <w:r>
              <w:rPr>
                <w:rFonts w:ascii="Arial" w:cs="Arial" w:eastAsia="Arial" w:hAnsi="Arial"/>
                <w:sz w:val="17"/>
                <w:szCs w:val="17"/>
                <w:color w:val="auto"/>
              </w:rPr>
              <w:t>Net advertising service</w:t>
            </w:r>
          </w:p>
        </w:tc>
        <w:tc>
          <w:tcPr>
            <w:tcW w:w="1000" w:type="dxa"/>
            <w:vAlign w:val="bottom"/>
          </w:tcPr>
          <w:p>
            <w:pPr>
              <w:jc w:val="right"/>
              <w:spacing w:after="0"/>
              <w:rPr>
                <w:sz w:val="20"/>
                <w:szCs w:val="20"/>
                <w:color w:val="auto"/>
              </w:rPr>
            </w:pPr>
            <w:r>
              <w:rPr>
                <w:rFonts w:ascii="Arial" w:cs="Arial" w:eastAsia="Arial" w:hAnsi="Arial"/>
                <w:sz w:val="17"/>
                <w:szCs w:val="17"/>
                <w:color w:val="auto"/>
              </w:rPr>
              <w:t>148,981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177,869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164,667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23,038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491,411</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418,460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58,545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Paid services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28,123</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32,256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21,284</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71,458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84,345</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11,800</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20"/>
                <w:szCs w:val="20"/>
                <w:color w:val="auto"/>
              </w:rPr>
            </w:pPr>
            <w:r>
              <w:rPr>
                <w:rFonts w:ascii="Arial" w:cs="Arial" w:eastAsia="Arial" w:hAnsi="Arial"/>
                <w:sz w:val="17"/>
                <w:szCs w:val="17"/>
                <w:b w:val="1"/>
                <w:bCs w:val="1"/>
                <w:color w:val="auto"/>
              </w:rPr>
              <w:t>Total gross profit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177,104</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210,125</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185,951</w:t>
            </w:r>
          </w:p>
        </w:tc>
        <w:tc>
          <w:tcPr>
            <w:tcW w:w="2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26,016</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562,869</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502,805</w:t>
            </w:r>
          </w:p>
        </w:tc>
        <w:tc>
          <w:tcPr>
            <w:tcW w:w="2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70,345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2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455"/>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95" w:right="199"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t>Phoenix New Media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Information of Cost of Revenues</w:t>
      </w:r>
    </w:p>
    <w:p>
      <w:pPr>
        <w:jc w:val="center"/>
        <w:spacing w:after="0"/>
        <w:rPr>
          <w:sz w:val="20"/>
          <w:szCs w:val="20"/>
          <w:color w:val="auto"/>
        </w:rPr>
      </w:pPr>
      <w:r>
        <w:rPr>
          <w:rFonts w:ascii="Arial" w:cs="Arial" w:eastAsia="Arial" w:hAnsi="Arial"/>
          <w:sz w:val="19"/>
          <w:szCs w:val="19"/>
          <w:b w:val="1"/>
          <w:bCs w:val="1"/>
          <w:color w:val="auto"/>
        </w:rPr>
        <w:t>(Amounts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7"/>
                <w:szCs w:val="17"/>
                <w:b w:val="1"/>
                <w:bCs w:val="1"/>
                <w:color w:val="auto"/>
                <w:w w:val="91"/>
              </w:rPr>
              <w:t>Nine Months Ended</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220" w:type="dxa"/>
            <w:vAlign w:val="bottom"/>
            <w:gridSpan w:val="2"/>
          </w:tcPr>
          <w:p>
            <w:pPr>
              <w:jc w:val="center"/>
              <w:ind w:right="240"/>
              <w:spacing w:after="0" w:line="193" w:lineRule="exact"/>
              <w:rPr>
                <w:sz w:val="20"/>
                <w:szCs w:val="20"/>
                <w:color w:val="auto"/>
              </w:rPr>
            </w:pPr>
            <w:r>
              <w:rPr>
                <w:rFonts w:ascii="Arial" w:cs="Arial" w:eastAsia="Arial" w:hAnsi="Arial"/>
                <w:sz w:val="17"/>
                <w:szCs w:val="17"/>
                <w:b w:val="1"/>
                <w:bCs w:val="1"/>
                <w:color w:val="auto"/>
                <w:w w:val="88"/>
              </w:rPr>
              <w:t>September</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2"/>
          </w:tcPr>
          <w:p>
            <w:pPr>
              <w:jc w:val="center"/>
              <w:ind w:right="220"/>
              <w:spacing w:after="0" w:line="193" w:lineRule="exact"/>
              <w:rPr>
                <w:sz w:val="20"/>
                <w:szCs w:val="20"/>
                <w:color w:val="auto"/>
              </w:rPr>
            </w:pPr>
            <w:r>
              <w:rPr>
                <w:rFonts w:ascii="Arial" w:cs="Arial" w:eastAsia="Arial" w:hAnsi="Arial"/>
                <w:sz w:val="17"/>
                <w:szCs w:val="17"/>
                <w:b w:val="1"/>
                <w:bCs w:val="1"/>
                <w:color w:val="auto"/>
                <w:w w:val="88"/>
              </w:rPr>
              <w:t>September</w:t>
            </w:r>
          </w:p>
        </w:tc>
        <w:tc>
          <w:tcPr>
            <w:tcW w:w="100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88"/>
              </w:rPr>
              <w:t>September</w:t>
            </w:r>
          </w:p>
        </w:tc>
        <w:tc>
          <w:tcPr>
            <w:tcW w:w="220" w:type="dxa"/>
            <w:vAlign w:val="bottom"/>
          </w:tcPr>
          <w:p>
            <w:pPr>
              <w:spacing w:after="0"/>
              <w:rPr>
                <w:sz w:val="16"/>
                <w:szCs w:val="16"/>
                <w:color w:val="auto"/>
              </w:rPr>
            </w:pPr>
          </w:p>
        </w:tc>
        <w:tc>
          <w:tcPr>
            <w:tcW w:w="102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88"/>
              </w:rPr>
              <w:t>September</w:t>
            </w:r>
          </w:p>
        </w:tc>
        <w:tc>
          <w:tcPr>
            <w:tcW w:w="220" w:type="dxa"/>
            <w:vAlign w:val="bottom"/>
          </w:tcPr>
          <w:p>
            <w:pPr>
              <w:spacing w:after="0"/>
              <w:rPr>
                <w:sz w:val="16"/>
                <w:szCs w:val="16"/>
                <w:color w:val="auto"/>
              </w:rPr>
            </w:pPr>
          </w:p>
        </w:tc>
        <w:tc>
          <w:tcPr>
            <w:tcW w:w="1300" w:type="dxa"/>
            <w:vAlign w:val="bottom"/>
            <w:gridSpan w:val="3"/>
          </w:tcPr>
          <w:p>
            <w:pPr>
              <w:jc w:val="center"/>
              <w:ind w:right="320"/>
              <w:spacing w:after="0" w:line="193" w:lineRule="exact"/>
              <w:rPr>
                <w:sz w:val="20"/>
                <w:szCs w:val="20"/>
                <w:color w:val="auto"/>
              </w:rPr>
            </w:pPr>
            <w:r>
              <w:rPr>
                <w:rFonts w:ascii="Arial" w:cs="Arial" w:eastAsia="Arial" w:hAnsi="Arial"/>
                <w:sz w:val="17"/>
                <w:szCs w:val="17"/>
                <w:b w:val="1"/>
                <w:bCs w:val="1"/>
                <w:color w:val="auto"/>
                <w:w w:val="88"/>
              </w:rPr>
              <w:t>September</w:t>
            </w:r>
          </w:p>
        </w:tc>
        <w:tc>
          <w:tcPr>
            <w:tcW w:w="960" w:type="dxa"/>
            <w:vAlign w:val="bottom"/>
          </w:tcPr>
          <w:p>
            <w:pPr>
              <w:jc w:val="center"/>
              <w:ind w:right="15"/>
              <w:spacing w:after="0" w:line="193" w:lineRule="exact"/>
              <w:rPr>
                <w:sz w:val="20"/>
                <w:szCs w:val="20"/>
                <w:color w:val="auto"/>
              </w:rPr>
            </w:pPr>
            <w:r>
              <w:rPr>
                <w:rFonts w:ascii="Arial" w:cs="Arial" w:eastAsia="Arial" w:hAnsi="Arial"/>
                <w:sz w:val="17"/>
                <w:szCs w:val="17"/>
                <w:b w:val="1"/>
                <w:bCs w:val="1"/>
                <w:color w:val="auto"/>
                <w:w w:val="88"/>
              </w:rPr>
              <w:t>September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0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30,</w:t>
            </w:r>
          </w:p>
        </w:tc>
        <w:tc>
          <w:tcPr>
            <w:tcW w:w="2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30,</w:t>
            </w:r>
          </w:p>
        </w:tc>
        <w:tc>
          <w:tcPr>
            <w:tcW w:w="240" w:type="dxa"/>
            <w:vAlign w:val="bottom"/>
          </w:tcPr>
          <w:p>
            <w:pPr>
              <w:spacing w:after="0"/>
              <w:rPr>
                <w:sz w:val="10"/>
                <w:szCs w:val="10"/>
                <w:color w:val="auto"/>
              </w:rPr>
            </w:pPr>
          </w:p>
        </w:tc>
        <w:tc>
          <w:tcPr>
            <w:tcW w:w="10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30,</w:t>
            </w:r>
          </w:p>
        </w:tc>
        <w:tc>
          <w:tcPr>
            <w:tcW w:w="220" w:type="dxa"/>
            <w:vAlign w:val="bottom"/>
          </w:tcPr>
          <w:p>
            <w:pPr>
              <w:spacing w:after="0"/>
              <w:rPr>
                <w:sz w:val="10"/>
                <w:szCs w:val="10"/>
                <w:color w:val="auto"/>
              </w:rPr>
            </w:pPr>
          </w:p>
        </w:tc>
        <w:tc>
          <w:tcPr>
            <w:tcW w:w="10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30,</w:t>
            </w:r>
          </w:p>
        </w:tc>
        <w:tc>
          <w:tcPr>
            <w:tcW w:w="1220" w:type="dxa"/>
            <w:vAlign w:val="bottom"/>
            <w:gridSpan w:val="2"/>
            <w:vMerge w:val="restart"/>
          </w:tcPr>
          <w:p>
            <w:pPr>
              <w:jc w:val="right"/>
              <w:ind w:right="315"/>
              <w:spacing w:after="0"/>
              <w:rPr>
                <w:sz w:val="20"/>
                <w:szCs w:val="20"/>
                <w:color w:val="auto"/>
              </w:rPr>
            </w:pPr>
            <w:r>
              <w:rPr>
                <w:rFonts w:ascii="Arial" w:cs="Arial" w:eastAsia="Arial" w:hAnsi="Arial"/>
                <w:sz w:val="17"/>
                <w:szCs w:val="17"/>
                <w:b w:val="1"/>
                <w:bCs w:val="1"/>
                <w:color w:val="auto"/>
              </w:rPr>
              <w:t>30,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9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10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89"/>
              </w:rPr>
              <w:t>2019</w:t>
            </w:r>
          </w:p>
        </w:tc>
        <w:tc>
          <w:tcPr>
            <w:tcW w:w="220" w:type="dxa"/>
            <w:vAlign w:val="bottom"/>
          </w:tcPr>
          <w:p>
            <w:pPr>
              <w:spacing w:after="0"/>
              <w:rPr>
                <w:sz w:val="19"/>
                <w:szCs w:val="19"/>
                <w:color w:val="auto"/>
              </w:rPr>
            </w:pPr>
          </w:p>
        </w:tc>
        <w:tc>
          <w:tcPr>
            <w:tcW w:w="1000" w:type="dxa"/>
            <w:vAlign w:val="bottom"/>
          </w:tcPr>
          <w:p>
            <w:pPr>
              <w:jc w:val="right"/>
              <w:ind w:right="235"/>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9"/>
                <w:szCs w:val="19"/>
                <w:color w:val="auto"/>
              </w:rPr>
            </w:pPr>
          </w:p>
        </w:tc>
        <w:tc>
          <w:tcPr>
            <w:tcW w:w="10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9"/>
                <w:szCs w:val="19"/>
                <w:color w:val="auto"/>
              </w:rPr>
            </w:pPr>
          </w:p>
        </w:tc>
        <w:tc>
          <w:tcPr>
            <w:tcW w:w="1020" w:type="dxa"/>
            <w:vAlign w:val="bottom"/>
          </w:tcPr>
          <w:p>
            <w:pPr>
              <w:jc w:val="right"/>
              <w:ind w:right="255"/>
              <w:spacing w:after="0"/>
              <w:rPr>
                <w:sz w:val="20"/>
                <w:szCs w:val="20"/>
                <w:color w:val="auto"/>
              </w:rPr>
            </w:pPr>
            <w:r>
              <w:rPr>
                <w:rFonts w:ascii="Arial" w:cs="Arial" w:eastAsia="Arial" w:hAnsi="Arial"/>
                <w:sz w:val="17"/>
                <w:szCs w:val="17"/>
                <w:b w:val="1"/>
                <w:bCs w:val="1"/>
                <w:color w:val="auto"/>
              </w:rPr>
              <w:t>2018</w:t>
            </w:r>
          </w:p>
        </w:tc>
        <w:tc>
          <w:tcPr>
            <w:tcW w:w="122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90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4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US$</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0"/>
              </w:rPr>
              <w:t>US$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Unaudited</w:t>
            </w: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Unaudited</w:t>
            </w:r>
          </w:p>
        </w:tc>
        <w:tc>
          <w:tcPr>
            <w:tcW w:w="12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Unaudited</w:t>
            </w: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Unaudited</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1"/>
              </w:rPr>
              <w:t>Unaudited</w:t>
            </w:r>
          </w:p>
        </w:tc>
        <w:tc>
          <w:tcPr>
            <w:tcW w:w="220" w:type="dxa"/>
            <w:vAlign w:val="bottom"/>
          </w:tcPr>
          <w:p>
            <w:pPr>
              <w:spacing w:after="0"/>
              <w:rPr>
                <w:sz w:val="19"/>
                <w:szCs w:val="19"/>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1"/>
              </w:rPr>
              <w:t>Unaudited</w:t>
            </w: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Unaudited</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Revenue sharing fees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14,261</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13,676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17,363</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34,338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48,368</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7"/>
                <w:szCs w:val="17"/>
                <w:color w:val="auto"/>
              </w:rPr>
              <w:t>Content and operational costs</w:t>
            </w:r>
          </w:p>
        </w:tc>
        <w:tc>
          <w:tcPr>
            <w:tcW w:w="1000" w:type="dxa"/>
            <w:vAlign w:val="bottom"/>
          </w:tcPr>
          <w:p>
            <w:pPr>
              <w:jc w:val="right"/>
              <w:spacing w:after="0"/>
              <w:rPr>
                <w:sz w:val="20"/>
                <w:szCs w:val="20"/>
                <w:color w:val="auto"/>
              </w:rPr>
            </w:pPr>
            <w:r>
              <w:rPr>
                <w:rFonts w:ascii="Arial" w:cs="Arial" w:eastAsia="Arial" w:hAnsi="Arial"/>
                <w:sz w:val="17"/>
                <w:szCs w:val="17"/>
                <w:color w:val="auto"/>
              </w:rPr>
              <w:t>123,281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156,346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161,600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22,609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338,002</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464,907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Bandwidth costs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14,694</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14,929</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15,305</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42,936</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44,089</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20"/>
                <w:szCs w:val="20"/>
                <w:color w:val="auto"/>
              </w:rPr>
            </w:pPr>
            <w:r>
              <w:rPr>
                <w:rFonts w:ascii="Arial" w:cs="Arial" w:eastAsia="Arial" w:hAnsi="Arial"/>
                <w:sz w:val="17"/>
                <w:szCs w:val="17"/>
                <w:b w:val="1"/>
                <w:bCs w:val="1"/>
                <w:color w:val="auto"/>
              </w:rPr>
              <w:t>Total cost of revenues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152,236</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184,951</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194,268</w:t>
            </w:r>
          </w:p>
        </w:tc>
        <w:tc>
          <w:tcPr>
            <w:tcW w:w="2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27,179</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415,276</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557,364</w:t>
            </w:r>
          </w:p>
        </w:tc>
        <w:tc>
          <w:tcPr>
            <w:tcW w:w="2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29615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95" w:right="239" w:bottom="1440" w:gutter="0" w:footer="0" w:header="0"/>
        </w:sectPr>
      </w:pPr>
    </w:p>
    <w:bookmarkStart w:id="14" w:name="page15"/>
    <w:bookmarkEnd w:id="14"/>
    <w:p>
      <w:pPr>
        <w:jc w:val="center"/>
        <w:ind w:right="100"/>
        <w:spacing w:after="0"/>
        <w:rPr>
          <w:sz w:val="20"/>
          <w:szCs w:val="20"/>
          <w:color w:val="auto"/>
        </w:rPr>
      </w:pPr>
      <w:r>
        <w:rPr>
          <w:rFonts w:ascii="Arial" w:cs="Arial" w:eastAsia="Arial" w:hAnsi="Arial"/>
          <w:sz w:val="19"/>
          <w:szCs w:val="19"/>
          <w:b w:val="1"/>
          <w:bCs w:val="1"/>
          <w:color w:val="auto"/>
        </w:rPr>
        <w:t>Reconciliations of Non-GAAP Results of Operations Measures to the Nearest Comparable GAAP Measures</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(Amounts in thousands, except for number of ADSs and per ADS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0" w:type="dxa"/>
            <w:vAlign w:val="bottom"/>
          </w:tcPr>
          <w:p>
            <w:pPr>
              <w:spacing w:after="0"/>
              <w:rPr>
                <w:sz w:val="19"/>
                <w:szCs w:val="19"/>
                <w:color w:val="auto"/>
              </w:rPr>
            </w:pPr>
          </w:p>
        </w:tc>
        <w:tc>
          <w:tcPr>
            <w:tcW w:w="3540" w:type="dxa"/>
            <w:vAlign w:val="bottom"/>
            <w:gridSpan w:val="7"/>
          </w:tcPr>
          <w:p>
            <w:pPr>
              <w:jc w:val="right"/>
              <w:ind w:right="420"/>
              <w:spacing w:after="0"/>
              <w:rPr>
                <w:sz w:val="20"/>
                <w:szCs w:val="20"/>
                <w:color w:val="auto"/>
              </w:rPr>
            </w:pPr>
            <w:r>
              <w:rPr>
                <w:rFonts w:ascii="Arial" w:cs="Arial" w:eastAsia="Arial" w:hAnsi="Arial"/>
                <w:sz w:val="17"/>
                <w:szCs w:val="17"/>
                <w:b w:val="1"/>
                <w:bCs w:val="1"/>
                <w:color w:val="auto"/>
                <w:w w:val="93"/>
              </w:rPr>
              <w:t>Three Months Ended September 30, 2018</w:t>
            </w:r>
          </w:p>
        </w:tc>
        <w:tc>
          <w:tcPr>
            <w:tcW w:w="3540" w:type="dxa"/>
            <w:vAlign w:val="bottom"/>
            <w:gridSpan w:val="7"/>
          </w:tcPr>
          <w:p>
            <w:pPr>
              <w:jc w:val="right"/>
              <w:ind w:right="620"/>
              <w:spacing w:after="0"/>
              <w:rPr>
                <w:sz w:val="20"/>
                <w:szCs w:val="20"/>
                <w:color w:val="auto"/>
              </w:rPr>
            </w:pPr>
            <w:r>
              <w:rPr>
                <w:rFonts w:ascii="Arial" w:cs="Arial" w:eastAsia="Arial" w:hAnsi="Arial"/>
                <w:sz w:val="17"/>
                <w:szCs w:val="17"/>
                <w:b w:val="1"/>
                <w:bCs w:val="1"/>
                <w:color w:val="auto"/>
              </w:rPr>
              <w:t>Three Months Ended June 30, 2019</w:t>
            </w:r>
          </w:p>
        </w:tc>
        <w:tc>
          <w:tcPr>
            <w:tcW w:w="3480" w:type="dxa"/>
            <w:vAlign w:val="bottom"/>
            <w:gridSpan w:val="7"/>
          </w:tcPr>
          <w:p>
            <w:pPr>
              <w:jc w:val="right"/>
              <w:ind w:right="340"/>
              <w:spacing w:after="0"/>
              <w:rPr>
                <w:sz w:val="20"/>
                <w:szCs w:val="20"/>
                <w:color w:val="auto"/>
              </w:rPr>
            </w:pPr>
            <w:r>
              <w:rPr>
                <w:rFonts w:ascii="Arial" w:cs="Arial" w:eastAsia="Arial" w:hAnsi="Arial"/>
                <w:sz w:val="17"/>
                <w:szCs w:val="17"/>
                <w:b w:val="1"/>
                <w:bCs w:val="1"/>
                <w:color w:val="auto"/>
                <w:w w:val="94"/>
              </w:rPr>
              <w:t>Three Months Ended September 30, 2019</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120"/>
              <w:spacing w:after="0" w:line="193" w:lineRule="exact"/>
              <w:rPr>
                <w:sz w:val="20"/>
                <w:szCs w:val="20"/>
                <w:color w:val="auto"/>
              </w:rPr>
            </w:pPr>
            <w:r>
              <w:rPr>
                <w:rFonts w:ascii="Arial" w:cs="Arial" w:eastAsia="Arial" w:hAnsi="Arial"/>
                <w:sz w:val="17"/>
                <w:szCs w:val="17"/>
                <w:b w:val="1"/>
                <w:bCs w:val="1"/>
                <w:color w:val="auto"/>
                <w:w w:val="95"/>
              </w:rPr>
              <w:t>Non-GAAP</w:t>
            </w: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b w:val="1"/>
                <w:bCs w:val="1"/>
                <w:color w:val="auto"/>
                <w:w w:val="92"/>
              </w:rPr>
              <w:t>Non-</w:t>
            </w:r>
          </w:p>
        </w:tc>
        <w:tc>
          <w:tcPr>
            <w:tcW w:w="2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120"/>
              <w:spacing w:after="0" w:line="193" w:lineRule="exact"/>
              <w:rPr>
                <w:sz w:val="20"/>
                <w:szCs w:val="20"/>
                <w:color w:val="auto"/>
              </w:rPr>
            </w:pPr>
            <w:r>
              <w:rPr>
                <w:rFonts w:ascii="Arial" w:cs="Arial" w:eastAsia="Arial" w:hAnsi="Arial"/>
                <w:sz w:val="17"/>
                <w:szCs w:val="17"/>
                <w:b w:val="1"/>
                <w:bCs w:val="1"/>
                <w:color w:val="auto"/>
                <w:w w:val="95"/>
              </w:rPr>
              <w:t>Non-GAAP</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b w:val="1"/>
                <w:bCs w:val="1"/>
                <w:color w:val="auto"/>
                <w:w w:val="92"/>
              </w:rPr>
              <w:t>Non-</w:t>
            </w:r>
          </w:p>
        </w:tc>
        <w:tc>
          <w:tcPr>
            <w:tcW w:w="2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120"/>
              <w:spacing w:after="0" w:line="193" w:lineRule="exact"/>
              <w:rPr>
                <w:sz w:val="20"/>
                <w:szCs w:val="20"/>
                <w:color w:val="auto"/>
              </w:rPr>
            </w:pPr>
            <w:r>
              <w:rPr>
                <w:rFonts w:ascii="Arial" w:cs="Arial" w:eastAsia="Arial" w:hAnsi="Arial"/>
                <w:sz w:val="17"/>
                <w:szCs w:val="17"/>
                <w:b w:val="1"/>
                <w:bCs w:val="1"/>
                <w:color w:val="auto"/>
                <w:w w:val="95"/>
              </w:rPr>
              <w:t>Non-GAAP</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b w:val="1"/>
                <w:bCs w:val="1"/>
                <w:color w:val="auto"/>
                <w:w w:val="92"/>
              </w:rPr>
              <w:t>Non-</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7"/>
              </w:rPr>
              <w:t>GAAP</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Adjustments</w:t>
            </w:r>
          </w:p>
        </w:tc>
        <w:tc>
          <w:tcPr>
            <w:tcW w:w="2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GAAP</w:t>
            </w: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7"/>
              </w:rPr>
              <w:t>GAAP</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Adjustments</w:t>
            </w:r>
          </w:p>
        </w:tc>
        <w:tc>
          <w:tcPr>
            <w:tcW w:w="2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GAAP</w:t>
            </w: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7"/>
              </w:rPr>
              <w:t>GAAP</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Adjustments</w:t>
            </w:r>
          </w:p>
        </w:tc>
        <w:tc>
          <w:tcPr>
            <w:tcW w:w="28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GAAP</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80" w:type="dxa"/>
            <w:vAlign w:val="bottom"/>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8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80" w:type="dxa"/>
            <w:vAlign w:val="bottom"/>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6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80" w:type="dxa"/>
            <w:vAlign w:val="bottom"/>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RMB</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Unaudited</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Unaudited</w:t>
            </w:r>
          </w:p>
        </w:tc>
        <w:tc>
          <w:tcPr>
            <w:tcW w:w="2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Unaudited</w:t>
            </w: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Unaudited</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Unaudited</w:t>
            </w:r>
          </w:p>
        </w:tc>
        <w:tc>
          <w:tcPr>
            <w:tcW w:w="2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Unaudited</w:t>
            </w: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Unaudited</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Unaudited</w:t>
            </w:r>
          </w:p>
        </w:tc>
        <w:tc>
          <w:tcPr>
            <w:tcW w:w="28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Unaudited</w:t>
            </w:r>
          </w:p>
        </w:tc>
        <w:tc>
          <w:tcPr>
            <w:tcW w:w="0" w:type="dxa"/>
            <w:vAlign w:val="bottom"/>
          </w:tcPr>
          <w:p>
            <w:pPr>
              <w:spacing w:after="0"/>
              <w:rPr>
                <w:sz w:val="1"/>
                <w:szCs w:val="1"/>
                <w:color w:val="auto"/>
              </w:rPr>
            </w:pPr>
          </w:p>
        </w:tc>
      </w:tr>
      <w:tr>
        <w:trPr>
          <w:trHeight w:val="216"/>
        </w:trPr>
        <w:tc>
          <w:tcPr>
            <w:tcW w:w="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w w:val="96"/>
              </w:rPr>
              <w:t>Gross profit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177,104</w:t>
            </w:r>
          </w:p>
        </w:tc>
        <w:tc>
          <w:tcPr>
            <w:tcW w:w="28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442</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   177,546</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210,125</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1,893</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   212,018</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185,951</w:t>
            </w:r>
          </w:p>
        </w:tc>
        <w:tc>
          <w:tcPr>
            <w:tcW w:w="28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1,879</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   187,830</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20"/>
                <w:szCs w:val="20"/>
                <w:color w:val="auto"/>
              </w:rPr>
            </w:pPr>
            <w:r>
              <w:rPr>
                <w:rFonts w:ascii="Arial" w:cs="Arial" w:eastAsia="Arial" w:hAnsi="Arial"/>
                <w:sz w:val="17"/>
                <w:szCs w:val="17"/>
                <w:color w:val="auto"/>
                <w:w w:val="92"/>
              </w:rPr>
              <w:t>Gross margin</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53.8%</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7"/>
                <w:szCs w:val="17"/>
                <w:color w:val="auto"/>
              </w:rPr>
              <w:t>53.9%</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53.2%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53.7%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48.9%</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16"/>
        </w:trPr>
        <w:tc>
          <w:tcPr>
            <w:tcW w:w="9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(62,051)</w:t>
            </w: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Loss from</w:t>
            </w: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operations</w:t>
            </w: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(56,555)</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2,535</w:t>
            </w:r>
          </w:p>
        </w:tc>
        <w:tc>
          <w:tcPr>
            <w:tcW w:w="10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(54,020)</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(79,031)</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4,227</w:t>
            </w:r>
          </w:p>
        </w:tc>
        <w:tc>
          <w:tcPr>
            <w:tcW w:w="10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(74,804)</w:t>
            </w: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(10,833)</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(56,774)</w:t>
            </w:r>
          </w:p>
        </w:tc>
        <w:tc>
          <w:tcPr>
            <w:tcW w:w="132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(67,607)</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7"/>
                <w:szCs w:val="17"/>
                <w:color w:val="auto"/>
              </w:rPr>
              <w:t>Operating</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20"/>
                <w:szCs w:val="20"/>
                <w:color w:val="auto"/>
              </w:rPr>
            </w:pPr>
            <w:r>
              <w:rPr>
                <w:rFonts w:ascii="Arial" w:cs="Arial" w:eastAsia="Arial" w:hAnsi="Arial"/>
                <w:sz w:val="17"/>
                <w:szCs w:val="17"/>
                <w:color w:val="auto"/>
              </w:rPr>
              <w:t>margin</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(17.2)%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7"/>
                <w:szCs w:val="17"/>
                <w:color w:val="auto"/>
              </w:rPr>
              <w:t>(16.4)%</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(20.0)%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7"/>
                <w:szCs w:val="17"/>
                <w:color w:val="auto"/>
              </w:rPr>
              <w:t>(18.9)%</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(2.8)%</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16"/>
        </w:trPr>
        <w:tc>
          <w:tcPr>
            <w:tcW w:w="9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(62,051)</w:t>
            </w: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(4,240)</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(521)</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7"/>
                <w:szCs w:val="17"/>
                <w:b w:val="1"/>
                <w:bCs w:val="1"/>
                <w:color w:val="auto"/>
              </w:rPr>
              <w:t>Net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7"/>
                <w:szCs w:val="17"/>
                <w:b w:val="1"/>
                <w:bCs w:val="1"/>
                <w:color w:val="auto"/>
                <w:w w:val="85"/>
              </w:rPr>
              <w:t>(loss)/income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7"/>
                <w:szCs w:val="17"/>
                <w:b w:val="1"/>
                <w:bCs w:val="1"/>
                <w:color w:val="auto"/>
              </w:rPr>
              <w:t>attributable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ind w:left="120"/>
              <w:spacing w:after="0"/>
              <w:rPr>
                <w:sz w:val="20"/>
                <w:szCs w:val="20"/>
                <w:color w:val="auto"/>
              </w:rPr>
            </w:pPr>
            <w:r>
              <w:rPr>
                <w:rFonts w:ascii="Arial" w:cs="Arial" w:eastAsia="Arial" w:hAnsi="Arial"/>
                <w:sz w:val="17"/>
                <w:szCs w:val="17"/>
                <w:b w:val="1"/>
                <w:bCs w:val="1"/>
                <w:color w:val="auto"/>
                <w:w w:val="94"/>
              </w:rPr>
              <w:t>to Phoenix</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7"/>
                <w:szCs w:val="17"/>
                <w:b w:val="1"/>
                <w:bCs w:val="1"/>
                <w:color w:val="auto"/>
              </w:rPr>
              <w:t>New</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ind w:left="120"/>
              <w:spacing w:after="0"/>
              <w:rPr>
                <w:sz w:val="20"/>
                <w:szCs w:val="20"/>
                <w:color w:val="auto"/>
              </w:rPr>
            </w:pPr>
            <w:r>
              <w:rPr>
                <w:rFonts w:ascii="Arial" w:cs="Arial" w:eastAsia="Arial" w:hAnsi="Arial"/>
                <w:sz w:val="17"/>
                <w:szCs w:val="17"/>
                <w:b w:val="1"/>
                <w:bCs w:val="1"/>
                <w:color w:val="auto"/>
              </w:rPr>
              <w:t>Media</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r>
              <w:rPr>
                <w:rFonts w:ascii="Arial" w:cs="Arial" w:eastAsia="Arial" w:hAnsi="Arial"/>
                <w:sz w:val="17"/>
                <w:szCs w:val="17"/>
                <w:b w:val="1"/>
                <w:bCs w:val="1"/>
                <w:color w:val="auto"/>
              </w:rPr>
              <w:t>Limited</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(16,626)</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(1,705)</w:t>
            </w:r>
          </w:p>
        </w:tc>
        <w:tc>
          <w:tcPr>
            <w:tcW w:w="138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(18,331)</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(70,115)</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3,706</w:t>
            </w:r>
          </w:p>
        </w:tc>
        <w:tc>
          <w:tcPr>
            <w:tcW w:w="100" w:type="dxa"/>
            <w:vAlign w:val="bottom"/>
          </w:tcPr>
          <w:p>
            <w:pPr>
              <w:spacing w:after="0"/>
              <w:rPr>
                <w:sz w:val="20"/>
                <w:szCs w:val="20"/>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(66,409)</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5,927</w:t>
            </w: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(56,774)</w:t>
            </w:r>
          </w:p>
        </w:tc>
        <w:tc>
          <w:tcPr>
            <w:tcW w:w="13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(50,847)</w:t>
            </w:r>
          </w:p>
        </w:tc>
        <w:tc>
          <w:tcPr>
            <w:tcW w:w="0" w:type="dxa"/>
            <w:vAlign w:val="bottom"/>
          </w:tcPr>
          <w:p>
            <w:pPr>
              <w:spacing w:after="0"/>
              <w:rPr>
                <w:sz w:val="1"/>
                <w:szCs w:val="1"/>
                <w:color w:val="auto"/>
              </w:rPr>
            </w:pPr>
          </w:p>
        </w:tc>
      </w:tr>
      <w:tr>
        <w:trPr>
          <w:trHeight w:val="20"/>
        </w:trPr>
        <w:tc>
          <w:tcPr>
            <w:tcW w:w="9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Net margin</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60" w:type="dxa"/>
            <w:vAlign w:val="bottom"/>
            <w:vMerge w:val="continue"/>
            <w:shd w:val="clear" w:color="auto" w:fill="CFF0FC"/>
          </w:tcPr>
          <w:p>
            <w:pPr>
              <w:spacing w:after="0"/>
              <w:rPr>
                <w:sz w:val="16"/>
                <w:szCs w:val="16"/>
                <w:color w:val="auto"/>
              </w:rPr>
            </w:pPr>
          </w:p>
        </w:tc>
        <w:tc>
          <w:tcPr>
            <w:tcW w:w="1120" w:type="dxa"/>
            <w:vAlign w:val="bottom"/>
            <w:tcBorders>
              <w:right w:val="single" w:sz="8" w:color="CFF0FC"/>
            </w:tcBorders>
            <w:gridSpan w:val="2"/>
            <w:shd w:val="clear" w:color="auto" w:fill="CFF0FC"/>
          </w:tcPr>
          <w:p>
            <w:pPr>
              <w:jc w:val="right"/>
              <w:ind w:right="80"/>
              <w:spacing w:after="0" w:line="194" w:lineRule="exact"/>
              <w:rPr>
                <w:sz w:val="20"/>
                <w:szCs w:val="20"/>
                <w:color w:val="auto"/>
              </w:rPr>
            </w:pPr>
            <w:r>
              <w:rPr>
                <w:rFonts w:ascii="Arial" w:cs="Arial" w:eastAsia="Arial" w:hAnsi="Arial"/>
                <w:sz w:val="17"/>
                <w:szCs w:val="17"/>
                <w:color w:val="auto"/>
              </w:rPr>
              <w:t>(5.0)%</w:t>
            </w: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80"/>
              <w:spacing w:after="0" w:line="194" w:lineRule="exact"/>
              <w:rPr>
                <w:sz w:val="20"/>
                <w:szCs w:val="20"/>
                <w:color w:val="auto"/>
              </w:rPr>
            </w:pPr>
            <w:r>
              <w:rPr>
                <w:rFonts w:ascii="Arial" w:cs="Arial" w:eastAsia="Arial" w:hAnsi="Arial"/>
                <w:sz w:val="17"/>
                <w:szCs w:val="17"/>
                <w:color w:val="auto"/>
              </w:rPr>
              <w:t>(5.6)%</w:t>
            </w:r>
          </w:p>
        </w:tc>
        <w:tc>
          <w:tcPr>
            <w:tcW w:w="1120" w:type="dxa"/>
            <w:vAlign w:val="bottom"/>
            <w:gridSpan w:val="2"/>
            <w:shd w:val="clear" w:color="auto" w:fill="CFF0FC"/>
          </w:tcPr>
          <w:p>
            <w:pPr>
              <w:jc w:val="right"/>
              <w:ind w:right="80"/>
              <w:spacing w:after="0" w:line="194" w:lineRule="exact"/>
              <w:rPr>
                <w:sz w:val="20"/>
                <w:szCs w:val="20"/>
                <w:color w:val="auto"/>
              </w:rPr>
            </w:pPr>
            <w:r>
              <w:rPr>
                <w:rFonts w:ascii="Arial" w:cs="Arial" w:eastAsia="Arial" w:hAnsi="Arial"/>
                <w:sz w:val="17"/>
                <w:szCs w:val="17"/>
                <w:color w:val="auto"/>
              </w:rPr>
              <w:t>(17.7)%</w:t>
            </w: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80"/>
              <w:spacing w:after="0" w:line="194" w:lineRule="exact"/>
              <w:rPr>
                <w:sz w:val="20"/>
                <w:szCs w:val="20"/>
                <w:color w:val="auto"/>
              </w:rPr>
            </w:pPr>
            <w:r>
              <w:rPr>
                <w:rFonts w:ascii="Arial" w:cs="Arial" w:eastAsia="Arial" w:hAnsi="Arial"/>
                <w:sz w:val="17"/>
                <w:szCs w:val="17"/>
                <w:color w:val="auto"/>
              </w:rPr>
              <w:t>(16.8)%</w:t>
            </w:r>
          </w:p>
        </w:tc>
        <w:tc>
          <w:tcPr>
            <w:tcW w:w="1120" w:type="dxa"/>
            <w:vAlign w:val="bottom"/>
            <w:tcBorders>
              <w:right w:val="single" w:sz="8" w:color="CFF0FC"/>
            </w:tcBorders>
            <w:gridSpan w:val="2"/>
            <w:shd w:val="clear" w:color="auto" w:fill="CFF0FC"/>
          </w:tcPr>
          <w:p>
            <w:pPr>
              <w:jc w:val="right"/>
              <w:ind w:right="140"/>
              <w:spacing w:after="0" w:line="194" w:lineRule="exact"/>
              <w:rPr>
                <w:sz w:val="20"/>
                <w:szCs w:val="20"/>
                <w:color w:val="auto"/>
              </w:rPr>
            </w:pPr>
            <w:r>
              <w:rPr>
                <w:rFonts w:ascii="Arial" w:cs="Arial" w:eastAsia="Arial" w:hAnsi="Arial"/>
                <w:sz w:val="17"/>
                <w:szCs w:val="17"/>
                <w:color w:val="auto"/>
              </w:rPr>
              <w:t>1.6%</w:t>
            </w: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3"/>
            <w:shd w:val="clear" w:color="auto" w:fill="CFF0FC"/>
          </w:tcPr>
          <w:p>
            <w:pPr>
              <w:jc w:val="right"/>
              <w:ind w:right="20"/>
              <w:spacing w:after="0" w:line="194"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7"/>
                <w:szCs w:val="17"/>
                <w:color w:val="auto"/>
              </w:rPr>
              <w:t>Net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7"/>
                <w:szCs w:val="17"/>
                <w:color w:val="auto"/>
                <w:w w:val="92"/>
              </w:rPr>
              <w:t>(loss)/income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7"/>
                <w:szCs w:val="17"/>
                <w:color w:val="auto"/>
              </w:rPr>
              <w:t>per</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ind w:left="120"/>
              <w:spacing w:after="0"/>
              <w:rPr>
                <w:sz w:val="20"/>
                <w:szCs w:val="20"/>
                <w:color w:val="auto"/>
              </w:rPr>
            </w:pPr>
            <w:r>
              <w:rPr>
                <w:rFonts w:ascii="Arial" w:cs="Arial" w:eastAsia="Arial" w:hAnsi="Arial"/>
                <w:sz w:val="17"/>
                <w:szCs w:val="17"/>
                <w:color w:val="auto"/>
              </w:rPr>
              <w:t>ADS-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20"/>
                <w:szCs w:val="20"/>
                <w:color w:val="auto"/>
              </w:rPr>
            </w:pPr>
            <w:r>
              <w:rPr>
                <w:rFonts w:ascii="Arial" w:cs="Arial" w:eastAsia="Arial" w:hAnsi="Arial"/>
                <w:sz w:val="17"/>
                <w:szCs w:val="17"/>
                <w:color w:val="auto"/>
              </w:rPr>
              <w:t>diluted</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(0.23)</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7"/>
                <w:szCs w:val="17"/>
                <w:color w:val="auto"/>
              </w:rPr>
              <w:t>(0.25)</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(0.96)</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7"/>
                <w:szCs w:val="17"/>
                <w:color w:val="auto"/>
              </w:rPr>
              <w:t>(0.91)</w:t>
            </w:r>
          </w:p>
        </w:tc>
        <w:tc>
          <w:tcPr>
            <w:tcW w:w="840" w:type="dxa"/>
            <w:vAlign w:val="bottom"/>
          </w:tcPr>
          <w:p>
            <w:pPr>
              <w:jc w:val="right"/>
              <w:spacing w:after="0"/>
              <w:rPr>
                <w:sz w:val="20"/>
                <w:szCs w:val="20"/>
                <w:color w:val="auto"/>
              </w:rPr>
            </w:pPr>
            <w:r>
              <w:rPr>
                <w:rFonts w:ascii="Arial" w:cs="Arial" w:eastAsia="Arial" w:hAnsi="Arial"/>
                <w:sz w:val="17"/>
                <w:szCs w:val="17"/>
                <w:color w:val="auto"/>
              </w:rPr>
              <w:t>0.08</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(0.70)</w:t>
            </w:r>
          </w:p>
        </w:tc>
        <w:tc>
          <w:tcPr>
            <w:tcW w:w="0" w:type="dxa"/>
            <w:vAlign w:val="bottom"/>
          </w:tcPr>
          <w:p>
            <w:pPr>
              <w:spacing w:after="0"/>
              <w:rPr>
                <w:sz w:val="1"/>
                <w:szCs w:val="1"/>
                <w:color w:val="auto"/>
              </w:rPr>
            </w:pPr>
          </w:p>
        </w:tc>
      </w:tr>
      <w:tr>
        <w:trPr>
          <w:trHeight w:val="204"/>
        </w:trPr>
        <w:tc>
          <w:tcPr>
            <w:tcW w:w="960" w:type="dxa"/>
            <w:vAlign w:val="bottom"/>
            <w:shd w:val="clear" w:color="auto" w:fill="CFF0FC"/>
          </w:tcPr>
          <w:p>
            <w:pPr>
              <w:spacing w:after="0"/>
              <w:rPr>
                <w:sz w:val="20"/>
                <w:szCs w:val="20"/>
                <w:color w:val="auto"/>
              </w:rPr>
            </w:pPr>
            <w:r>
              <w:rPr>
                <w:rFonts w:ascii="Arial" w:cs="Arial" w:eastAsia="Arial" w:hAnsi="Arial"/>
                <w:sz w:val="17"/>
                <w:szCs w:val="17"/>
                <w:color w:val="auto"/>
              </w:rPr>
              <w:t>Weighted</w:t>
            </w: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CFF0FC"/>
          </w:tcPr>
          <w:p>
            <w:pPr>
              <w:spacing w:after="0"/>
              <w:rPr>
                <w:sz w:val="20"/>
                <w:szCs w:val="20"/>
                <w:color w:val="auto"/>
              </w:rPr>
            </w:pPr>
            <w:r>
              <w:rPr>
                <w:rFonts w:ascii="Arial" w:cs="Arial" w:eastAsia="Arial" w:hAnsi="Arial"/>
                <w:sz w:val="17"/>
                <w:szCs w:val="17"/>
                <w:color w:val="auto"/>
              </w:rPr>
              <w:t>average</w:t>
            </w: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CFF0FC"/>
          </w:tcPr>
          <w:p>
            <w:pPr>
              <w:spacing w:after="0"/>
              <w:rPr>
                <w:sz w:val="20"/>
                <w:szCs w:val="20"/>
                <w:color w:val="auto"/>
              </w:rPr>
            </w:pPr>
            <w:r>
              <w:rPr>
                <w:rFonts w:ascii="Arial" w:cs="Arial" w:eastAsia="Arial" w:hAnsi="Arial"/>
                <w:sz w:val="17"/>
                <w:szCs w:val="17"/>
                <w:color w:val="auto"/>
              </w:rPr>
              <w:t>number</w:t>
            </w: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of ADSs</w:t>
            </w: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CFF0FC"/>
          </w:tcPr>
          <w:p>
            <w:pPr>
              <w:spacing w:after="0"/>
              <w:rPr>
                <w:sz w:val="20"/>
                <w:szCs w:val="20"/>
                <w:color w:val="auto"/>
              </w:rPr>
            </w:pPr>
            <w:r>
              <w:rPr>
                <w:rFonts w:ascii="Arial" w:cs="Arial" w:eastAsia="Arial" w:hAnsi="Arial"/>
                <w:sz w:val="17"/>
                <w:szCs w:val="17"/>
                <w:color w:val="auto"/>
              </w:rPr>
              <w:t>used in</w:t>
            </w: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CFF0FC"/>
          </w:tcPr>
          <w:p>
            <w:pPr>
              <w:spacing w:after="0"/>
              <w:rPr>
                <w:sz w:val="20"/>
                <w:szCs w:val="20"/>
                <w:color w:val="auto"/>
              </w:rPr>
            </w:pPr>
            <w:r>
              <w:rPr>
                <w:rFonts w:ascii="Arial" w:cs="Arial" w:eastAsia="Arial" w:hAnsi="Arial"/>
                <w:sz w:val="17"/>
                <w:szCs w:val="17"/>
                <w:color w:val="auto"/>
              </w:rPr>
              <w:t>computing</w:t>
            </w: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diluted net</w:t>
            </w: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CFF0FC"/>
          </w:tcPr>
          <w:p>
            <w:pPr>
              <w:spacing w:after="0"/>
              <w:rPr>
                <w:sz w:val="20"/>
                <w:szCs w:val="20"/>
                <w:color w:val="auto"/>
              </w:rPr>
            </w:pPr>
            <w:r>
              <w:rPr>
                <w:rFonts w:ascii="Arial" w:cs="Arial" w:eastAsia="Arial" w:hAnsi="Arial"/>
                <w:sz w:val="17"/>
                <w:szCs w:val="17"/>
                <w:color w:val="auto"/>
                <w:w w:val="92"/>
              </w:rPr>
              <w:t>(loss)/income</w:t>
            </w: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FF0FC"/>
          </w:tcPr>
          <w:p>
            <w:pPr>
              <w:spacing w:after="0"/>
              <w:rPr>
                <w:sz w:val="20"/>
                <w:szCs w:val="20"/>
                <w:color w:val="auto"/>
              </w:rPr>
            </w:pPr>
            <w:r>
              <w:rPr>
                <w:rFonts w:ascii="Arial" w:cs="Arial" w:eastAsia="Arial" w:hAnsi="Arial"/>
                <w:sz w:val="17"/>
                <w:szCs w:val="17"/>
                <w:color w:val="auto"/>
              </w:rPr>
              <w:t>per ADS</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72,745,318</w:t>
            </w:r>
          </w:p>
        </w:tc>
        <w:tc>
          <w:tcPr>
            <w:tcW w:w="28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72,745,318</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72,783,430</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72,783,430</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72,790,541</w:t>
            </w:r>
          </w:p>
        </w:tc>
        <w:tc>
          <w:tcPr>
            <w:tcW w:w="28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72,790,541</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60" w:hanging="258"/>
        <w:spacing w:after="0"/>
        <w:tabs>
          <w:tab w:leader="none" w:pos="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Share-based compensation</w:t>
      </w:r>
    </w:p>
    <w:p>
      <w:pPr>
        <w:spacing w:after="0" w:line="13" w:lineRule="exact"/>
        <w:rPr>
          <w:rFonts w:ascii="Arial" w:cs="Arial" w:eastAsia="Arial" w:hAnsi="Arial"/>
          <w:sz w:val="19"/>
          <w:szCs w:val="19"/>
          <w:color w:val="auto"/>
        </w:rPr>
      </w:pPr>
    </w:p>
    <w:p>
      <w:pPr>
        <w:ind w:left="260" w:hanging="258"/>
        <w:spacing w:after="0" w:line="237" w:lineRule="auto"/>
        <w:tabs>
          <w:tab w:leader="none" w:pos="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Changes in fair value of financial assets-contingent returnable consideration</w:t>
      </w:r>
    </w:p>
    <w:p>
      <w:pPr>
        <w:ind w:left="320" w:hanging="312"/>
        <w:spacing w:after="0"/>
        <w:tabs>
          <w:tab w:leader="none" w:pos="32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Income from equity method investments, net of impairments</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auto"/>
        </w:rPr>
        <w:t>Non-GAAP to GAAP reconciling items have no income tax effect.</w:t>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sectPr>
      <w:pgSz w:w="11900" w:h="16838" w:orient="portrait"/>
      <w:cols w:equalWidth="0" w:num="1">
        <w:col w:w="11520"/>
      </w:cols>
      <w:pgMar w:left="240" w:top="19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2019-11-28T09:53:38Z</dcterms:created>
  <dcterms:modified xsi:type="dcterms:W3CDTF">2019-11-28T09:53:38Z</dcterms:modified>
</cp:coreProperties>
</file>