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Liu Chun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00" w:type="dxa"/>
            <w:vAlign w:val="bottom"/>
            <w:tcBorders>
              <w:top w:val="single" w:sz="8" w:color="0000EE"/>
              <w:bottom w:val="single" w:sz="8" w:color="9A9A9A"/>
            </w:tcBorders>
          </w:tcPr>
          <w:p>
            <w:pPr>
              <w:spacing w:after="0"/>
              <w:rPr>
                <w:sz w:val="17"/>
                <w:szCs w:val="17"/>
                <w:color w:val="auto"/>
              </w:rPr>
            </w:pPr>
          </w:p>
        </w:tc>
        <w:tc>
          <w:tcPr>
            <w:tcW w:w="21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Phoenix New Media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FENG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B, POSCO CENTER</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HONGTAI EAST STREET,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CHAOYANG DISTRICT</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100102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23"/>
        <w:spacing w:after="0"/>
        <w:rPr>
          <w:sz w:val="20"/>
          <w:szCs w:val="20"/>
          <w:color w:val="auto"/>
        </w:rPr>
      </w:pPr>
      <w:r>
        <w:rPr>
          <w:rFonts w:ascii="Times New Roman" w:cs="Times New Roman" w:eastAsia="Times New Roman" w:hAnsi="Times New Roman"/>
          <w:sz w:val="20"/>
          <w:szCs w:val="20"/>
          <w:color w:val="0000FF"/>
        </w:rPr>
        <w:t>Senior 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07/04/2029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2,330,000</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0.4836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07/19/2030</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1000" w:type="dxa"/>
            <w:vAlign w:val="bottom"/>
            <w:vMerge w:val="restart"/>
          </w:tcPr>
          <w:p>
            <w:pPr>
              <w:jc w:val="right"/>
              <w:ind w:right="56"/>
              <w:spacing w:after="0"/>
              <w:rPr>
                <w:sz w:val="20"/>
                <w:szCs w:val="20"/>
                <w:color w:val="auto"/>
              </w:rPr>
            </w:pPr>
            <w:r>
              <w:rPr>
                <w:rFonts w:ascii="Times New Roman" w:cs="Times New Roman" w:eastAsia="Times New Roman" w:hAnsi="Times New Roman"/>
                <w:sz w:val="20"/>
                <w:szCs w:val="20"/>
                <w:color w:val="0000FF"/>
              </w:rPr>
              <w:t>290,000</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0.1925</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 option vests in equal annual installments over four years beginning on 7/5/2020, the first anniversary of the date of grant.</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2. The option vests in equal annual installments over four years beginning on 7/20/2021, the first anniversary of the date of grant.</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Yao Wang, Power of</w:t>
            </w:r>
          </w:p>
        </w:tc>
        <w:tc>
          <w:tcPr>
            <w:tcW w:w="3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03/17/2026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 for: Liu Chun</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8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Know all by these presents that the undersigned, does hereby make, constitute and appoint each of Yao Wang, Binbing Guo and Haoxue Feng,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Phoenix New Media Limited (the “Company”) (i) pursuant to Section 16(a) of the Securities Exchange Act of 1934, as amended, including without limitation, statements on Form 3, Form 4, Form 5 (including any amendments thereto), and</w:t>
      </w:r>
    </w:p>
    <w:p>
      <w:pPr>
        <w:ind w:right="40"/>
        <w:spacing w:after="0" w:line="252" w:lineRule="auto"/>
        <w:tabs>
          <w:tab w:leader="none" w:pos="29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Yao Wang, Binbing Guo and Haoxue Feng, are not assuming any of the undersigned’s responsibilities to comply with Section 16 of the Securities Exchange Act of 1934, as amended, or Rule 144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6140" w:type="dxa"/>
        <w:tblCellMar>
          <w:top w:w="0" w:type="dxa"/>
          <w:left w:w="0" w:type="dxa"/>
          <w:bottom w:w="0" w:type="dxa"/>
          <w:right w:w="0" w:type="dxa"/>
        </w:tblCellMar>
      </w:tblPr>
      <w:tr>
        <w:trPr>
          <w:trHeight w:val="260"/>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Liu Chun</w:t>
            </w:r>
          </w:p>
        </w:tc>
      </w:tr>
      <w:tr>
        <w:trPr>
          <w:trHeight w:val="255"/>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Liu Chun</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March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1454785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72323" TargetMode="External"/><Relationship Id="rId11" Type="http://schemas.openxmlformats.org/officeDocument/2006/relationships/hyperlink" Target="http://www.sec.gov/cgi-bin/browse-edgar?action=getcompany&amp;CIK=0001509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2026-03-17T05:36:58Z</dcterms:created>
  <dcterms:modified xsi:type="dcterms:W3CDTF">2026-03-17T05:36:58Z</dcterms:modified>
</cp:coreProperties>
</file>