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eng_2026q2-earnings_rel.htm"/>
      <w:bookmarkStart w:id="1" w:name="ksfeng_2026q2earnings_rel"/>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spacing w:before="0" w:after="44"/>
        <w:jc w:val="center"/>
        <w:rPr/>
      </w:pPr>
      <w:r>
        <w:rPr/>
        <w:t> </w:t>
      </w:r>
    </w:p>
    <w:p>
      <w:pPr>
        <w:pStyle w:val="TextBody"/>
        <w:bidi w:val="0"/>
        <w:spacing w:before="156"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pBdr>
          <w:bottom w:val="single" w:sz="6" w:space="1" w:color="000000"/>
        </w:pBdr>
        <w:bidi w:val="0"/>
        <w:spacing w:before="0" w:after="44"/>
        <w:jc w:val="center"/>
        <w:rPr/>
      </w:pPr>
      <w:r>
        <w:rPr/>
        <w:t> </w:t>
      </w:r>
    </w:p>
    <w:p>
      <w:pPr>
        <w:pStyle w:val="TextBody"/>
        <w:bidi w:val="0"/>
        <w:spacing w:before="116" w:after="283"/>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August 2026</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Commission File Number: 001-35158</w:t>
      </w:r>
    </w:p>
    <w:p>
      <w:pPr>
        <w:pStyle w:val="TextBody"/>
        <w:pBdr>
          <w:bottom w:val="single" w:sz="6" w:space="1" w:color="000000"/>
        </w:pBdr>
        <w:bidi w:val="0"/>
        <w:spacing w:before="0" w:after="44"/>
        <w:jc w:val="center"/>
        <w:rPr/>
      </w:pPr>
      <w:r>
        <w:rPr/>
        <w:t> </w:t>
      </w:r>
    </w:p>
    <w:p>
      <w:pPr>
        <w:pStyle w:val="TextBody"/>
        <w:bidi w:val="0"/>
        <w:spacing w:before="156" w:after="283"/>
        <w:jc w:val="center"/>
        <w:rPr>
          <w:rFonts w:ascii="Times New Roman" w:hAnsi="Times New Roman"/>
          <w:b/>
          <w:color w:val="000000"/>
          <w:sz w:val="48"/>
        </w:rPr>
      </w:pPr>
      <w:r>
        <w:rPr>
          <w:rFonts w:ascii="Times New Roman" w:hAnsi="Times New Roman"/>
          <w:b/>
          <w:color w:val="000000"/>
          <w:sz w:val="48"/>
        </w:rPr>
        <w:t>PHOENIX NEW MEDIA LIMITED</w:t>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Floor 25, Tower B, POSCO Center</w:t>
      </w:r>
    </w:p>
    <w:p>
      <w:pPr>
        <w:pStyle w:val="TextBody"/>
        <w:bidi w:val="0"/>
        <w:jc w:val="center"/>
        <w:rPr>
          <w:rFonts w:ascii="Times New Roman" w:hAnsi="Times New Roman"/>
          <w:b/>
          <w:color w:val="000000"/>
          <w:sz w:val="20"/>
        </w:rPr>
      </w:pPr>
      <w:r>
        <w:rPr>
          <w:rFonts w:ascii="Times New Roman" w:hAnsi="Times New Roman"/>
          <w:b/>
          <w:color w:val="000000"/>
          <w:sz w:val="20"/>
        </w:rPr>
        <w:t>Hongtai East Street</w:t>
      </w:r>
    </w:p>
    <w:p>
      <w:pPr>
        <w:pStyle w:val="TextBody"/>
        <w:bidi w:val="0"/>
        <w:jc w:val="center"/>
        <w:rPr>
          <w:rFonts w:ascii="Times New Roman" w:hAnsi="Times New Roman"/>
          <w:b/>
          <w:color w:val="000000"/>
          <w:sz w:val="20"/>
        </w:rPr>
      </w:pPr>
      <w:r>
        <w:rPr>
          <w:rFonts w:ascii="Times New Roman" w:hAnsi="Times New Roman"/>
          <w:b/>
          <w:color w:val="000000"/>
          <w:sz w:val="20"/>
        </w:rPr>
        <w:t>Wangjing, Chaoyang District,</w:t>
      </w:r>
    </w:p>
    <w:p>
      <w:pPr>
        <w:pStyle w:val="TextBody"/>
        <w:bidi w:val="0"/>
        <w:jc w:val="center"/>
        <w:rPr>
          <w:rFonts w:ascii="Times New Roman" w:hAnsi="Times New Roman"/>
          <w:b/>
          <w:color w:val="000000"/>
          <w:sz w:val="20"/>
        </w:rPr>
      </w:pPr>
      <w:r>
        <w:rPr>
          <w:rFonts w:ascii="Times New Roman" w:hAnsi="Times New Roman"/>
          <w:b/>
          <w:color w:val="000000"/>
          <w:sz w:val="20"/>
        </w:rPr>
        <w:t>Beijing 100102</w:t>
      </w:r>
    </w:p>
    <w:p>
      <w:pPr>
        <w:pStyle w:val="TextBody"/>
        <w:bidi w:val="0"/>
        <w:jc w:val="center"/>
        <w:rPr>
          <w:rFonts w:ascii="Times New Roman" w:hAnsi="Times New Roman"/>
          <w:b/>
          <w:color w:val="000000"/>
          <w:sz w:val="20"/>
        </w:rPr>
      </w:pPr>
      <w:r>
        <w:rPr>
          <w:rFonts w:ascii="Times New Roman" w:hAnsi="Times New Roman"/>
          <w:b/>
          <w:color w:val="000000"/>
          <w:sz w:val="20"/>
        </w:rPr>
        <w:t>People’s Republic of China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pBdr>
          <w:bottom w:val="single" w:sz="4" w:space="1" w:color="000000"/>
        </w:pBdr>
        <w:bidi w:val="0"/>
        <w:spacing w:before="0" w:after="44"/>
        <w:jc w:val="center"/>
        <w:rPr/>
      </w:pPr>
      <w:r>
        <w:rPr/>
        <w:t> </w:t>
      </w:r>
    </w:p>
    <w:p>
      <w:pPr>
        <w:pStyle w:val="TextBody"/>
        <w:bidi w:val="0"/>
        <w:spacing w:before="156"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Form 20-F or Form 40-F.</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if the registrant is submitting the Form 6-K in paper as permitted by Regulation S-T Rule 101(b)(1):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if the registrant is submitting the Form 6-K in paper as permitted by Regulation S-T Rule 101(b)(7):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by furnishing the information contained in this Form, the registrant is also thereby furnishing the information to the Commission pursuant to Rule 12g3-2(b) under the Securities Exchange Act of 1934.</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Yes ☐ No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“Yes” is marked, indicate below the file number assigned to the registrant in connection with Rule 12g3-2(b): N/A</w:t>
      </w:r>
    </w:p>
    <w:p>
      <w:pPr>
        <w:pStyle w:val="TextBody"/>
        <w:pBdr>
          <w:bottom w:val="double" w:sz="4" w:space="1" w:color="000000"/>
        </w:pBdr>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TABLE OF CONTENTS</w:t>
      </w:r>
    </w:p>
    <w:p>
      <w:pPr>
        <w:pStyle w:val="TextBody"/>
        <w:bidi w:val="0"/>
        <w:jc w:val="left"/>
        <w:rPr/>
      </w:pPr>
      <w:r>
        <w:rPr/>
        <w:t> </w:t>
      </w:r>
    </w:p>
    <w:p>
      <w:pPr>
        <w:pStyle w:val="TextBody"/>
        <w:bidi w:val="0"/>
        <w:jc w:val="left"/>
        <w:rPr>
          <w:rFonts w:ascii="Times New Roman" w:hAnsi="Times New Roman"/>
          <w:color w:val="000000"/>
          <w:sz w:val="21"/>
        </w:rPr>
      </w:pPr>
      <w:r>
        <w:rPr>
          <w:rFonts w:ascii="Times New Roman" w:hAnsi="Times New Roman"/>
          <w:color w:val="000000"/>
          <w:sz w:val="21"/>
        </w:rPr>
        <w:t>Exhibit 99.1 — Press release: Phoenix New Media Reports Second Quarter 2026 Unaudited Financial Results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029" w:type="dxa"/>
        <w:jc w:val="left"/>
        <w:tblInd w:w="0" w:type="dxa"/>
        <w:tblLayout w:type="fixed"/>
        <w:tblCellMar>
          <w:top w:w="28" w:type="dxa"/>
          <w:left w:w="28" w:type="dxa"/>
          <w:bottom w:w="28" w:type="dxa"/>
          <w:right w:w="28" w:type="dxa"/>
        </w:tblCellMar>
      </w:tblPr>
      <w:tblGrid>
        <w:gridCol w:w="1951"/>
        <w:gridCol w:w="109"/>
        <w:gridCol w:w="672"/>
        <w:gridCol w:w="155"/>
        <w:gridCol w:w="2142"/>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tcMar>
              <w:top w:w="0" w:type="dxa"/>
              <w:left w:w="0" w:type="dxa"/>
              <w:bottom w:w="0" w:type="dxa"/>
              <w:right w:w="0" w:type="dxa"/>
            </w:tcMar>
            <w:vAlign w:val="center"/>
          </w:tcPr>
          <w:p>
            <w:pPr>
              <w:pStyle w:val="TableContents"/>
              <w:bidi w:val="0"/>
              <w:spacing w:before="0" w:after="283"/>
              <w:jc w:val="left"/>
              <w:rPr/>
            </w:pPr>
            <w:r>
              <w:rPr/>
              <w:t> </w:t>
            </w:r>
          </w:p>
        </w:tc>
        <w:tc>
          <w:tcPr>
            <w:tcW w:w="21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PHOENIX NEW MEDIA LIMITED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tcBorders/>
            <w:tcMar>
              <w:top w:w="0" w:type="dxa"/>
              <w:left w:w="0" w:type="dxa"/>
              <w:bottom w:w="0" w:type="dxa"/>
              <w:right w:w="0" w:type="dxa"/>
            </w:tcMar>
            <w:vAlign w:val="center"/>
          </w:tcPr>
          <w:p>
            <w:pPr>
              <w:pStyle w:val="TableContents"/>
              <w:pBdr>
                <w:bottom w:val="single" w:sz="6" w:space="1" w:color="000000"/>
              </w:pBdr>
              <w:bidi w:val="0"/>
              <w:spacing w:before="0" w:after="22"/>
              <w:jc w:val="left"/>
              <w:rPr>
                <w:rFonts w:ascii="Times New Roman" w:hAnsi="Times New Roman"/>
                <w:color w:val="000000"/>
                <w:sz w:val="20"/>
              </w:rPr>
            </w:pPr>
            <w:r>
              <w:rPr>
                <w:rFonts w:ascii="Times New Roman" w:hAnsi="Times New Roman"/>
                <w:color w:val="000000"/>
                <w:sz w:val="20"/>
              </w:rPr>
              <w:t>/s/ Edward Lu</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Lu</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029"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feng-ex99_1.htm"/>
      <w:bookmarkStart w:id="3" w:name="ksfengex99_1"/>
      <w:bookmarkEnd w:id="2"/>
      <w:bookmarkEnd w:id="3"/>
      <w:r>
        <w:rPr/>
        <w:t> </w:t>
      </w:r>
      <w:r>
        <w:br w:type="page"/>
      </w:r>
    </w:p>
    <w:p>
      <w:pPr>
        <w:pStyle w:val="TextBody"/>
        <w:bidi w:val="0"/>
        <w:jc w:val="right"/>
        <w:rPr>
          <w:rFonts w:ascii="Times New Roman" w:hAnsi="Times New Roman"/>
          <w:b/>
          <w:color w:val="000000"/>
          <w:sz w:val="20"/>
        </w:rPr>
      </w:pPr>
      <w:bookmarkStart w:id="4" w:name="exhibit99_1_035206_12901421"/>
      <w:bookmarkEnd w:id="4"/>
      <w:r>
        <w:rPr>
          <w:rFonts w:ascii="Times New Roman" w:hAnsi="Times New Roman"/>
          <w:b/>
          <w:color w:val="000000"/>
          <w:sz w:val="20"/>
        </w:rPr>
        <w:t>Exhibit 99.1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Phoenix New Media Reports Second Quarter 2026 Unaudited Financial Results</w:t>
      </w:r>
    </w:p>
    <w:p>
      <w:pPr>
        <w:pStyle w:val="TextBody"/>
        <w:bidi w:val="0"/>
        <w:spacing w:before="160" w:after="283"/>
        <w:jc w:val="center"/>
        <w:rPr>
          <w:rFonts w:ascii="Times New Roman" w:hAnsi="Times New Roman"/>
          <w:i/>
          <w:color w:val="000000"/>
          <w:sz w:val="20"/>
        </w:rPr>
      </w:pPr>
      <w:r>
        <w:rPr>
          <w:rFonts w:ascii="Times New Roman" w:hAnsi="Times New Roman"/>
          <w:i/>
          <w:color w:val="000000"/>
          <w:sz w:val="20"/>
        </w:rPr>
        <w:t>Live Conference Call to be Held at 9:30 PM U.S. Eastern Time on August 11, 2026</w:t>
      </w:r>
    </w:p>
    <w:p>
      <w:pPr>
        <w:pStyle w:val="TextBody"/>
        <w:bidi w:val="0"/>
        <w:jc w:val="left"/>
        <w:rPr>
          <w:rFonts w:ascii="Times New Roman" w:hAnsi="Times New Roman"/>
          <w:sz w:val="20"/>
        </w:rPr>
      </w:pPr>
      <w:r>
        <w:rPr>
          <w:rFonts w:ascii="Times New Roman" w:hAnsi="Times New Roman"/>
          <w:color w:val="000000"/>
          <w:sz w:val="20"/>
        </w:rPr>
        <w:t xml:space="preserve">BEIJING, China, </w:t>
      </w:r>
      <w:r>
        <w:rPr>
          <w:rFonts w:ascii="Times New Roman" w:hAnsi="Times New Roman"/>
          <w:i/>
          <w:color w:val="000000"/>
          <w:sz w:val="20"/>
        </w:rPr>
        <w:t>August</w:t>
      </w:r>
      <w:r>
        <w:rPr>
          <w:rFonts w:ascii="Times New Roman" w:hAnsi="Times New Roman"/>
          <w:color w:val="000000"/>
          <w:sz w:val="20"/>
        </w:rPr>
        <w:t xml:space="preserve"> 12, 2026 — Phoenix New Media Limited (NYSE: FENG) (“Phoenix New Media”, “ifeng” or the “Company”), a leading new media company in China, today announced its unaudited financial results for the second quarter ended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Qi Li, CEO of Phoenix New Media, stated, “In the second quarter, we remained dedicated to driving operational excellence while expanding our commercial reach. Looking ahead, we will continue investing in trusted content, expand monetization opportunities across key verticals, and better align our content capabilities and commercial value creation. We expect these efforts will help us further reinforce our position as a trusted media company and support sustainable long-term development.”</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Second Quarter 2026 Financial Results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Total revenues in the second quarter of 2026 increased by 15.8% to RMB216.7 million (US$31.9 million) from RMB187.1 million in the same period of 2025, primarily due to the year-over-year increase in the Company’s paid services revenues.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Net advertising revenues in the second quarter of 2026 decreased by 4.2% to RMB146.9 million (US$21.6 million) from RMB153.3 million in the same period of 2025.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Paid services revenues in the second quarter of 2026 increased by 106.5% to RMB69.8 million (US$10.3 million) from RMB33.8 million in the same period of 2025. Paid services revenues comprise (i) revenues from paid contents and (ii) revenues from E-commerce and others. Revenues from paid contents in the second quarter of 2026 increased by 114.3% to RMB65.8 million (US$9.7 million) from RMB30.7 million in the same period of 2025, driven by revenues generated from the Company's digital reading services offered through mini-programs on third-party applications. Revenues from E-commerce and others in the second quarter of 2026 increased by 29.0% to RMB4.0 million (US$0.6 million) from RMB3.1 million in the same period of 2025.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COST OF REVENUES AND GROSS PROFIT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Cost of revenues in the second quarter of 2026 decreased by 2.6% to RMB92.6 million (US$13.6 million) from RMB95.1 million in the same period of 2025, as a result of the Company’s strict cost control measures.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Gross profit in the second quarter of 2026 increased by 34.9% to RMB124.1 million (US$18.3 million) from RMB92.0 million in the same period of 2025. Gross margin in the second quarter of 2026 increased to 57.3% from 49.2% in the same period of 2025. The increase in gross margin was mainly attributable to higher gross margin of the digital reading services offered through mini-programs and significant increase in revenues from such services.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To supplement the financial measures presented in accordance with the United States Generally Accepted Accounting Principles (“GAAP”), the Company has presented certain non-GAAP financial measures in this press release, which excluded the impact of certain reconciling items as stated in the “Use of Non-GAAP Financial Measures” section below. The related reconciliations to GAAP financial measures are presented in the accompanying “Unaudited Reconciliations of Non-GAAP Results of Operation Measures to the Nearest Comparable GAAP Measures.”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Non-GAAP gross margin in the second quarter of 2026, which excluded share-based compensation, increased to 57.3% from 49.2% in the same period of 2025.</w:t>
      </w:r>
    </w:p>
    <w:p>
      <w:pPr>
        <w:pStyle w:val="TextBody"/>
        <w:bidi w:val="0"/>
        <w:spacing w:before="0" w:after="120"/>
        <w:jc w:val="left"/>
        <w:rPr>
          <w:rFonts w:ascii="Times New Roman" w:hAnsi="Times New Roman"/>
          <w:sz w:val="20"/>
        </w:rPr>
      </w:pPr>
      <w:r>
        <w:rPr>
          <w:rFonts w:ascii="Times New Roman" w:hAnsi="Times New Roman"/>
          <w:b/>
          <w:i/>
          <w:color w:val="000000"/>
          <w:sz w:val="20"/>
        </w:rPr>
        <w:t>OPERATING EXPENSES AND LOSS FROM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Total operating expenses in the second quarter of 2026 increased by 30.4% to RMB129.4 million (US$19.1 million) from RMB99.2 million in the same period of 2025, primarily attributable to higher sales and marketing expenses incurred for the digital reading services offered through mini-programs.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Loss from operations in the second quarter of 2026 was RMB5.3 million (US$0.8 million), compared to loss from operations of RMB7.2 million in the same period of 2025. Operating margin in the second quarter of 2026 was negative 2.4%, compared to negative 3.9% in the same period of 2025.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Non-GAAP loss from operations in the second quarter of 2026, which excluded share-based compensation, was RMB5.3 million (US$0.8 million), compared to non-GAAP loss from operations of RMB7.2 million in the same period of 2025. Non-GAAP operating margin in the second quarter of 2026, which excluded share-based compensation, was negative 2.4%, compared to negative 3.8%, in the same period of 2025.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OTHER INCOME OR LOSS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Other income or loss reflects net interest income, foreign currency exchange gain or loss, income or loss from equity investments, including impairment, fair value changes in investments, net, and others, net. Total net other income in the second quarter of 2026 was RMB12.8 million (US$1.9 million), compared to total net other income of RMB2.1 million recorded in the same period of 2025, which mainly consisted of the following items: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Net interest income in the second quarter of 2026 was RMB4.4 million (US$0.6 million), compared to RMB6.1 million in the same period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from equity method investments, including impairment, was RMB1.4 million (US$0.2 million) in the second quarter of 2026, compared to loss from equity method investments, including impairment, of RMB3.1 million in the same period of 2025, which were mainly attributable to the changes in estimated fair value of the underlying investments held by the Company through limited partnerships accounted for under the equity method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changes in investments, net in the second quarter of 2026 was a gain of RMB9.0 million (US$1.3 million), compared to a loss of almost nil in the same period of 2025, which were mainly attributable to the changes in estimated fair value of the underlying investments held by the Company through a private equity fund accounted using NAV as a practical expedient under ASC 820.</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NET INCOME OR LOSS ATTRIBUTABLE TO PHOENIX NEW MEDIA LIMITED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income attributable to Phoenix New Media Limited in the second quarter of 2026 was RMB6.5 million (US$1.0 million), compared to net loss attributable to Phoenix New Media Limited of RMB10.4 million in the same period of 2025. Net margin in the second quarter of 2026 was 3.0%, compared to negative 5.5% in the same period of 2025. Net income per basic and diluted ordinary share in the second quarter of 2026 was RMB0.01 (US$0.00), compared to net loss per basic and diluted ordinary share of RMB0.02 in the same period of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Non-GAAP net loss attributable to Phoenix New Media Limited, which excluded share-based compensation, income or loss from equity investments, including impairment, and fair value changes in investments, net, was RMB1.1 million (US$0.2 million) in the second quarter of 2026, compared to non-GAAP net loss attributable to Phoenix New Media Limited of RMB7.2 million in the same period of 2025. Non-GAAP net margin in the second quarter of 2026 was negative 0.5%, compared to negative 3.9% in the same period of 2025. Non-GAAP net loss per basic and diluted ADS in the second quarter of 2026 was RMB0.09 (US$0.01), compared to non-GAAP net loss per basic and diluted ADS of RMB0.60 in the same period of 2025. “ADS(s)” refers to the Company's American Depositary Share(s), each representing 48 Class A ordinary shares of the Company.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the second quarter of 2026, the Company’s weighted average number of ADSs used in the computation of basic and diluted net loss per ADS was 12,010,776. As of June 30, 2026, the Company had a total of 576,517,237 ordinary shares outstanding, or the equivalent of 12,010,776 ADSs.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CERTAIN BALANCE SHEET ITEMS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the Company’s cash and cash equivalents, term deposits and short term investments and restricted cash were RMB990.0 million (US$145.9 million).</w:t>
      </w:r>
    </w:p>
    <w:p>
      <w:pPr>
        <w:pStyle w:val="TextBody"/>
        <w:bidi w:val="0"/>
        <w:spacing w:before="80" w:after="200"/>
        <w:jc w:val="left"/>
        <w:rPr>
          <w:rFonts w:ascii="Times New Roman" w:hAnsi="Times New Roman"/>
          <w:b/>
          <w:color w:val="000000"/>
          <w:sz w:val="20"/>
        </w:rPr>
      </w:pPr>
      <w:r>
        <w:rPr>
          <w:rFonts w:ascii="Times New Roman" w:hAnsi="Times New Roman"/>
          <w:b/>
          <w:color w:val="000000"/>
          <w:sz w:val="20"/>
        </w:rPr>
        <w:t>Business Outlook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For the third quarter of 2026, the Company expects its total revenues to be between RMB220.9million and RMB235.9 million; net advertising revenues are expected to be between RMB151.9 million and RMB161.9 million; and paid services revenues are expected to be between RMB69.0 million and RMB74.0 million.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All of the above forecasts reflect the current and preliminary view of the Company’s management, which are subject to changes and substantial uncertainty, particularly in view of the uncertainty of macroeconomic environment. </w:t>
      </w:r>
    </w:p>
    <w:p>
      <w:pPr>
        <w:pStyle w:val="TextBody"/>
        <w:bidi w:val="0"/>
        <w:spacing w:before="80" w:after="200"/>
        <w:jc w:val="left"/>
        <w:rPr>
          <w:rFonts w:ascii="Times New Roman" w:hAnsi="Times New Roman"/>
          <w:b/>
          <w:color w:val="000000"/>
          <w:sz w:val="20"/>
        </w:rPr>
      </w:pPr>
      <w:r>
        <w:rPr>
          <w:rFonts w:ascii="Times New Roman" w:hAnsi="Times New Roman"/>
          <w:b/>
          <w:color w:val="000000"/>
          <w:sz w:val="20"/>
        </w:rPr>
        <w:t>Conference Call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will hold a conference call at 9:30 p.m. U.S. Eastern Time on August 11, 2026 (August 12, 2026 at 9:30 a.m. Beijing/Hong Kong time) to discuss its second quarter 2026 unaudited financial results and operating performance.</w:t>
      </w:r>
    </w:p>
    <w:p>
      <w:pPr>
        <w:pStyle w:val="TextBody"/>
        <w:bidi w:val="0"/>
        <w:spacing w:before="0" w:after="120"/>
        <w:jc w:val="left"/>
        <w:rPr>
          <w:rFonts w:ascii="Times New Roman" w:hAnsi="Times New Roman"/>
          <w:sz w:val="20"/>
        </w:rPr>
      </w:pPr>
      <w:r>
        <w:rPr>
          <w:rFonts w:ascii="Times New Roman" w:hAnsi="Times New Roman"/>
          <w:color w:val="000000"/>
          <w:sz w:val="20"/>
        </w:rPr>
        <w:t>To participate in the call, please register in advance of the conference by clicking here (</w:t>
      </w:r>
      <w:r>
        <w:rPr>
          <w:rFonts w:ascii="Times New Roman" w:hAnsi="Times New Roman"/>
          <w:sz w:val="20"/>
        </w:rPr>
        <w:t>https://register-conf.media-server.com/register/BI3297165329ae4b33982333a7f2eef05c</w:t>
      </w:r>
      <w:r>
        <w:rPr>
          <w:rFonts w:ascii="Times New Roman" w:hAnsi="Times New Roman"/>
          <w:color w:val="000000"/>
          <w:sz w:val="20"/>
        </w:rPr>
        <w:t xml:space="preserve">). Upon registering, each participant will receive the participant dial-in numbers and a unique access PIN, which will be used to join the conference call. Please dial in 10 minutes before the call is scheduled to begin.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live and archived webcast of the conference call will also be available at the Company’s investor relations website at http://ir.ifeng.com.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Use of Non-GAAP Financial Measures</w:t>
      </w:r>
    </w:p>
    <w:p>
      <w:pPr>
        <w:pStyle w:val="TextBody"/>
        <w:bidi w:val="0"/>
        <w:spacing w:before="0" w:after="120"/>
        <w:jc w:val="left"/>
        <w:rPr>
          <w:rFonts w:ascii="Times New Roman" w:hAnsi="Times New Roman"/>
          <w:sz w:val="20"/>
        </w:rPr>
      </w:pPr>
      <w:bookmarkStart w:id="5" w:name="ole_link1"/>
      <w:bookmarkEnd w:id="5"/>
      <w:r>
        <w:rPr>
          <w:rFonts w:ascii="Times New Roman" w:hAnsi="Times New Roman"/>
          <w:color w:val="000000"/>
          <w:sz w:val="20"/>
        </w:rPr>
        <w:t xml:space="preserve">To supplement the consolidated financial statements presented in accordance with the United States Generally Accepted Accounting Principles (“GAAP”), Phoenix New Media Limited uses non-GAAP gross profit, non-GAAP gross margin, non-GAAP income or loss from operations, non-GAAP operating margin, non-GAAP net income or loss attributable to Phoenix New Media Limited, non-GAAP net margin and non-GAAP net income or loss per diluted ADS, each of which is a non-GAAP financial measure. Non-GAAP gross profit is gross profit excluding share-based compensation. Non-GAAP gross margin is non-GAAP gross profit divided by total revenues. Non-GAAP income or loss from operations is income or loss from operations excluding share-based compensation. Non-GAAP operating margin is non-GAAP income or loss from operations divided by total revenues. Non-GAAP net income or loss attributable to Phoenix New Media Limited is net income or loss attributable to Phoenix New Media Limited excluding share-based compensation, income or loss from equity investments, including impairment and fair value changes in investments, net. Non-GAAP net margin is non-GAAP net income or loss attributable to Phoenix New Media Limited divided by total revenues. Non-GAAP net income or loss per diluted ADS is non-GAAP net income or loss attributable to Phoenix New Media Limited divided by weighted average number of diluted ADSs. The Company believes that separate analysis and exclusion of the aforementioned non-GAAP to GAAP reconciling items add clarity to the constituent parts of its performance. The Company reviews these non-GAAP financial measures together with the related GAAP financial measures to obtain a better understanding of its operating performance. It uses </w:t>
      </w:r>
      <w:bookmarkStart w:id="6" w:name="ole_link9"/>
      <w:bookmarkStart w:id="7" w:name="ole_link4"/>
      <w:bookmarkEnd w:id="6"/>
      <w:bookmarkEnd w:id="7"/>
      <w:r>
        <w:rPr>
          <w:rFonts w:ascii="Times New Roman" w:hAnsi="Times New Roman"/>
          <w:color w:val="000000"/>
          <w:sz w:val="20"/>
        </w:rPr>
        <w:t xml:space="preserve">these non-GAAP financial measures for planning, forecasting and measuring results against the forecast. The Company believes that using these non-GAAP financial measures to evaluate its business allows both management and investors to assess the Company’s performance against its competitors and ultimately monitor its capacity to generate returns for investors. The Company also believes that these non-GAAP financial measures are useful supplemental information for investors and analysts to assess its operating performance without the effect of items like share-based compensation, income or loss from equity investments, including impairment, and fair value changes in investments, net, which have been and will continue to be significant recurring items. However, the use of these non-GAAP financial measures has material limitations as an analytical tool. One of the limitations of using these non-GAAP financial measures is that they do not include all items that impact the Company’s gross profit, income or loss from operations and net income or loss attributable to Phoenix New Media Limited for the period. In addition, because these non-GAAP financial measures are not calculated in the same manner by all companies, they may not be comparable to other similarly titled measures used by other companies. In light of the foregoing limitations, you should not consider these non-GAAP financial measures in isolation from, or as an alternative to, the financial measures prepared in accordance with GAAP. </w:t>
      </w:r>
    </w:p>
    <w:p>
      <w:pPr>
        <w:pStyle w:val="TextBody"/>
        <w:bidi w:val="0"/>
        <w:spacing w:before="80" w:after="200"/>
        <w:jc w:val="left"/>
        <w:rPr>
          <w:rFonts w:ascii="Times New Roman" w:hAnsi="Times New Roman"/>
          <w:sz w:val="20"/>
        </w:rPr>
      </w:pPr>
      <w:r>
        <w:rPr>
          <w:rFonts w:ascii="Times New Roman" w:hAnsi="Times New Roman"/>
          <w:b/>
          <w:color w:val="000000"/>
          <w:sz w:val="20"/>
        </w:rPr>
        <w:t>Exchange Rate</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This announcement contains translations of certain RMB amounts into U.S. dollars (“USD”) at specified rates solely for the convenience of the readers. Unless otherwise stated, all translations from RMB to USD were made at the rate of RMB6.7851 to US$1.00, the noon buying rate in effect on June 30, 2026 in the H.10 statistical release of the Federal Reserve Board. The Company makes no representation that the RMB or USD amounts referred could be converted into USD or RMB, as the case may be, at any particular rate or at all. For analytical presentations, all percentages are calculated using the numbers presented in the financial information contained in this earnings release.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About Phoenix New Media Limited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Phoenix New Media Limited (NYSE: FENG) is a leading new media company providing premium content on an integrated Internet platform, including PC and mobile, in China. Having originated from a leading global Chinese language TV network based in Hong Kong, Phoenix TV, the Company enables consumers to access professional news and other quality information on the Internet through their PCs and mobile devices. Phoenix New Media's platform includes its PC channel, consisting of ifeng.com website, which comprises interest-based verticals and interactive services; its mobile channel, consisting of mobile news applications, mobile video application, digital reading applications and mobile Internet website; and its operations with the telecom operators that provides mobile value-added services.</w:t>
      </w:r>
    </w:p>
    <w:p>
      <w:pPr>
        <w:pStyle w:val="TextBody"/>
        <w:bidi w:val="0"/>
        <w:spacing w:before="80" w:after="200"/>
        <w:jc w:val="left"/>
        <w:rPr>
          <w:rFonts w:ascii="Times New Roman" w:hAnsi="Times New Roman"/>
          <w:b/>
          <w:color w:val="000000"/>
          <w:sz w:val="20"/>
        </w:rPr>
      </w:pPr>
      <w:r>
        <w:rPr>
          <w:rFonts w:ascii="Times New Roman" w:hAnsi="Times New Roman"/>
          <w:b/>
          <w:color w:val="000000"/>
          <w:sz w:val="20"/>
        </w:rPr>
        <w:t>Safe Harbor Statement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Phoenix New Media’s strategic and operational plans, contain forward-looking statements. Phoenix New Media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Phoenix New Media’s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online and mobile advertising, online video and mobile paid services markets in China; the Company’s reliance on online and mobile advertising for a majority of its total revenues; the Company’s expectations regarding demand for and market acceptance of its services; the Company’s expectations regarding maintaining and strengthening its relationships with advertisers, partners and customers; the Company’s investment plans and strategies; fluctuations in the Company’s quarterly operating results; the Company’s plans to enhance its user experience, infrastructure and services offerings; competition in its industry in China; and relevant government policies and regulations relating to the Company. Further information regarding these and other risks is included in the Company’s filings with the SEC, including its registration statement on Form F−1, as amended, and its annual reports on Form 20−F. All information provided in this press release and in the attachments is as of the date of this press release, and Phoenix New Media does not undertake any obligation to update any forward-looking statement, except as required under applicable law.</w:t>
      </w:r>
    </w:p>
    <w:p>
      <w:pPr>
        <w:pStyle w:val="TextBody"/>
        <w:bidi w:val="0"/>
        <w:spacing w:before="80" w:after="200"/>
        <w:jc w:val="left"/>
        <w:rPr>
          <w:rFonts w:ascii="Times New Roman" w:hAnsi="Times New Roman"/>
          <w:b/>
          <w:color w:val="000000"/>
          <w:sz w:val="20"/>
        </w:rPr>
      </w:pPr>
      <w:r>
        <w:rPr>
          <w:rFonts w:ascii="Times New Roman" w:hAnsi="Times New Roman"/>
          <w:b/>
          <w:color w:val="000000"/>
          <w:sz w:val="20"/>
        </w:rPr>
        <w:t>For investor and media inquiries please contact:</w:t>
      </w:r>
    </w:p>
    <w:p>
      <w:pPr>
        <w:pStyle w:val="TextBody"/>
        <w:bidi w:val="0"/>
        <w:jc w:val="left"/>
        <w:rPr>
          <w:rFonts w:ascii="Times New Roman" w:hAnsi="Times New Roman"/>
          <w:color w:val="000000"/>
          <w:sz w:val="20"/>
        </w:rPr>
      </w:pPr>
      <w:r>
        <w:rPr>
          <w:rFonts w:ascii="Times New Roman" w:hAnsi="Times New Roman"/>
          <w:color w:val="000000"/>
          <w:sz w:val="20"/>
        </w:rPr>
        <w:t>Phoenix New Media Limited</w:t>
      </w:r>
    </w:p>
    <w:p>
      <w:pPr>
        <w:pStyle w:val="TextBody"/>
        <w:bidi w:val="0"/>
        <w:jc w:val="left"/>
        <w:rPr>
          <w:rFonts w:ascii="Times New Roman" w:hAnsi="Times New Roman"/>
          <w:color w:val="000000"/>
          <w:sz w:val="20"/>
        </w:rPr>
      </w:pPr>
      <w:r>
        <w:rPr>
          <w:rFonts w:ascii="Times New Roman" w:hAnsi="Times New Roman"/>
          <w:color w:val="000000"/>
          <w:sz w:val="20"/>
        </w:rPr>
        <w:t>Muzi Guo</w:t>
      </w:r>
    </w:p>
    <w:p>
      <w:pPr>
        <w:pStyle w:val="TextBody"/>
        <w:bidi w:val="0"/>
        <w:jc w:val="left"/>
        <w:rPr>
          <w:rFonts w:ascii="Times New Roman" w:hAnsi="Times New Roman"/>
          <w:color w:val="000000"/>
          <w:sz w:val="20"/>
        </w:rPr>
      </w:pPr>
      <w:r>
        <w:rPr>
          <w:rFonts w:ascii="Times New Roman" w:hAnsi="Times New Roman"/>
          <w:color w:val="000000"/>
          <w:sz w:val="20"/>
        </w:rPr>
        <w:t>Email: investorrelations@ifeng.com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Phoenix New Media Limited</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Balance Sheets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(Amounts in thousands)</w:t>
      </w:r>
    </w:p>
    <w:tbl>
      <w:tblPr>
        <w:tblW w:w="8031" w:type="dxa"/>
        <w:jc w:val="left"/>
        <w:tblInd w:w="0" w:type="dxa"/>
        <w:tblLayout w:type="fixed"/>
        <w:tblCellMar>
          <w:top w:w="28" w:type="dxa"/>
          <w:left w:w="28" w:type="dxa"/>
          <w:bottom w:w="28" w:type="dxa"/>
          <w:right w:w="28" w:type="dxa"/>
        </w:tblCellMar>
      </w:tblPr>
      <w:tblGrid>
        <w:gridCol w:w="3946"/>
        <w:gridCol w:w="146"/>
        <w:gridCol w:w="164"/>
        <w:gridCol w:w="931"/>
        <w:gridCol w:w="166"/>
        <w:gridCol w:w="146"/>
        <w:gridCol w:w="146"/>
        <w:gridCol w:w="826"/>
        <w:gridCol w:w="166"/>
        <w:gridCol w:w="146"/>
        <w:gridCol w:w="146"/>
        <w:gridCol w:w="691"/>
        <w:gridCol w:w="4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Term deposits and short 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Amounts due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Prepayment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1,418,293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1,369,334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201,815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Available-for-sale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231,496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237,999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35,077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1,649,789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1,607,333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236,892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Amounts 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Advances from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Salary and welfare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498,254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474,426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69,922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541,474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514,364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75,808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Phoenix New Media Limited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Class A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Class B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242,015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Statutory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Phoenix New Media Limited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170,479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1,108,315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1,092,969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161,084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1,649,789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1,607,333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236,892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Phoenix New Media Limited</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Comprehensive Income/(loss)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(Amounts in thousands, except for number of shares and per share (or ADS) data)</w:t>
      </w:r>
    </w:p>
    <w:tbl>
      <w:tblPr>
        <w:tblW w:w="10348" w:type="dxa"/>
        <w:jc w:val="left"/>
        <w:tblInd w:w="0" w:type="dxa"/>
        <w:tblLayout w:type="fixed"/>
        <w:tblCellMar>
          <w:top w:w="28" w:type="dxa"/>
          <w:left w:w="28" w:type="dxa"/>
          <w:bottom w:w="28" w:type="dxa"/>
          <w:right w:w="28" w:type="dxa"/>
        </w:tblCellMar>
      </w:tblPr>
      <w:tblGrid>
        <w:gridCol w:w="1151"/>
        <w:gridCol w:w="146"/>
        <w:gridCol w:w="871"/>
        <w:gridCol w:w="151"/>
        <w:gridCol w:w="146"/>
        <w:gridCol w:w="146"/>
        <w:gridCol w:w="871"/>
        <w:gridCol w:w="151"/>
        <w:gridCol w:w="146"/>
        <w:gridCol w:w="146"/>
        <w:gridCol w:w="871"/>
        <w:gridCol w:w="151"/>
        <w:gridCol w:w="146"/>
        <w:gridCol w:w="146"/>
        <w:gridCol w:w="871"/>
        <w:gridCol w:w="151"/>
        <w:gridCol w:w="146"/>
        <w:gridCol w:w="146"/>
        <w:gridCol w:w="871"/>
        <w:gridCol w:w="151"/>
        <w:gridCol w:w="146"/>
        <w:gridCol w:w="146"/>
        <w:gridCol w:w="871"/>
        <w:gridCol w:w="151"/>
        <w:gridCol w:w="146"/>
        <w:gridCol w:w="146"/>
        <w:gridCol w:w="871"/>
        <w:gridCol w:w="296"/>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RMB</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US$</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Revenues:</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Net advertising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153,307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125,350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146,902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273,854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272,252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40,125</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Paid service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33,846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69,830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68,511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133,292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19,645</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187,153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188,812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216,732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31,943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342,365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405,544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59,770</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Cost of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(95,131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(87,827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(92,590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(187,612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(180,417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(26,590</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92,022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100,985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124,142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154,753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225,127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33,180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Operating expenses:</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Sales and marketing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(68,545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(90,597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(93,494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(131,583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(184,091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(27,132</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(46,476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(6,850</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Technology and product development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(33,578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(29,732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(4,382</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operating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(99,233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(130,905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(129,394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(19,070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(200,329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(260,299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(38,364</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(7,211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(29,920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(5,252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(45,576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(35,172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(5,184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Other income/(loss):</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1,351</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Foreign currency exchange (loss)/gain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Loss from equity method investments, including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Fair value changes in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2,142</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Others,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(Loss)/income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(5,076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(19,611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7,524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(38,431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(12,087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(1,781</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5"/>
              </w:rPr>
            </w:pPr>
            <w:r>
              <w:rPr>
                <w:rFonts w:ascii="Times New Roman" w:hAnsi="Times New Roman"/>
                <w:b/>
                <w:color w:val="000000"/>
                <w:sz w:val="15"/>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Income tax (expense)/benefit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(loss)/income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(9,703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(18,404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7,239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(39,957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(11,165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(1,645</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5"/>
              </w:rPr>
            </w:pPr>
            <w:r>
              <w:rPr>
                <w:rFonts w:ascii="Times New Roman" w:hAnsi="Times New Roman"/>
                <w:b/>
                <w:color w:val="000000"/>
                <w:sz w:val="15"/>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Net (income)/loss attributable to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(loss)/income attributable to Phoenix New Media Limited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(10,355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(16,791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6,545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(40,081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(10,246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(1,510</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(loss)/income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(9,703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(18,404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7,239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(39,957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(11,165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(1,645</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5"/>
              </w:rPr>
            </w:pPr>
            <w:r>
              <w:rPr>
                <w:rFonts w:ascii="Times New Roman" w:hAnsi="Times New Roman"/>
                <w:b/>
                <w:color w:val="000000"/>
                <w:sz w:val="15"/>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Other comprehensive income/(loss), net of tax: foreign currency translation adjustment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(616</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Comprehensive (loss)/income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(8,993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(20,059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4,714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(39,361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(15,345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(2,261</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5"/>
              </w:rPr>
            </w:pPr>
            <w:r>
              <w:rPr>
                <w:rFonts w:ascii="Times New Roman" w:hAnsi="Times New Roman"/>
                <w:b/>
                <w:color w:val="000000"/>
                <w:sz w:val="15"/>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Comprehensive (income)/loss attributable to noncontrolling interests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Comprehensive (loss)/income attributable to Phoenix New Media Limited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(9,645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(18,446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4,020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594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(39,485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(14,426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(2,126</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(loss)/income per Class A and Class B ordinary share:</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(0.00</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(0.00</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(loss)/income per ADS (1 ADS represents 48 Class A ordinary shares):</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(0.13</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Weighted average number of Class A and Class B ordinary shares used in computing net (loss)/income per share:</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576,517,237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576,517,237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576,517,237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576,517,237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576,517,237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576,517,237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576,517,237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576,517,237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576,517,237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576,517,237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576,517,237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576,517,237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576,517,237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576,517,237</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Phoenix New Media Limited</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Segments Information</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(Amounts in thousands)</w:t>
      </w:r>
    </w:p>
    <w:tbl>
      <w:tblPr>
        <w:tblW w:w="9736" w:type="dxa"/>
        <w:jc w:val="left"/>
        <w:tblInd w:w="0" w:type="dxa"/>
        <w:tblLayout w:type="fixed"/>
        <w:tblCellMar>
          <w:top w:w="28" w:type="dxa"/>
          <w:left w:w="28" w:type="dxa"/>
          <w:bottom w:w="28" w:type="dxa"/>
          <w:right w:w="28" w:type="dxa"/>
        </w:tblCellMar>
      </w:tblPr>
      <w:tblGrid>
        <w:gridCol w:w="1896"/>
        <w:gridCol w:w="146"/>
        <w:gridCol w:w="691"/>
        <w:gridCol w:w="146"/>
        <w:gridCol w:w="146"/>
        <w:gridCol w:w="149"/>
        <w:gridCol w:w="706"/>
        <w:gridCol w:w="146"/>
        <w:gridCol w:w="146"/>
        <w:gridCol w:w="146"/>
        <w:gridCol w:w="691"/>
        <w:gridCol w:w="146"/>
        <w:gridCol w:w="146"/>
        <w:gridCol w:w="146"/>
        <w:gridCol w:w="601"/>
        <w:gridCol w:w="146"/>
        <w:gridCol w:w="146"/>
        <w:gridCol w:w="146"/>
        <w:gridCol w:w="691"/>
        <w:gridCol w:w="146"/>
        <w:gridCol w:w="146"/>
        <w:gridCol w:w="146"/>
        <w:gridCol w:w="691"/>
        <w:gridCol w:w="146"/>
        <w:gridCol w:w="146"/>
        <w:gridCol w:w="146"/>
        <w:gridCol w:w="601"/>
        <w:gridCol w:w="391"/>
      </w:tblGrid>
      <w:tr>
        <w:trPr/>
        <w:tc>
          <w:tcPr>
            <w:tcW w:w="1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Revenues:</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advertising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Paid services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187,153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188,812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216,732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342,365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405,544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59,770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Cost of revenues</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advertising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Paid services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92,590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187,612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26,590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Gross profit</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advertising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Paid services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119,537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gross profit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124,142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225,127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33,180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Phoenix New Media Limited</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Information of Cost of Revenues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(Amounts in thousands)</w:t>
      </w:r>
    </w:p>
    <w:tbl>
      <w:tblPr>
        <w:tblW w:w="9621" w:type="dxa"/>
        <w:jc w:val="left"/>
        <w:tblInd w:w="0" w:type="dxa"/>
        <w:tblLayout w:type="fixed"/>
        <w:tblCellMar>
          <w:top w:w="28" w:type="dxa"/>
          <w:left w:w="28" w:type="dxa"/>
          <w:bottom w:w="28" w:type="dxa"/>
          <w:right w:w="28" w:type="dxa"/>
        </w:tblCellMar>
      </w:tblPr>
      <w:tblGrid>
        <w:gridCol w:w="2161"/>
        <w:gridCol w:w="146"/>
        <w:gridCol w:w="601"/>
        <w:gridCol w:w="146"/>
        <w:gridCol w:w="146"/>
        <w:gridCol w:w="167"/>
        <w:gridCol w:w="688"/>
        <w:gridCol w:w="146"/>
        <w:gridCol w:w="146"/>
        <w:gridCol w:w="146"/>
        <w:gridCol w:w="601"/>
        <w:gridCol w:w="146"/>
        <w:gridCol w:w="146"/>
        <w:gridCol w:w="146"/>
        <w:gridCol w:w="601"/>
        <w:gridCol w:w="146"/>
        <w:gridCol w:w="146"/>
        <w:gridCol w:w="146"/>
        <w:gridCol w:w="691"/>
        <w:gridCol w:w="146"/>
        <w:gridCol w:w="146"/>
        <w:gridCol w:w="146"/>
        <w:gridCol w:w="691"/>
        <w:gridCol w:w="146"/>
        <w:gridCol w:w="146"/>
        <w:gridCol w:w="146"/>
        <w:gridCol w:w="601"/>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sharing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Content and operational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Bandwidth costs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cost of revenues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92,590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13,646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187,612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180,417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26,590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Phoenix New Media Limited</w:t>
      </w:r>
    </w:p>
    <w:p>
      <w:pPr>
        <w:pStyle w:val="TextBody"/>
        <w:bidi w:val="0"/>
        <w:jc w:val="center"/>
        <w:rPr>
          <w:rFonts w:ascii="Times New Roman" w:hAnsi="Times New Roman"/>
          <w:sz w:val="20"/>
        </w:rPr>
      </w:pPr>
      <w:r>
        <w:rPr>
          <w:rFonts w:ascii="Times New Roman" w:hAnsi="Times New Roman"/>
          <w:b/>
          <w:color w:val="000000"/>
          <w:sz w:val="20"/>
        </w:rPr>
        <w:t>Unaudited Reconciliations of Non-GAAP Results of Operations Measures to the Nearest Comparable GAAP Measures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b/>
          <w:color w:val="000000"/>
          <w:sz w:val="20"/>
        </w:rPr>
        <w:t>(Amounts in thousands, except for number of ADSs and per ADS data)</w:t>
      </w:r>
      <w:r>
        <w:rPr>
          <w:rFonts w:ascii="Times New Roman" w:hAnsi="Times New Roman"/>
          <w:color w:val="000000"/>
          <w:sz w:val="20"/>
        </w:rPr>
        <w:t xml:space="preserve"> </w:t>
      </w:r>
    </w:p>
    <w:tbl>
      <w:tblPr>
        <w:tblW w:w="14472" w:type="dxa"/>
        <w:jc w:val="left"/>
        <w:tblInd w:w="0" w:type="dxa"/>
        <w:tblLayout w:type="fixed"/>
        <w:tblCellMar>
          <w:top w:w="28" w:type="dxa"/>
          <w:left w:w="28" w:type="dxa"/>
          <w:bottom w:w="28" w:type="dxa"/>
          <w:right w:w="28" w:type="dxa"/>
        </w:tblCellMar>
      </w:tblPr>
      <w:tblGrid>
        <w:gridCol w:w="991"/>
        <w:gridCol w:w="146"/>
        <w:gridCol w:w="916"/>
        <w:gridCol w:w="241"/>
        <w:gridCol w:w="146"/>
        <w:gridCol w:w="223"/>
        <w:gridCol w:w="783"/>
        <w:gridCol w:w="146"/>
        <w:gridCol w:w="146"/>
        <w:gridCol w:w="256"/>
        <w:gridCol w:w="166"/>
        <w:gridCol w:w="146"/>
        <w:gridCol w:w="916"/>
        <w:gridCol w:w="241"/>
        <w:gridCol w:w="146"/>
        <w:gridCol w:w="146"/>
        <w:gridCol w:w="916"/>
        <w:gridCol w:w="241"/>
        <w:gridCol w:w="146"/>
        <w:gridCol w:w="204"/>
        <w:gridCol w:w="802"/>
        <w:gridCol w:w="166"/>
        <w:gridCol w:w="146"/>
        <w:gridCol w:w="256"/>
        <w:gridCol w:w="166"/>
        <w:gridCol w:w="146"/>
        <w:gridCol w:w="916"/>
        <w:gridCol w:w="241"/>
        <w:gridCol w:w="146"/>
        <w:gridCol w:w="146"/>
        <w:gridCol w:w="916"/>
        <w:gridCol w:w="241"/>
        <w:gridCol w:w="146"/>
        <w:gridCol w:w="204"/>
        <w:gridCol w:w="802"/>
        <w:gridCol w:w="166"/>
        <w:gridCol w:w="256"/>
        <w:gridCol w:w="146"/>
        <w:gridCol w:w="916"/>
        <w:gridCol w:w="28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GAAP</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Non-GAAP</w:t>
              <w:br/>
              <w:t>Adjustments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Non-GAAP</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GAAP</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Non-GAAP</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Non-GAAP</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GAAP</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Non-GAAP</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Non-GAAP</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RMB</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92,022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92,029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100,985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100,985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124,142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124,142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(29,920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(29,920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(5,252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(5,252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(loss)/income attributable to Phoenix New Media Limited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(10,355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(7,223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(16,791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(22,183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6,545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(1,070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(loss)/income per ADS-basic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ADSs used in computing basic and diluted net (loss)/income per ADS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12,010,776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12,010,776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12,010,776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12,010,776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12,010,776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12,010,776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Share-based compensation</w:t>
      </w:r>
    </w:p>
    <w:p>
      <w:pPr>
        <w:pStyle w:val="TextBody"/>
        <w:bidi w:val="0"/>
        <w:jc w:val="left"/>
        <w:rPr>
          <w:rFonts w:ascii="Times New Roman" w:hAnsi="Times New Roman"/>
          <w:color w:val="000000"/>
          <w:sz w:val="20"/>
        </w:rPr>
      </w:pPr>
      <w:r>
        <w:rPr>
          <w:rFonts w:ascii="Times New Roman" w:hAnsi="Times New Roman"/>
          <w:color w:val="000000"/>
          <w:sz w:val="20"/>
        </w:rPr>
        <w:t>(2) Loss from equity investments, including impairment</w:t>
      </w:r>
    </w:p>
    <w:p>
      <w:pPr>
        <w:pStyle w:val="TextBody"/>
        <w:bidi w:val="0"/>
        <w:jc w:val="left"/>
        <w:rPr>
          <w:rFonts w:ascii="Times New Roman" w:hAnsi="Times New Roman"/>
          <w:color w:val="000000"/>
          <w:sz w:val="20"/>
        </w:rPr>
      </w:pPr>
      <w:r>
        <w:rPr>
          <w:rFonts w:ascii="Times New Roman" w:hAnsi="Times New Roman"/>
          <w:color w:val="000000"/>
          <w:sz w:val="20"/>
        </w:rPr>
        <w:t xml:space="preserve">(3) Fair value changes in investments, net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4123</Words>
  <Characters>22646</Characters>
  <CharactersWithSpaces>27757</CharactersWithSpaces>
  <Paragraphs>2963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