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2025_annual_general_meet.htm"/>
      <w:bookmarkStart w:id="1" w:name="ks2025_annual_general_meet"/>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before="0" w:after="44"/>
        <w:jc w:val="center"/>
        <w:rPr/>
      </w:pPr>
      <w:r>
        <w:rPr/>
        <w:t> </w:t>
      </w:r>
    </w:p>
    <w:p>
      <w:pPr>
        <w:pStyle w:val="TextBody"/>
        <w:bidi w:val="0"/>
        <w:spacing w:before="156"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pBdr>
          <w:bottom w:val="single" w:sz="6" w:space="1" w:color="000000"/>
        </w:pBdr>
        <w:bidi w:val="0"/>
        <w:spacing w:before="0" w:after="44"/>
        <w:jc w:val="center"/>
        <w:rPr/>
      </w:pPr>
      <w:r>
        <w:rPr/>
        <w:t> </w:t>
      </w:r>
    </w:p>
    <w:p>
      <w:pPr>
        <w:pStyle w:val="TextBody"/>
        <w:bidi w:val="0"/>
        <w:spacing w:before="116"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October 2025</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Commission File Number: 001-35158</w:t>
      </w:r>
    </w:p>
    <w:p>
      <w:pPr>
        <w:pStyle w:val="TextBody"/>
        <w:pBdr>
          <w:bottom w:val="single" w:sz="6" w:space="1" w:color="000000"/>
        </w:pBdr>
        <w:bidi w:val="0"/>
        <w:spacing w:before="0" w:after="44"/>
        <w:jc w:val="center"/>
        <w:rPr/>
      </w:pPr>
      <w:r>
        <w:rPr/>
        <w:t> </w:t>
      </w:r>
    </w:p>
    <w:p>
      <w:pPr>
        <w:pStyle w:val="TextBody"/>
        <w:bidi w:val="0"/>
        <w:spacing w:before="156" w:after="283"/>
        <w:jc w:val="center"/>
        <w:rPr>
          <w:rFonts w:ascii="Times New Roman" w:hAnsi="Times New Roman"/>
          <w:b/>
          <w:color w:val="000000"/>
          <w:sz w:val="48"/>
        </w:rPr>
      </w:pPr>
      <w:r>
        <w:rPr>
          <w:rFonts w:ascii="Times New Roman" w:hAnsi="Times New Roman"/>
          <w:b/>
          <w:color w:val="000000"/>
          <w:sz w:val="48"/>
        </w:rPr>
        <w:t>PHOENIX NEW MEDIA LIMITED</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Floor 25, Tower B, POSCO Center</w:t>
      </w:r>
    </w:p>
    <w:p>
      <w:pPr>
        <w:pStyle w:val="TextBody"/>
        <w:bidi w:val="0"/>
        <w:jc w:val="center"/>
        <w:rPr>
          <w:rFonts w:ascii="Times New Roman" w:hAnsi="Times New Roman"/>
          <w:b/>
          <w:color w:val="000000"/>
          <w:sz w:val="20"/>
        </w:rPr>
      </w:pPr>
      <w:r>
        <w:rPr>
          <w:rFonts w:ascii="Times New Roman" w:hAnsi="Times New Roman"/>
          <w:b/>
          <w:color w:val="000000"/>
          <w:sz w:val="20"/>
        </w:rPr>
        <w:t>Hongtai East Street</w:t>
      </w:r>
    </w:p>
    <w:p>
      <w:pPr>
        <w:pStyle w:val="TextBody"/>
        <w:bidi w:val="0"/>
        <w:jc w:val="center"/>
        <w:rPr>
          <w:rFonts w:ascii="Times New Roman" w:hAnsi="Times New Roman"/>
          <w:b/>
          <w:color w:val="000000"/>
          <w:sz w:val="20"/>
        </w:rPr>
      </w:pPr>
      <w:r>
        <w:rPr>
          <w:rFonts w:ascii="Times New Roman" w:hAnsi="Times New Roman"/>
          <w:b/>
          <w:color w:val="000000"/>
          <w:sz w:val="20"/>
        </w:rPr>
        <w:t>Wangjing, Chaoyang District,</w:t>
      </w:r>
    </w:p>
    <w:p>
      <w:pPr>
        <w:pStyle w:val="TextBody"/>
        <w:bidi w:val="0"/>
        <w:jc w:val="center"/>
        <w:rPr>
          <w:rFonts w:ascii="Times New Roman" w:hAnsi="Times New Roman"/>
          <w:b/>
          <w:color w:val="000000"/>
          <w:sz w:val="20"/>
        </w:rPr>
      </w:pPr>
      <w:r>
        <w:rPr>
          <w:rFonts w:ascii="Times New Roman" w:hAnsi="Times New Roman"/>
          <w:b/>
          <w:color w:val="000000"/>
          <w:sz w:val="20"/>
        </w:rPr>
        <w:t>Beijing 100102</w:t>
      </w:r>
    </w:p>
    <w:p>
      <w:pPr>
        <w:pStyle w:val="TextBody"/>
        <w:bidi w:val="0"/>
        <w:jc w:val="center"/>
        <w:rPr>
          <w:rFonts w:ascii="Times New Roman" w:hAnsi="Times New Roman"/>
          <w:b/>
          <w:color w:val="000000"/>
          <w:sz w:val="20"/>
        </w:rPr>
      </w:pPr>
      <w:r>
        <w:rPr>
          <w:rFonts w:ascii="Times New Roman" w:hAnsi="Times New Roman"/>
          <w:b/>
          <w:color w:val="000000"/>
          <w:sz w:val="20"/>
        </w:rPr>
        <w:t>People’s 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pBdr>
          <w:bottom w:val="single" w:sz="4" w:space="1" w:color="000000"/>
        </w:pBdr>
        <w:bidi w:val="0"/>
        <w:spacing w:before="0" w:after="44"/>
        <w:jc w:val="center"/>
        <w:rPr/>
      </w:pPr>
      <w:r>
        <w:rPr/>
        <w:t> </w:t>
      </w:r>
    </w:p>
    <w:p>
      <w:pPr>
        <w:pStyle w:val="TextBody"/>
        <w:bidi w:val="0"/>
        <w:spacing w:before="156"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TABLE OF CONTENTS</w:t>
      </w:r>
    </w:p>
    <w:p>
      <w:pPr>
        <w:pStyle w:val="TextBody"/>
        <w:bidi w:val="0"/>
        <w:jc w:val="left"/>
        <w:rPr/>
      </w:pPr>
      <w:r>
        <w:rPr/>
        <w:t> </w:t>
      </w:r>
    </w:p>
    <w:p>
      <w:pPr>
        <w:pStyle w:val="TextBody"/>
        <w:bidi w:val="0"/>
        <w:spacing w:before="120" w:after="283"/>
        <w:jc w:val="left"/>
        <w:rPr/>
      </w:pPr>
      <w:hyperlink w:anchor="feng-ex99_1.htm">
        <w:r>
          <w:rPr>
            <w:rStyle w:val="InternetLink"/>
            <w:rFonts w:ascii="Times New Roman" w:hAnsi="Times New Roman"/>
            <w:color w:val="0000FF"/>
            <w:sz w:val="20"/>
            <w:u w:val="single"/>
          </w:rPr>
          <w:t>Exhibit 99.1 — Press release: Phoenix New Media to Hold 2025 Annual General Meeting on December 4, 2025</w:t>
        </w:r>
      </w:hyperlink>
    </w:p>
    <w:p>
      <w:pPr>
        <w:pStyle w:val="TextBody"/>
        <w:bidi w:val="0"/>
        <w:spacing w:before="120" w:after="283"/>
        <w:jc w:val="left"/>
        <w:rPr/>
      </w:pPr>
      <w:hyperlink w:anchor="feng-ex99_2.htm">
        <w:r>
          <w:rPr>
            <w:rStyle w:val="InternetLink"/>
            <w:rFonts w:ascii="Times New Roman" w:hAnsi="Times New Roman"/>
            <w:color w:val="0000FF"/>
            <w:sz w:val="20"/>
            <w:u w:val="single"/>
          </w:rPr>
          <w:t>Exhibit 99.2 — Notice of Annual General Meeting</w:t>
        </w:r>
      </w:hyperlink>
    </w:p>
    <w:p>
      <w:pPr>
        <w:pStyle w:val="TextBody"/>
        <w:bidi w:val="0"/>
        <w:spacing w:before="120" w:after="283"/>
        <w:jc w:val="left"/>
        <w:rPr/>
      </w:pPr>
      <w:hyperlink w:anchor="feng-ex99_3.htm">
        <w:r>
          <w:rPr>
            <w:rStyle w:val="InternetLink"/>
            <w:rFonts w:ascii="Times New Roman" w:hAnsi="Times New Roman"/>
            <w:color w:val="0000FF"/>
            <w:sz w:val="20"/>
            <w:u w:val="single"/>
          </w:rPr>
          <w:t>Exhibit 99.3 — Proxy Statement for Annual General Meeting</w:t>
        </w:r>
      </w:hyperlink>
    </w:p>
    <w:p>
      <w:pPr>
        <w:pStyle w:val="TextBody"/>
        <w:bidi w:val="0"/>
        <w:spacing w:before="120" w:after="283"/>
        <w:jc w:val="left"/>
        <w:rPr/>
      </w:pPr>
      <w:hyperlink w:anchor="feng-ex99_4.htm">
        <w:r>
          <w:rPr>
            <w:rStyle w:val="InternetLink"/>
            <w:rFonts w:ascii="Times New Roman" w:hAnsi="Times New Roman"/>
            <w:color w:val="0000FF"/>
            <w:sz w:val="20"/>
            <w:u w:val="single"/>
          </w:rPr>
          <w:t>Exhibit 99.4 — Form of Proxy for Annual General Meeting</w:t>
        </w:r>
      </w:hyperlink>
    </w:p>
    <w:p>
      <w:pPr>
        <w:pStyle w:val="TextBody"/>
        <w:bidi w:val="0"/>
        <w:spacing w:before="120" w:after="283"/>
        <w:jc w:val="left"/>
        <w:rPr/>
      </w:pPr>
      <w:hyperlink w:anchor="feng-ex99_5.htm">
        <w:r>
          <w:rPr>
            <w:rStyle w:val="InternetLink"/>
            <w:rFonts w:ascii="Times New Roman" w:hAnsi="Times New Roman"/>
            <w:color w:val="0000FF"/>
            <w:sz w:val="20"/>
            <w:u w:val="single"/>
          </w:rPr>
          <w:t>Exhibit 99.5 — Voting Card for American Depositary Receipts</w:t>
        </w:r>
      </w:hyperlink>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89" w:type="dxa"/>
        <w:jc w:val="left"/>
        <w:tblInd w:w="0" w:type="dxa"/>
        <w:tblLayout w:type="fixed"/>
        <w:tblCellMar>
          <w:top w:w="28" w:type="dxa"/>
          <w:left w:w="28" w:type="dxa"/>
          <w:bottom w:w="28" w:type="dxa"/>
          <w:right w:w="28" w:type="dxa"/>
        </w:tblCellMar>
      </w:tblPr>
      <w:tblGrid>
        <w:gridCol w:w="2011"/>
        <w:gridCol w:w="109"/>
        <w:gridCol w:w="672"/>
        <w:gridCol w:w="155"/>
        <w:gridCol w:w="2142"/>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21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PHOENIX NEW MEDIA LIMITED</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Edward Lu</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Lu</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089"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Heading1"/>
        <w:bidi w:val="0"/>
        <w:jc w:val="right"/>
        <w:rPr>
          <w:rFonts w:ascii="Times New Roman" w:hAnsi="Times New Roman"/>
          <w:color w:val="000000"/>
          <w:sz w:val="20"/>
        </w:rPr>
      </w:pPr>
      <w:bookmarkStart w:id="2" w:name="feng-ex99_1.htm"/>
      <w:bookmarkStart w:id="3" w:name="ksfengex99_1"/>
      <w:bookmarkEnd w:id="2"/>
      <w:bookmarkEnd w:id="3"/>
      <w:r>
        <w:rPr>
          <w:rFonts w:ascii="Times New Roman" w:hAnsi="Times New Roman"/>
          <w:color w:val="000000"/>
          <w:sz w:val="20"/>
        </w:rPr>
        <w:t>Exhibit 99.1</w:t>
      </w:r>
      <w:r>
        <w:br w:type="page"/>
      </w:r>
    </w:p>
    <w:p>
      <w:pPr>
        <w:pStyle w:val="Heading1"/>
        <w:bidi w:val="0"/>
        <w:jc w:val="center"/>
        <w:rPr/>
      </w:pPr>
      <w:r>
        <w:rPr/>
        <w:t> </w:t>
      </w:r>
    </w:p>
    <w:p>
      <w:pPr>
        <w:pStyle w:val="Heading1"/>
        <w:bidi w:val="0"/>
        <w:spacing w:before="120" w:after="120"/>
        <w:jc w:val="center"/>
        <w:rPr>
          <w:rFonts w:ascii="Times New Roman" w:hAnsi="Times New Roman"/>
          <w:color w:val="000000"/>
          <w:sz w:val="20"/>
        </w:rPr>
      </w:pPr>
      <w:r>
        <w:rPr>
          <w:rFonts w:ascii="Times New Roman" w:hAnsi="Times New Roman"/>
          <w:color w:val="000000"/>
          <w:sz w:val="20"/>
        </w:rPr>
        <w:t>Phoenix New Media to Hold 2025 Annual General Meeting on December 4,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BEIJING, China, October 30, 2025 – Phoenix New Media Limited (NYSE: FENG), a leading new media company in China (“Phoenix New Media”, “ifeng”, or the “Company”), today announced that it will hold its annual general meeting of shareholders at Floor 25, Tower B, POSCO Center, Hongtai East Street, Wangjing, Chaoyang District, Beijing 100102, People’s Republic of China on December 4, 2025 at 2:00 p.m.</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Holders of record of ordinary shares of the Company at the close of business on October 30, 2025 are entitled to notice of, and to vote at, the annual general meeting or any adjournment or postponement thereof. Holders of the Company’s American depositary shares (“ADSs”) who wish to exercise their voting rights for the underlying Class A ordinary shares must act through the depositary of the Company’s ADS program, JPMorgan Chase Bank, N.A.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notice of the annual general meeting, which sets forth the resolutions to be submitted to shareholder approval at the annual general meeting, is available on the Investor Relations section of the Company’s website at </w:t>
      </w:r>
      <w:r>
        <w:rPr>
          <w:rFonts w:ascii="Times New Roman" w:hAnsi="Times New Roman"/>
          <w:sz w:val="20"/>
        </w:rPr>
        <w:t>http://ir.ifeng.com</w:t>
      </w:r>
      <w:r>
        <w:rPr>
          <w:rFonts w:ascii="Times New Roman" w:hAnsi="Times New Roman"/>
          <w:color w:val="000000"/>
          <w:sz w:val="20"/>
        </w:rPr>
        <w:t xml:space="preserve">. Shareholders may obtain a copy of the Company’s 2024 annual report, free of charge, from the Investor Relations section of the Company’s website at </w:t>
      </w:r>
      <w:r>
        <w:rPr>
          <w:rFonts w:ascii="Times New Roman" w:hAnsi="Times New Roman"/>
          <w:sz w:val="20"/>
        </w:rPr>
        <w:t>http://ir.ifeng.com/</w:t>
      </w:r>
      <w:r>
        <w:rPr>
          <w:rFonts w:ascii="Times New Roman" w:hAnsi="Times New Roman"/>
          <w:color w:val="000000"/>
          <w:sz w:val="20"/>
        </w:rPr>
        <w:t xml:space="preserve">, or by contacting Phoenix New Media Limited at Floor 25, Tower B, POSCO Center, Hongtai East Street, Wangjing, Chaoyang District, Beijing 100102, People’s Republic of China, attention: Muzi Guo, telephone: +86 (10) 6067-5000, email: </w:t>
      </w:r>
      <w:r>
        <w:rPr>
          <w:rFonts w:ascii="Times New Roman" w:hAnsi="Times New Roman"/>
          <w:sz w:val="20"/>
        </w:rPr>
        <w:t>investorrelations@ifeng.com</w:t>
      </w:r>
      <w:r>
        <w:rPr>
          <w:rFonts w:ascii="Times New Roman" w:hAnsi="Times New Roman"/>
          <w:color w:val="000000"/>
          <w:sz w:val="20"/>
        </w:rPr>
        <w:t>.</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About Phoenix New Media Limited</w:t>
      </w:r>
    </w:p>
    <w:p>
      <w:pPr>
        <w:pStyle w:val="TextBody"/>
        <w:bidi w:val="0"/>
        <w:jc w:val="left"/>
        <w:rPr>
          <w:rFonts w:ascii="Times New Roman" w:hAnsi="Times New Roman"/>
          <w:color w:val="000000"/>
          <w:sz w:val="20"/>
        </w:rPr>
      </w:pPr>
      <w:r>
        <w:rPr>
          <w:rFonts w:ascii="Times New Roman" w:hAnsi="Times New Roman"/>
          <w:color w:val="000000"/>
          <w:sz w:val="20"/>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jc w:val="left"/>
        <w:rPr>
          <w:rFonts w:ascii="Times New Roman" w:hAnsi="Times New Roman"/>
          <w:color w:val="000000"/>
          <w:sz w:val="20"/>
        </w:rPr>
      </w:pPr>
      <w:r>
        <w:rPr>
          <w:rFonts w:ascii="Times New Roman" w:hAnsi="Times New Roman"/>
          <w:color w:val="000000"/>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online and mobile advertising, online video and mobile paid services markets in China; the Company’s reliance on online and mobile advertising for a majority of its total revenues; the Company’s expectations regarding demand for and market acceptance of its services; the Company’s expectations regarding maintaining and strengthening its relationships with advertisers, partners and customers; the Company’s investment plans and strategies; fluctuations in the Company’s quarterly operating results; the Company’s plans to enhance its user experience, infrastructure and services offerings;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Phoenix New Media does not undertake any obligation to update any forward-looking statement, except as required under applicable law.</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investor and media inquiries please contact:</w:t>
      </w:r>
    </w:p>
    <w:p>
      <w:pPr>
        <w:pStyle w:val="TextBody"/>
        <w:bidi w:val="0"/>
        <w:jc w:val="left"/>
        <w:rPr>
          <w:rFonts w:ascii="Times New Roman" w:hAnsi="Times New Roman"/>
          <w:color w:val="000000"/>
          <w:sz w:val="20"/>
        </w:rPr>
      </w:pPr>
      <w:r>
        <w:rPr>
          <w:rFonts w:ascii="Times New Roman" w:hAnsi="Times New Roman"/>
          <w:color w:val="000000"/>
          <w:sz w:val="20"/>
        </w:rPr>
        <w:t>Phoenix New Media Limited</w:t>
      </w:r>
    </w:p>
    <w:p>
      <w:pPr>
        <w:pStyle w:val="TextBody"/>
        <w:bidi w:val="0"/>
        <w:jc w:val="left"/>
        <w:rPr>
          <w:rFonts w:ascii="Times New Roman" w:hAnsi="Times New Roman"/>
          <w:color w:val="000000"/>
          <w:sz w:val="20"/>
        </w:rPr>
      </w:pPr>
      <w:r>
        <w:rPr>
          <w:rFonts w:ascii="Times New Roman" w:hAnsi="Times New Roman"/>
          <w:color w:val="000000"/>
          <w:sz w:val="20"/>
        </w:rPr>
        <w:t>Muzi Guo</w:t>
      </w:r>
    </w:p>
    <w:p>
      <w:pPr>
        <w:pStyle w:val="TextBody"/>
        <w:bidi w:val="0"/>
        <w:jc w:val="left"/>
        <w:rPr>
          <w:rFonts w:ascii="Times New Roman" w:hAnsi="Times New Roman"/>
          <w:color w:val="000000"/>
          <w:sz w:val="20"/>
        </w:rPr>
      </w:pPr>
      <w:r>
        <w:rPr>
          <w:rFonts w:ascii="Times New Roman" w:hAnsi="Times New Roman"/>
          <w:color w:val="000000"/>
          <w:sz w:val="20"/>
        </w:rPr>
        <w:t>Email: investorrelations@ifeng.com</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feng-ex99_2.htm"/>
      <w:bookmarkStart w:id="5" w:name="ksfengex99_2"/>
      <w:bookmarkEnd w:id="4"/>
      <w:bookmarkEnd w:id="5"/>
      <w:r>
        <w:rPr>
          <w:rFonts w:ascii="Times New Roman" w:hAnsi="Times New Roman"/>
          <w:b/>
          <w:color w:val="000000"/>
          <w:sz w:val="20"/>
        </w:rPr>
        <w:t>Exhibit 99.2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rFonts w:ascii="Times New Roman" w:hAnsi="Times New Roman"/>
          <w:i/>
          <w:color w:val="000000"/>
          <w:sz w:val="20"/>
        </w:rPr>
      </w:pPr>
      <w:r>
        <w:rPr>
          <w:rFonts w:ascii="Times New Roman" w:hAnsi="Times New Roman"/>
          <w:i/>
          <w:color w:val="000000"/>
          <w:sz w:val="20"/>
        </w:rPr>
        <w:t>(Incorporated in the Cayman Islands with limited liability)</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NOTICE OF ANNUAL GENERAL MEETING</w:t>
      </w:r>
    </w:p>
    <w:p>
      <w:pPr>
        <w:pStyle w:val="TextBody"/>
        <w:bidi w:val="0"/>
        <w:jc w:val="center"/>
        <w:rPr>
          <w:rFonts w:ascii="Times New Roman" w:hAnsi="Times New Roman"/>
          <w:color w:val="000000"/>
          <w:sz w:val="20"/>
        </w:rPr>
      </w:pPr>
      <w:r>
        <w:rPr>
          <w:rFonts w:ascii="Times New Roman" w:hAnsi="Times New Roman"/>
          <w:color w:val="000000"/>
          <w:sz w:val="20"/>
        </w:rPr>
        <w:t>to Be Held on December 4,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NOTICE IS HEREBY GIVEN</w:t>
      </w:r>
      <w:r>
        <w:rPr>
          <w:rFonts w:ascii="Times New Roman" w:hAnsi="Times New Roman"/>
          <w:color w:val="000000"/>
          <w:sz w:val="20"/>
        </w:rPr>
        <w:t xml:space="preserve"> that an Annual General Meeting (“</w:t>
      </w:r>
      <w:r>
        <w:rPr>
          <w:rFonts w:ascii="Times New Roman" w:hAnsi="Times New Roman"/>
          <w:b/>
          <w:color w:val="000000"/>
          <w:sz w:val="20"/>
        </w:rPr>
        <w:t>AGM</w:t>
      </w:r>
      <w:r>
        <w:rPr>
          <w:rFonts w:ascii="Times New Roman" w:hAnsi="Times New Roman"/>
          <w:color w:val="000000"/>
          <w:sz w:val="20"/>
        </w:rPr>
        <w:t>”) of Phoenix New Media Limited (the “</w:t>
      </w:r>
      <w:r>
        <w:rPr>
          <w:rFonts w:ascii="Times New Roman" w:hAnsi="Times New Roman"/>
          <w:b/>
          <w:color w:val="000000"/>
          <w:sz w:val="20"/>
        </w:rPr>
        <w:t>Company</w:t>
      </w:r>
      <w:r>
        <w:rPr>
          <w:rFonts w:ascii="Times New Roman" w:hAnsi="Times New Roman"/>
          <w:color w:val="000000"/>
          <w:sz w:val="20"/>
        </w:rPr>
        <w:t>”) will be held at Floor 25, Tower B, POSCO Center, Hongtai East Street, Wangjing, Chaoyang District, Beijing 100102, People’s Republic of China, on December 4, 2025 at 2:00 p.m. local time for the following purpose:</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0"/>
        </w:rPr>
      </w:pPr>
      <w:r>
        <w:rPr>
          <w:rFonts w:ascii="Times New Roman" w:hAnsi="Times New Roman"/>
          <w:color w:val="000000"/>
          <w:sz w:val="20"/>
        </w:rPr>
        <w:t>Proposal No. 1: To receive the audited consolidated financial statements of the Company for the fiscal year ended December 31, 2024.</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rFonts w:ascii="Times New Roman" w:hAnsi="Times New Roman"/>
          <w:color w:val="000000"/>
          <w:sz w:val="20"/>
        </w:rPr>
        <w:t>Proposal No 2: To approve the re-appointment of PricewaterhouseCoopers Zhong Tian LLP as independent auditor of the Company (the “</w:t>
      </w:r>
      <w:r>
        <w:rPr>
          <w:rFonts w:ascii="Times New Roman" w:hAnsi="Times New Roman"/>
          <w:b/>
          <w:color w:val="000000"/>
          <w:sz w:val="20"/>
        </w:rPr>
        <w:t>Independent</w:t>
      </w:r>
      <w:r>
        <w:rPr>
          <w:color w:val="000000"/>
        </w:rPr>
        <w:t xml:space="preserve"> </w:t>
      </w:r>
      <w:r>
        <w:rPr>
          <w:rFonts w:ascii="Times New Roman" w:hAnsi="Times New Roman"/>
          <w:b/>
          <w:color w:val="000000"/>
          <w:sz w:val="20"/>
        </w:rPr>
        <w:t>Auditor</w:t>
      </w:r>
      <w:r>
        <w:rPr>
          <w:color w:val="000000"/>
        </w:rPr>
        <w:t>”</w:t>
      </w:r>
      <w:r>
        <w:rPr>
          <w:rFonts w:ascii="Times New Roman" w:hAnsi="Times New Roman"/>
          <w:color w:val="000000"/>
          <w:sz w:val="20"/>
        </w:rPr>
        <w:t>) for the fiscal year ending December 31, 2025.</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0"/>
        </w:rPr>
      </w:pPr>
      <w:r>
        <w:rPr>
          <w:rFonts w:ascii="Times New Roman" w:hAnsi="Times New Roman"/>
          <w:color w:val="000000"/>
          <w:sz w:val="20"/>
        </w:rPr>
        <w:t>Proposal No. 3: To authorize the audit committee of the board of directors to fix the remuneration of the Independent Auditor.</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20"/>
        </w:rPr>
      </w:pPr>
      <w:r>
        <w:rPr>
          <w:rFonts w:ascii="Times New Roman" w:hAnsi="Times New Roman"/>
          <w:color w:val="000000"/>
          <w:sz w:val="20"/>
        </w:rPr>
        <w:t>Proposal No. 4: To re-elect Mr. Geng Xiao, who was appointed by the board of directors to fill a vacancy on the board on September 23, 2025, as a director of the Company.</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20"/>
        </w:rPr>
      </w:pPr>
      <w:r>
        <w:rPr>
          <w:rFonts w:ascii="Times New Roman" w:hAnsi="Times New Roman"/>
          <w:color w:val="000000"/>
          <w:sz w:val="20"/>
        </w:rPr>
        <w:t>Proposal No. 5: To re-elect Mr. Qi Li, who will retire by rotation pursuant to article 87(1) of the Company’s Articles of Association, as director of the Company.</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20"/>
        </w:rPr>
      </w:pPr>
      <w:r>
        <w:rPr>
          <w:rFonts w:ascii="Times New Roman" w:hAnsi="Times New Roman"/>
          <w:color w:val="000000"/>
          <w:sz w:val="20"/>
        </w:rPr>
        <w:t>Proposal No. 6: To authorize each of the directors and officers of the Company to take any and every action that might be necessary to effect the foregoing resolutions as such director or officer, in his or her absolute discretion, thinks 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(Terms used but not defined in this Notice shall have the same meaning as defined in the Proxy Statement attached)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to consider and transact such other business as may properly come before the AGM or any adjournment or adjournments thereof.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Board of Directors of the Company has fixed the close of business on October 30, 2025 as the record date (the “</w:t>
      </w:r>
      <w:r>
        <w:rPr>
          <w:rFonts w:ascii="Times New Roman" w:hAnsi="Times New Roman"/>
          <w:b/>
          <w:color w:val="000000"/>
          <w:sz w:val="20"/>
        </w:rPr>
        <w:t>Record Date</w:t>
      </w:r>
      <w:r>
        <w:rPr>
          <w:rFonts w:ascii="Times New Roman" w:hAnsi="Times New Roman"/>
          <w:color w:val="000000"/>
          <w:sz w:val="20"/>
        </w:rPr>
        <w:t>”) for determining the shareholders entitled to receive notice of and to vote at the AGM or any adjourned or postponed meeting thereof. Holders of the Company’s American depositary shares (“</w:t>
      </w:r>
      <w:r>
        <w:rPr>
          <w:rFonts w:ascii="Times New Roman" w:hAnsi="Times New Roman"/>
          <w:b/>
          <w:color w:val="000000"/>
          <w:sz w:val="20"/>
        </w:rPr>
        <w:t>ADSs</w:t>
      </w:r>
      <w:r>
        <w:rPr>
          <w:rFonts w:ascii="Times New Roman" w:hAnsi="Times New Roman"/>
          <w:color w:val="000000"/>
          <w:sz w:val="20"/>
        </w:rPr>
        <w:t xml:space="preserve">”) who wish to exercise their voting rights for the underlying shares must act through JPMorgan Chase Bank, N.A., the depositary of the Company’s ADS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Please refer to the Proxy Form, which is attached to and made a part of this notice. The Proxy Statement is also available for viewing on the Investor Relations section of our website at http://ir.ifeng.com. Holders of record of the Company’s ordinary shares at the close of business on the Record Date are entitled to vote at the AGM and any adjourned or postponed meeting thereof.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Holders of record of the Company’s ordinary shares as of the Record Date are cordially invited to attend the AGM in person. Your vote is important. If you cannot attend the AGM in person, you are urged to complete, sign, date and return the accompanying proxy form as promptly as possible. We must receive the proxy form no later than 48 hours before the time of the AGM to ensure your representation at such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Shareholders may obtain a copy of the Company’s 2024 annual report, free of charge, from the Investor Relations section of the Company’s website at http://ir.ifeng.com/, or by contacting Phoenix New Media Limited at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Floor 25, Tower B, POSCO Center, Hongtai East Street, Wangjing, Chaoyang District, Beijing 100102, People’s Republic of China, attention: Muzi Guo, telephone: +86 (10) 6067-5000, email: investorrelations@ifeng.com.</w:t>
      </w:r>
    </w:p>
    <w:p>
      <w:pPr>
        <w:pStyle w:val="TextBody"/>
        <w:bidi w:val="0"/>
        <w:jc w:val="left"/>
        <w:rPr/>
      </w:pPr>
      <w:r>
        <w:rPr/>
        <w:t> </w:t>
      </w:r>
    </w:p>
    <w:tbl>
      <w:tblPr>
        <w:tblW w:w="2649" w:type="dxa"/>
        <w:jc w:val="left"/>
        <w:tblInd w:w="0" w:type="dxa"/>
        <w:tblLayout w:type="fixed"/>
        <w:tblCellMar>
          <w:top w:w="28" w:type="dxa"/>
          <w:left w:w="28" w:type="dxa"/>
          <w:bottom w:w="28" w:type="dxa"/>
          <w:right w:w="28" w:type="dxa"/>
        </w:tblCellMar>
      </w:tblPr>
      <w:tblGrid>
        <w:gridCol w:w="124"/>
        <w:gridCol w:w="109"/>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By Order of the Board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 Yusheng Sun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Yusheng Sun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Executive Officer and</w:t>
            </w:r>
          </w:p>
          <w:p>
            <w:pPr>
              <w:pStyle w:val="TableContents"/>
              <w:bidi w:val="0"/>
              <w:spacing w:before="0" w:after="283"/>
              <w:jc w:val="center"/>
              <w:rPr>
                <w:rFonts w:ascii="Times New Roman" w:hAnsi="Times New Roman"/>
                <w:sz w:val="22"/>
              </w:rPr>
            </w:pPr>
            <w:r>
              <w:rPr>
                <w:rFonts w:ascii="Times New Roman" w:hAnsi="Times New Roman"/>
                <w:i/>
                <w:color w:val="000000"/>
                <w:sz w:val="20"/>
              </w:rPr>
              <w:t>Chairman</w:t>
            </w:r>
            <w:r>
              <w:rPr>
                <w:rFonts w:ascii="Times New Roman" w:hAnsi="Times New Roman"/>
                <w:color w:val="000000"/>
                <w:sz w:val="22"/>
              </w:rPr>
              <w:t xml:space="preserve">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Beijing, China</w:t>
      </w:r>
    </w:p>
    <w:p>
      <w:pPr>
        <w:pStyle w:val="TextBody"/>
        <w:bidi w:val="0"/>
        <w:jc w:val="left"/>
        <w:rPr>
          <w:rFonts w:ascii="Times New Roman" w:hAnsi="Times New Roman"/>
          <w:color w:val="000000"/>
          <w:sz w:val="20"/>
        </w:rPr>
      </w:pPr>
      <w:r>
        <w:rPr>
          <w:rFonts w:ascii="Times New Roman" w:hAnsi="Times New Roman"/>
          <w:color w:val="000000"/>
          <w:sz w:val="20"/>
        </w:rPr>
        <w:t>October 30, 2025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 w:name="feng-ex99_3.htm"/>
      <w:bookmarkStart w:id="7" w:name="ksfengex99_3"/>
      <w:bookmarkEnd w:id="6"/>
      <w:bookmarkEnd w:id="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99.3</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Floor 25, Tower B, POSCO Center</w:t>
      </w:r>
    </w:p>
    <w:p>
      <w:pPr>
        <w:pStyle w:val="TextBody"/>
        <w:bidi w:val="0"/>
        <w:jc w:val="center"/>
        <w:rPr>
          <w:rFonts w:ascii="Times New Roman" w:hAnsi="Times New Roman"/>
          <w:color w:val="000000"/>
          <w:sz w:val="20"/>
        </w:rPr>
      </w:pPr>
      <w:r>
        <w:rPr>
          <w:rFonts w:ascii="Times New Roman" w:hAnsi="Times New Roman"/>
          <w:color w:val="000000"/>
          <w:sz w:val="20"/>
        </w:rPr>
        <w:t>Hongtai East Street</w:t>
      </w:r>
    </w:p>
    <w:p>
      <w:pPr>
        <w:pStyle w:val="TextBody"/>
        <w:bidi w:val="0"/>
        <w:jc w:val="center"/>
        <w:rPr>
          <w:rFonts w:ascii="Times New Roman" w:hAnsi="Times New Roman"/>
          <w:color w:val="000000"/>
          <w:sz w:val="20"/>
        </w:rPr>
      </w:pPr>
      <w:r>
        <w:rPr>
          <w:rFonts w:ascii="Times New Roman" w:hAnsi="Times New Roman"/>
          <w:color w:val="000000"/>
          <w:sz w:val="20"/>
        </w:rPr>
        <w:t>Wangjing, Chaoyang District</w:t>
      </w:r>
    </w:p>
    <w:p>
      <w:pPr>
        <w:pStyle w:val="TextBody"/>
        <w:bidi w:val="0"/>
        <w:jc w:val="center"/>
        <w:rPr>
          <w:rFonts w:ascii="Times New Roman" w:hAnsi="Times New Roman"/>
          <w:color w:val="000000"/>
          <w:sz w:val="20"/>
        </w:rPr>
      </w:pPr>
      <w:r>
        <w:rPr>
          <w:rFonts w:ascii="Times New Roman" w:hAnsi="Times New Roman"/>
          <w:color w:val="000000"/>
          <w:sz w:val="20"/>
        </w:rPr>
        <w:t>Beijing 100102</w:t>
      </w:r>
    </w:p>
    <w:p>
      <w:pPr>
        <w:pStyle w:val="TextBody"/>
        <w:bidi w:val="0"/>
        <w:jc w:val="center"/>
        <w:rPr>
          <w:rFonts w:ascii="Times New Roman" w:hAnsi="Times New Roman"/>
          <w:color w:val="000000"/>
          <w:sz w:val="20"/>
        </w:rPr>
      </w:pPr>
      <w:r>
        <w:rPr>
          <w:rFonts w:ascii="Times New Roman" w:hAnsi="Times New Roman"/>
          <w:color w:val="000000"/>
          <w:sz w:val="20"/>
        </w:rPr>
        <w:t>People’s Republic of China</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PROXY STATEMENT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board of directors of Phoenix New Media Limited (the “</w:t>
      </w:r>
      <w:r>
        <w:rPr>
          <w:rFonts w:ascii="Times New Roman" w:hAnsi="Times New Roman"/>
          <w:b/>
          <w:color w:val="000000"/>
          <w:sz w:val="20"/>
        </w:rPr>
        <w:t>Company</w:t>
      </w:r>
      <w:r>
        <w:rPr>
          <w:rFonts w:ascii="Times New Roman" w:hAnsi="Times New Roman"/>
          <w:color w:val="000000"/>
          <w:sz w:val="20"/>
        </w:rPr>
        <w:t>”) is soliciting proxies for the annual general meeting of shareholders of the Company to be held on December 4, 2025 at 2:00 p.m. Beijing time (the “</w:t>
      </w:r>
      <w:r>
        <w:rPr>
          <w:rFonts w:ascii="Times New Roman" w:hAnsi="Times New Roman"/>
          <w:b/>
          <w:color w:val="000000"/>
          <w:sz w:val="20"/>
        </w:rPr>
        <w:t>AGM</w:t>
      </w:r>
      <w:r>
        <w:rPr>
          <w:rFonts w:ascii="Times New Roman" w:hAnsi="Times New Roman"/>
          <w:color w:val="000000"/>
          <w:sz w:val="20"/>
        </w:rPr>
        <w:t>”). The AGM will be held at Floor 25, Tower B, POSCO Center, Hongtai East Street, Wangjing, Chaoyang District, Beijing 100102, People’s Republic of China.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Proxy Statement can be accessed, free of charge, on the Investor Relations section of the Company’s website at http://ir.ifeng.com from October 30, 2025, and the Proxy Form will first be mailed to holders of ordinary shares of the Company on or about October 31, 2025. </w:t>
      </w:r>
    </w:p>
    <w:p>
      <w:pPr>
        <w:pStyle w:val="TextBody"/>
        <w:bidi w:val="0"/>
        <w:jc w:val="left"/>
        <w:rPr/>
      </w:pPr>
      <w:bookmarkStart w:id="8" w:name="ole_link1"/>
      <w:bookmarkEnd w:id="8"/>
      <w:r>
        <w:rPr/>
        <w:t> </w:t>
      </w:r>
    </w:p>
    <w:p>
      <w:pPr>
        <w:pStyle w:val="TextBody"/>
        <w:bidi w:val="0"/>
        <w:jc w:val="left"/>
        <w:rPr>
          <w:rFonts w:ascii="Times New Roman" w:hAnsi="Times New Roman"/>
          <w:b/>
          <w:color w:val="000000"/>
          <w:sz w:val="20"/>
        </w:rPr>
      </w:pPr>
      <w:r>
        <w:rPr>
          <w:rFonts w:ascii="Times New Roman" w:hAnsi="Times New Roman"/>
          <w:b/>
          <w:color w:val="000000"/>
          <w:sz w:val="20"/>
        </w:rPr>
        <w:t>Revocability of Proxies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proxy given pursuant to this solicitation may be revoked by the person signing such proxy by attending the AGM and voting in person.</w:t>
      </w:r>
    </w:p>
    <w:p>
      <w:pPr>
        <w:pStyle w:val="TextBody"/>
        <w:bidi w:val="0"/>
        <w:jc w:val="left"/>
        <w:rPr/>
      </w:pPr>
      <w:r>
        <w:rPr/>
        <w:t> </w:t>
      </w:r>
    </w:p>
    <w:p>
      <w:pPr>
        <w:pStyle w:val="TextBody"/>
        <w:bidi w:val="0"/>
        <w:jc w:val="left"/>
        <w:rPr>
          <w:rFonts w:ascii="Times New Roman" w:hAnsi="Times New Roman"/>
          <w:sz w:val="20"/>
        </w:rPr>
      </w:pPr>
      <w:bookmarkStart w:id="9" w:name="ole_link3"/>
      <w:bookmarkEnd w:id="9"/>
      <w:r>
        <w:rPr>
          <w:rFonts w:ascii="Times New Roman" w:hAnsi="Times New Roman"/>
          <w:b/>
          <w:color w:val="000000"/>
          <w:sz w:val="20"/>
        </w:rPr>
        <w:t>Record Date, Share Ownership and Quorum</w:t>
      </w:r>
      <w:r>
        <w:rPr>
          <w:rFonts w:ascii="Times New Roman" w:hAnsi="Times New Roman"/>
          <w:color w:val="000000"/>
          <w:sz w:val="20"/>
        </w:rPr>
        <w:t xml:space="preserve"> </w:t>
      </w:r>
      <w:bookmarkStart w:id="10" w:name="ole_link2"/>
      <w:bookmarkEnd w:id="10"/>
    </w:p>
    <w:p>
      <w:pPr>
        <w:pStyle w:val="TextBody"/>
        <w:bidi w:val="0"/>
        <w:jc w:val="left"/>
        <w:rPr/>
      </w:pPr>
      <w:r>
        <w:rPr/>
        <w:t> </w:t>
      </w:r>
    </w:p>
    <w:p>
      <w:pPr>
        <w:pStyle w:val="TextBody"/>
        <w:bidi w:val="0"/>
        <w:jc w:val="left"/>
        <w:rPr>
          <w:rFonts w:ascii="Times New Roman" w:hAnsi="Times New Roman"/>
          <w:sz w:val="20"/>
        </w:rPr>
      </w:pPr>
      <w:bookmarkStart w:id="11" w:name="ole_link4"/>
      <w:bookmarkEnd w:id="11"/>
      <w:r>
        <w:rPr>
          <w:rFonts w:ascii="Times New Roman" w:hAnsi="Times New Roman"/>
          <w:color w:val="000000"/>
          <w:sz w:val="20"/>
        </w:rPr>
        <w:t>Only shareholders of record at the close of business on October 30, 2025 (the “</w:t>
      </w:r>
      <w:r>
        <w:rPr>
          <w:rFonts w:ascii="Times New Roman" w:hAnsi="Times New Roman"/>
          <w:b/>
          <w:color w:val="000000"/>
          <w:sz w:val="20"/>
        </w:rPr>
        <w:t>Record Date</w:t>
      </w:r>
      <w:r>
        <w:rPr>
          <w:rFonts w:ascii="Times New Roman" w:hAnsi="Times New Roman"/>
          <w:color w:val="000000"/>
          <w:sz w:val="20"/>
        </w:rPr>
        <w:t>”) are entitled to vote at the AGM. Our class A ordinary shares, par value US$0.01 per share (“</w:t>
      </w:r>
      <w:r>
        <w:rPr>
          <w:rFonts w:ascii="Times New Roman" w:hAnsi="Times New Roman"/>
          <w:b/>
          <w:color w:val="000000"/>
          <w:sz w:val="20"/>
        </w:rPr>
        <w:t>Class A Ordinary Shares</w:t>
      </w:r>
      <w:r>
        <w:rPr>
          <w:rFonts w:ascii="Times New Roman" w:hAnsi="Times New Roman"/>
          <w:color w:val="000000"/>
          <w:sz w:val="20"/>
        </w:rPr>
        <w:t>”), that underlie American depositary shares (“</w:t>
      </w:r>
      <w:r>
        <w:rPr>
          <w:rFonts w:ascii="Times New Roman" w:hAnsi="Times New Roman"/>
          <w:b/>
          <w:color w:val="000000"/>
          <w:sz w:val="20"/>
        </w:rPr>
        <w:t>ADSs</w:t>
      </w:r>
      <w:r>
        <w:rPr>
          <w:rFonts w:ascii="Times New Roman" w:hAnsi="Times New Roman"/>
          <w:color w:val="000000"/>
          <w:sz w:val="20"/>
        </w:rPr>
        <w:t>”) are included for purposes of this determination. As of October 30, 2025, 577,453,538 of ordinary shares of the Company, par value US$0.01 per share (the “</w:t>
      </w:r>
      <w:r>
        <w:rPr>
          <w:rFonts w:ascii="Times New Roman" w:hAnsi="Times New Roman"/>
          <w:b/>
          <w:color w:val="000000"/>
          <w:sz w:val="20"/>
        </w:rPr>
        <w:t>Ordinary Shares</w:t>
      </w:r>
      <w:r>
        <w:rPr>
          <w:rFonts w:ascii="Times New Roman" w:hAnsi="Times New Roman"/>
          <w:color w:val="000000"/>
          <w:sz w:val="20"/>
        </w:rPr>
        <w:t>”), were issued, including 317,325,360 Class B Ordinary Shares and 260,128,178 Class A Ordinary Shares. As of October 30, 2025, approximately 257,630,680 Class A Ordinary Shares were represented by ADSs held by JPMorgan Chase Bank, N.A. Two shareholders entitled to vote and present in person or by proxy or (in the case of a shareholder being a corporation) by its duly authorized representative representing not less than one-third in nominal value of the total issued voting shares of the Company throughout the AGM will constitute a quorum for all purposes.</w:t>
      </w:r>
    </w:p>
    <w:p>
      <w:pPr>
        <w:pStyle w:val="TextBody"/>
        <w:bidi w:val="0"/>
        <w:jc w:val="left"/>
        <w:rPr>
          <w:rFonts w:ascii="Times New Roman" w:hAnsi="Times New Roman"/>
          <w:sz w:val="20"/>
        </w:rPr>
      </w:pPr>
      <w:r>
        <w:rPr>
          <w:rFonts w:ascii="Times New Roman" w:hAnsi="Times New Roman"/>
          <w:b/>
          <w:color w:val="000000"/>
          <w:sz w:val="20"/>
        </w:rPr>
        <w:t>Voting and Solicitation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the Class A Ordinary Shares in issue on the Record Date is entitled to one vote, and each of the Class B Ordinary Shares in issue on the Record Date is entitled to 1.3 votes. A resolution put to the vote at the AGM will be decided on by a show of hands unless (before or on the declaration of the result of the show of hands or on the withdrawal of any other demand for a poll) a poll is demanded by (i) the chairman of the AGM, or (ii) any one shareholder present in person or in the case of a shareholder being a corporation by its duly authorized representative or by proxy for the time being entitled to vote at the AGM.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Copies of solicitation materials will be furnished to all holders of Ordinary Shares of the Company, including banks, brokerage houses, fiduciaries and custodians holding in their names the Ordinary Shares or ADSs beneficially owned by others to forward to those beneficial owners.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Voting by Holders of Ordinary Shares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proxies are properly dated, executed and returned by holders of Ordinary Shares, the Ordinary Shares they represent will be voted at the AGM, or at any adjournment thereof, in accordance with the instructions of the shareholder. If no specific instructions are given by such holders, the proxy holder will vote or abstain at his/her discretion, as he/she will on any other matters that may properly come before the AGM, or at any adjournment thereof. Abstentions by holders of Ordinary Shares are included in the determination of the number of Ordinary Shares present and voting but are not counted as votes for or against a proposal.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by Holders of ADSs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requested JPMorgan Chase Bank, N.A., as depositary of the ADSs, to mail to all owners of ADSs this proxy statement, the accompanying notice of annual general meeting and an ADR Voting Instruction Card. Upon the timely receipt from an owner of record of ADSs of written voting instructions in the manner specified, JPMorgan Chase Bank, N.A. will endeavor, to the extent practicable and legally permissible, to vote or cause to be voted the number of Class A Ordinary Shares underlying the ADSs, evidenced by American Depositary Receipts related to those ADSs, in accordance with such voting instructions. Under the terms of the deposit agreement, JPMorgan Chase Bank, N.A. will not vote or attempt to exercise the right to vote other than in accordance with such voting instructions or such deemed instructions as further described two paragraphs below. As the holder of record for all the Class A Ordinary Shares represented by the ADSs, only JPMorgan Chase Bank, N.A. may vote those Class A Ordinary Shares at the AGM.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is no guarantee that holders of the ADSs or any such holder in particular will receive the notice described above with sufficient time to enable such holder to return any voting instructions to JPMorgan Chase Bank, N.A. in a timely manner, in which case the Class A Ordinary Shares underlying your ADSs may not be voted in accordance with your wishes.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no ADR Voting Instruction Card is received by JPMorgan Chase Bank, N.A. from a holder of ADSs by 9:00 a.m. (New York City time), November 28, 2025, such holder shall be deemed, and JPMorgan Chase Bank, N.A. will deem such holder of ADSs to have instructed it to give a discretionary proxy to the chairman of the AGM to vote the Class A Ordinary Shares represented by your ADSs in favor of each proposal recommended by our board of directors and against each proposal opposed by our board of directors, unless the Company has informed JPMorgan Chase Bank, N.A. that such proxy should not be given, in accordance with the terms of the deposit agreement.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1:</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RECEPTION OF THE AUDITED CONSOLIDATED FINANCIAL STATEMENTS OF THE COMPANY FOR THE FISCAL YEAR ENDED DECEMBER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proposes to receive the audited consolidated financial statements of the Company for the fiscal year ended December 31,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aps/>
          <w:color w:val="000000"/>
          <w:sz w:val="20"/>
        </w:rPr>
        <w:t xml:space="preserve">The board of directors recommends a vote “FOR” the </w:t>
      </w:r>
      <w:r>
        <w:rPr>
          <w:rFonts w:ascii="Times New Roman" w:hAnsi="Times New Roman"/>
          <w:color w:val="000000"/>
          <w:sz w:val="20"/>
        </w:rPr>
        <w:t>RECEPTION OF THE AUDITED CONSOLIDATED FINANCIAL STATEMENTS OF THE COMPANY FOR THE FISCAL YEAR ENDED DECEMBER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2:</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APPROVAL OF THE RE-APPOINTMENT OF PRICEWATERHOUSECOOPERS ZHONG TIAN LLP AS INDEPENDENT AUDITOR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audit committee of the board of directors proposes to approve the re-appointment of PricewaterhouseCoopers Zhong Tian LLP as independent auditor of the Company (the “</w:t>
      </w:r>
      <w:r>
        <w:rPr>
          <w:rFonts w:ascii="Times New Roman" w:hAnsi="Times New Roman"/>
          <w:b/>
          <w:color w:val="000000"/>
          <w:sz w:val="20"/>
        </w:rPr>
        <w:t>Independent Auditor</w:t>
      </w:r>
      <w:r>
        <w:rPr>
          <w:rFonts w:ascii="Times New Roman" w:hAnsi="Times New Roman"/>
          <w:color w:val="000000"/>
          <w:sz w:val="20"/>
        </w:rPr>
        <w:t>”) for the fiscal year ending December 31, 2025.</w:t>
      </w:r>
    </w:p>
    <w:p>
      <w:pPr>
        <w:pStyle w:val="TextBody"/>
        <w:bidi w:val="0"/>
        <w:jc w:val="left"/>
        <w:rPr/>
      </w:pPr>
      <w:r>
        <w:rPr/>
        <w:t> </w:t>
      </w:r>
    </w:p>
    <w:p>
      <w:pPr>
        <w:pStyle w:val="TextBody"/>
        <w:bidi w:val="0"/>
        <w:jc w:val="left"/>
        <w:rPr>
          <w:rFonts w:ascii="Times New Roman" w:hAnsi="Times New Roman"/>
          <w:caps/>
          <w:color w:val="000000"/>
          <w:sz w:val="20"/>
        </w:rPr>
      </w:pPr>
      <w:r>
        <w:rPr>
          <w:rFonts w:ascii="Times New Roman" w:hAnsi="Times New Roman"/>
          <w:caps/>
          <w:color w:val="000000"/>
          <w:sz w:val="20"/>
        </w:rPr>
        <w:t>The board of directors recommends a vote “FOR” the APPROVAL OF the re-appointment of PRICEWATERHOUSECOOPERS ZHONG TIAN LLP as the independent auditor for the fiscal year ending december 31, 2025.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3:</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AUTHORIZATION OF THE AUDIT COMMITTEE OF THE BOARD OF DIRECTORS TO FIX THE REMUNERATION OF THE INDEPENDENT AUDITOR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proposes to authorize the audit committee of the board of directors to fix the remuneration of the Independent Auditor.</w:t>
      </w:r>
    </w:p>
    <w:p>
      <w:pPr>
        <w:pStyle w:val="TextBody"/>
        <w:bidi w:val="0"/>
        <w:jc w:val="left"/>
        <w:rPr>
          <w:rFonts w:ascii="Times New Roman" w:hAnsi="Times New Roman"/>
          <w:caps/>
          <w:color w:val="000000"/>
          <w:sz w:val="20"/>
        </w:rPr>
      </w:pPr>
      <w:r>
        <w:rPr>
          <w:rFonts w:ascii="Times New Roman" w:hAnsi="Times New Roman"/>
          <w:caps/>
          <w:color w:val="000000"/>
          <w:sz w:val="20"/>
        </w:rPr>
        <w:t>The board of directors recommends a vote “FOR” the authorization of the AUDIT COMMITTEE OF THE board OF DIRECTORS to fix the remuneration of the independent auditor.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4:</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RE-ELECTION OF MR. GENG XIAO AS DIRECTOR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article 86(2) of the Company’s Articles of Association, the board of directors shall have the power to appoint any person as a director to fill a casual vacancy on the board, and any director so appointed by the board of directors shall hold office only until the next following annual general meeting of the Company and shall then be eligible for re-election. The board of directors appointed Mr. Geng Xiao as a director of the Company to fill a vacancy on the board recreated by the resignation of Mr. Carson Wen on September 23, 2025. Mr. Geng Xiao will hold office only until this AGM and will then be eligible for re-election. Mr. Geng Xiao offers himself for re-election.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proposes to re-elect Mr. Geng Xiao as director of the Company.</w:t>
      </w:r>
    </w:p>
    <w:p>
      <w:pPr>
        <w:pStyle w:val="TextBody"/>
        <w:bidi w:val="0"/>
        <w:jc w:val="left"/>
        <w:rPr>
          <w:rFonts w:ascii="Times New Roman" w:hAnsi="Times New Roman"/>
          <w:caps/>
          <w:color w:val="000000"/>
          <w:sz w:val="20"/>
        </w:rPr>
      </w:pPr>
      <w:r>
        <w:rPr>
          <w:rFonts w:ascii="Times New Roman" w:hAnsi="Times New Roman"/>
          <w:caps/>
          <w:color w:val="000000"/>
          <w:sz w:val="20"/>
        </w:rPr>
        <w:t>The board of directors recommends a vote “FOR” the ELECTION OF MR. Geng xiao AS DIRECTOR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 xml:space="preserve">RE-ELECTION OF MR. </w:t>
      </w:r>
      <w:r>
        <w:rPr>
          <w:rFonts w:ascii="Times New Roman" w:hAnsi="Times New Roman"/>
          <w:b/>
          <w:caps/>
          <w:color w:val="000000"/>
          <w:sz w:val="20"/>
        </w:rPr>
        <w:t xml:space="preserve">Qi Li </w:t>
      </w:r>
      <w:r>
        <w:rPr>
          <w:rFonts w:ascii="Times New Roman" w:hAnsi="Times New Roman"/>
          <w:b/>
          <w:color w:val="000000"/>
          <w:sz w:val="20"/>
        </w:rPr>
        <w:t>AS DIRECTOR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article 87(1) of the Company’s Articles of Association, at each annual general meeting one-third of the directors of the Company for the time being (or, if their number is not a multiple of three, the number nearest to but not greater than one-third) shall retire from office by rotation, provided that the chairman of our board of directors and/or the managing director shall not, while they hold such office, be subject to retirement by rotation or be taken into account in determining the number of directors of the Company to retire in each year. In addition to any director who wishes to retire, if any, the director(s) to retire shall be those who have been longest in office since their last re-election or appointment and such director(s) shall be eligible for re-election.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date of the AGM, the Company has six directors, including a chairman and a managing director. Mr. Qi Li, being the director who has been longest in office since his last re-election, will retire at the AGM and offers himself for re-election.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proposes to re-elect Mr. Qi Li as director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aps/>
          <w:color w:val="000000"/>
          <w:sz w:val="20"/>
        </w:rPr>
        <w:t xml:space="preserve">The board of directors recommends a vote “FOR” the </w:t>
      </w:r>
      <w:r>
        <w:rPr>
          <w:rFonts w:ascii="Times New Roman" w:hAnsi="Times New Roman"/>
          <w:color w:val="000000"/>
          <w:sz w:val="20"/>
        </w:rPr>
        <w:t>RE-ELECTION OF MR. QI LI AS DIRECTOR OF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6:</w:t>
      </w:r>
    </w:p>
    <w:p>
      <w:pPr>
        <w:pStyle w:val="TextBody"/>
        <w:bidi w:val="0"/>
        <w:jc w:val="left"/>
        <w:rPr>
          <w:rFonts w:ascii="Times New Roman" w:hAnsi="Times New Roman"/>
          <w:b/>
          <w:color w:val="000000"/>
          <w:sz w:val="20"/>
        </w:rPr>
      </w:pPr>
      <w:r>
        <w:rPr>
          <w:rFonts w:ascii="Times New Roman" w:hAnsi="Times New Roman"/>
          <w:b/>
          <w:color w:val="000000"/>
          <w:sz w:val="20"/>
        </w:rPr>
        <w:t>AUTHORIZATION OF EACH OF THE DIRECTORS AND OFFICERS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proposes to authorize each of the directors and officers of the Company to take any and every action that might be necessary to effect the foregoing resolutions as such director or officer, in his or her absolute discretion, thinks fit.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aps/>
          <w:color w:val="000000"/>
          <w:sz w:val="20"/>
        </w:rPr>
      </w:pPr>
      <w:r>
        <w:rPr>
          <w:rFonts w:ascii="Times New Roman" w:hAnsi="Times New Roman"/>
          <w:caps/>
          <w:color w:val="000000"/>
          <w:sz w:val="20"/>
        </w:rPr>
        <w:t>The board of directors recommends a vote “FOR” the authorization of EACH OF THE DIRECTORS AND OFFICERS OF THE COMPANY TO TAKE ANY AND EVERY ACTION THAT MIGHT BE NECESSARY TO EFFECT THE FOREGOING RESOLUTIONS AS SUCH DIRECTOR OR OFFICER, IN HIS OR HER ABSOLUTE DISCRETION, THINKS FIT.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know of no other matters to be submitted to the AGM. If any other matters properly come before the AGM, it is the intention of the persons named in the enclosed form of proxy to vote the shares they represent as the board of directors may recommend.</w:t>
      </w:r>
    </w:p>
    <w:p>
      <w:pPr>
        <w:pStyle w:val="TextBody"/>
        <w:bidi w:val="0"/>
        <w:jc w:val="left"/>
        <w:rPr/>
      </w:pPr>
      <w:r>
        <w:rPr/>
        <w:t> </w:t>
      </w:r>
    </w:p>
    <w:tbl>
      <w:tblPr>
        <w:tblW w:w="3653" w:type="dxa"/>
        <w:jc w:val="left"/>
        <w:tblInd w:w="0" w:type="dxa"/>
        <w:tblLayout w:type="fixed"/>
        <w:tblCellMar>
          <w:top w:w="28" w:type="dxa"/>
          <w:left w:w="28" w:type="dxa"/>
          <w:bottom w:w="28" w:type="dxa"/>
          <w:right w:w="28" w:type="dxa"/>
        </w:tblCellMar>
      </w:tblPr>
      <w:tblGrid>
        <w:gridCol w:w="161"/>
        <w:gridCol w:w="146"/>
        <w:gridCol w:w="33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  </w:t>
            </w:r>
            <w:r>
              <w:rPr>
                <w:rFonts w:ascii="Times New Roman" w:hAnsi="Times New Roman"/>
                <w:color w:val="000000"/>
                <w:sz w:val="20"/>
              </w:rPr>
              <w:t>/s/ Yusheng Sun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Yusheng Sun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i/>
                <w:color w:val="000000"/>
                <w:sz w:val="20"/>
              </w:rPr>
              <w:t>Chief Executive Officer and Chairman</w:t>
            </w:r>
            <w:r>
              <w:rPr>
                <w:rFonts w:ascii="Times New Roman" w:hAnsi="Times New Roman"/>
                <w:color w:val="000000"/>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30, 2025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2" w:name="feng-ex99_4.htm"/>
      <w:bookmarkStart w:id="13" w:name="ksfengex99_4"/>
      <w:bookmarkEnd w:id="12"/>
      <w:bookmarkEnd w:id="1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rFonts w:ascii="Times New Roman" w:hAnsi="Times New Roman"/>
          <w:sz w:val="20"/>
        </w:rPr>
      </w:pPr>
      <w:r>
        <w:rPr>
          <w:rFonts w:ascii="Times New Roman" w:hAnsi="Times New Roman"/>
          <w:color w:val="000000"/>
          <w:sz w:val="20"/>
        </w:rPr>
        <w:t>(the “</w:t>
      </w:r>
      <w:r>
        <w:rPr>
          <w:rFonts w:ascii="Times New Roman" w:hAnsi="Times New Roman"/>
          <w:b/>
          <w:color w:val="000000"/>
          <w:sz w:val="20"/>
        </w:rPr>
        <w:t>Company</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P R O X 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I/We..of., the holder of . class  ordinary shares</w:t>
      </w:r>
      <w:r>
        <w:rPr>
          <w:rFonts w:ascii="Times New Roman" w:hAnsi="Times New Roman"/>
          <w:color w:val="000000"/>
          <w:sz w:val="13"/>
        </w:rPr>
        <w:t>1</w:t>
      </w:r>
      <w:r>
        <w:rPr>
          <w:rFonts w:ascii="Times New Roman" w:hAnsi="Times New Roman"/>
          <w:color w:val="000000"/>
          <w:sz w:val="20"/>
        </w:rPr>
        <w:t xml:space="preserve"> in the Company, hereby appoint the Chairman of the Annual General Meeting</w:t>
      </w:r>
      <w:r>
        <w:rPr>
          <w:rFonts w:ascii="Times New Roman" w:hAnsi="Times New Roman"/>
          <w:color w:val="000000"/>
          <w:sz w:val="13"/>
        </w:rPr>
        <w:t>2</w:t>
      </w:r>
      <w:r>
        <w:rPr>
          <w:rFonts w:ascii="Times New Roman" w:hAnsi="Times New Roman"/>
          <w:color w:val="000000"/>
          <w:sz w:val="20"/>
        </w:rPr>
        <w:t xml:space="preserve"> or .. of ..... ..as my/our proxy to vote on my/our behalf in respect of all matters and resolutions to be submitted for consideration and approval at the Annual General Meeting of the Company to be held on the 4th day of December 2025, and at any adjournment thereof, and in the event of a poll, to vote for me/us as indicated below, or if no such indication is given, as my/our proxy thinks fit</w:t>
      </w:r>
      <w:r>
        <w:rPr>
          <w:rFonts w:ascii="Times New Roman" w:hAnsi="Times New Roman"/>
          <w:color w:val="000000"/>
          <w:sz w:val="13"/>
        </w:rPr>
        <w:t>3</w:t>
      </w:r>
      <w:r>
        <w:rPr>
          <w:rFonts w:ascii="Times New Roman" w:hAnsi="Times New Roman"/>
          <w:color w:val="000000"/>
          <w:sz w:val="20"/>
        </w:rPr>
        <w: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6"/>
        <w:gridCol w:w="7411"/>
        <w:gridCol w:w="481"/>
        <w:gridCol w:w="931"/>
        <w:gridCol w:w="976"/>
      </w:tblGrid>
      <w:tr>
        <w:trPr/>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74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40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w:t>
            </w:r>
          </w:p>
        </w:tc>
        <w:tc>
          <w:tcPr>
            <w:tcW w:w="74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PROPOSALS</w:t>
            </w:r>
          </w:p>
        </w:tc>
        <w:tc>
          <w:tcPr>
            <w:tcW w:w="4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w:t>
            </w:r>
          </w:p>
        </w:tc>
        <w:tc>
          <w:tcPr>
            <w:tcW w:w="9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AGAINST</w:t>
            </w:r>
          </w:p>
        </w:tc>
        <w:tc>
          <w:tcPr>
            <w:tcW w:w="9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ABSTAIN</w:t>
            </w:r>
          </w:p>
        </w:tc>
      </w:tr>
      <w:tr>
        <w:trPr/>
        <w:tc>
          <w:tcPr>
            <w:tcW w:w="4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1.</w:t>
            </w:r>
          </w:p>
        </w:tc>
        <w:tc>
          <w:tcPr>
            <w:tcW w:w="7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To receive the audited consolidated financial statements of the Company for the fiscal year ended December 31, 2024.</w:t>
            </w:r>
          </w:p>
        </w:tc>
        <w:tc>
          <w:tcPr>
            <w:tcW w:w="4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r>
      <w:tr>
        <w:trPr/>
        <w:tc>
          <w:tcPr>
            <w:tcW w:w="4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2.</w:t>
            </w:r>
          </w:p>
        </w:tc>
        <w:tc>
          <w:tcPr>
            <w:tcW w:w="7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sz w:val="20"/>
              </w:rPr>
            </w:pPr>
            <w:r>
              <w:rPr>
                <w:rFonts w:ascii="Times New Roman" w:hAnsi="Times New Roman"/>
                <w:color w:val="000000"/>
                <w:sz w:val="20"/>
              </w:rPr>
              <w:t>To approve the re-appointment of PricewaterhouseCoopers Zhong Tian LLP as independent auditor of the Company (the “</w:t>
            </w:r>
            <w:r>
              <w:rPr>
                <w:rFonts w:ascii="Times New Roman" w:hAnsi="Times New Roman"/>
                <w:b/>
                <w:color w:val="000000"/>
                <w:sz w:val="20"/>
              </w:rPr>
              <w:t>Independent</w:t>
            </w:r>
            <w:r>
              <w:rPr>
                <w:rFonts w:ascii="Times New Roman" w:hAnsi="Times New Roman"/>
                <w:color w:val="000000"/>
                <w:sz w:val="20"/>
              </w:rPr>
              <w:t xml:space="preserve"> </w:t>
            </w:r>
            <w:r>
              <w:rPr>
                <w:rFonts w:ascii="Times New Roman" w:hAnsi="Times New Roman"/>
                <w:b/>
                <w:color w:val="000000"/>
                <w:sz w:val="20"/>
              </w:rPr>
              <w:t>Auditor</w:t>
            </w:r>
            <w:r>
              <w:rPr>
                <w:rFonts w:ascii="Times New Roman" w:hAnsi="Times New Roman"/>
                <w:color w:val="000000"/>
                <w:sz w:val="20"/>
              </w:rPr>
              <w:t>”) for the fiscal year ending December 31, 2025.</w:t>
            </w:r>
          </w:p>
        </w:tc>
        <w:tc>
          <w:tcPr>
            <w:tcW w:w="4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r>
      <w:tr>
        <w:trPr/>
        <w:tc>
          <w:tcPr>
            <w:tcW w:w="4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3.</w:t>
            </w:r>
          </w:p>
        </w:tc>
        <w:tc>
          <w:tcPr>
            <w:tcW w:w="7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To authorize the audit committee of the board of directors to fix the remuneration of the Independent Auditor.</w:t>
            </w:r>
          </w:p>
        </w:tc>
        <w:tc>
          <w:tcPr>
            <w:tcW w:w="4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r>
      <w:tr>
        <w:trPr/>
        <w:tc>
          <w:tcPr>
            <w:tcW w:w="4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4.</w:t>
            </w:r>
          </w:p>
        </w:tc>
        <w:tc>
          <w:tcPr>
            <w:tcW w:w="7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To re-elect Mr. Geng Xiao, who was appointed by the board of directors to fill a vacancy on the board on September 23, 2025, as a director of the Company.</w:t>
            </w:r>
          </w:p>
        </w:tc>
        <w:tc>
          <w:tcPr>
            <w:tcW w:w="4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r>
      <w:tr>
        <w:trPr/>
        <w:tc>
          <w:tcPr>
            <w:tcW w:w="4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5.</w:t>
            </w:r>
          </w:p>
        </w:tc>
        <w:tc>
          <w:tcPr>
            <w:tcW w:w="7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To re-elect Mr. Qi Li, who will retire by rotation pursuant to article 87(1) of the Company’s Articles of Association, as director of the Company.</w:t>
            </w:r>
          </w:p>
        </w:tc>
        <w:tc>
          <w:tcPr>
            <w:tcW w:w="4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r>
      <w:tr>
        <w:trPr/>
        <w:tc>
          <w:tcPr>
            <w:tcW w:w="40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6.</w:t>
            </w:r>
          </w:p>
        </w:tc>
        <w:tc>
          <w:tcPr>
            <w:tcW w:w="7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0"/>
              </w:rPr>
            </w:pPr>
            <w:r>
              <w:rPr>
                <w:rFonts w:ascii="Times New Roman" w:hAnsi="Times New Roman"/>
                <w:color w:val="000000"/>
                <w:sz w:val="20"/>
              </w:rPr>
              <w:t>To authorize each of the directors and officers of the Company to take any and every action that might be necessary to effect the foregoing resolutions as such director or officer, in his or her absolute discretion, thinks fit.</w:t>
            </w:r>
          </w:p>
        </w:tc>
        <w:tc>
          <w:tcPr>
            <w:tcW w:w="4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c>
          <w:tcPr>
            <w:tcW w:w="9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Please insert the number and class (i.e., Class A or Class B) of ordinary shares registered in your name(s) to which this proxy relates. If no number is inserted, this form of proxy will be deemed to relate to all the shares in the Company registered in your name(s).</w:t>
      </w:r>
    </w:p>
    <w:p>
      <w:pPr>
        <w:pStyle w:val="TextBody"/>
        <w:bidi w:val="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If any proxy other than the Chairman of the Annual General Meeting is preferred, strike out the words “the Chairman of the Annual General Meeting or” and insert the name and address of the proxy desired in the space provided. A shareholder may appoint one or more proxies to attend and vote in his stead. Any alteration made to this form of proxy must be initialled by the person(s) who sign(s) it.</w:t>
      </w:r>
    </w:p>
    <w:p>
      <w:pPr>
        <w:pStyle w:val="TextBody"/>
        <w:bidi w:val="0"/>
        <w:jc w:val="left"/>
        <w:rPr>
          <w:rFonts w:ascii="Times New Roman" w:hAnsi="Times New Roman"/>
          <w:sz w:val="20"/>
        </w:rPr>
      </w:pPr>
      <w:r>
        <w:rPr>
          <w:rFonts w:ascii="Times New Roman" w:hAnsi="Times New Roman"/>
          <w:color w:val="000000"/>
          <w:sz w:val="12"/>
        </w:rPr>
        <w:t>3</w:t>
      </w:r>
      <w:r>
        <w:rPr>
          <w:rFonts w:ascii="Times New Roman" w:hAnsi="Times New Roman"/>
          <w:color w:val="000000"/>
          <w:sz w:val="20"/>
        </w:rPr>
        <w:t xml:space="preserve"> </w:t>
      </w:r>
      <w:r>
        <w:rPr>
          <w:rFonts w:ascii="Times New Roman" w:hAnsi="Times New Roman"/>
          <w:color w:val="000000"/>
          <w:sz w:val="18"/>
        </w:rPr>
        <w:t>IMPORTANT: If you wish to vote for a particular resolution, tick the appropriate box marked “for”. If you wish to vote against a particular resolution, tick the appropriate box marked “against”. If you wish to abstain from voting on a particular resolution, tick the appropriate box marked “abstain”.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Dated , 2025 Signature(s)</w:t>
      </w:r>
      <w:r>
        <w:rPr>
          <w:rFonts w:ascii="Times New Roman" w:hAnsi="Times New Roman"/>
          <w:color w:val="000000"/>
          <w:sz w:val="13"/>
        </w:rPr>
        <w:t>4</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2"/>
        </w:rPr>
        <w:t>4</w:t>
      </w:r>
      <w:r>
        <w:rPr>
          <w:rFonts w:ascii="Times New Roman" w:hAnsi="Times New Roman"/>
          <w:color w:val="000000"/>
          <w:sz w:val="20"/>
        </w:rPr>
        <w:t xml:space="preserve"> </w:t>
      </w:r>
      <w:r>
        <w:rPr>
          <w:rFonts w:ascii="Times New Roman" w:hAnsi="Times New Roman"/>
          <w:color w:val="000000"/>
          <w:sz w:val="18"/>
        </w:rPr>
        <w:t>This form of proxy must be signed by you or your attorney duly authorized in writing or, in the case if the appointer is a corporation, must be either under seal or executed under the hand of an officer or attorney or other person duly authorized to sign the same.</w:t>
      </w:r>
      <w:r>
        <w:rPr>
          <w:rFonts w:ascii="Times New Roman" w:hAnsi="Times New Roman"/>
          <w:color w:val="000000"/>
          <w:sz w:val="20"/>
        </w:rPr>
        <w:t xml:space="preserve"> </w:t>
      </w:r>
      <w:r>
        <w:rPr>
          <w:rFonts w:ascii="Times New Roman" w:hAnsi="Times New Roman"/>
          <w:color w:val="000000"/>
          <w:sz w:val="18"/>
        </w:rPr>
        <w:t>In order to be valid, this form of proxy together with the power of attorney or other authority (if any) under which it is signed or a certified copy thereof, must be deposited at Floor 25, Tower B, POSCO Center, Hongtai East Street, Wangjing, Chaoyang District, Beijing 100102, People’s Republic of China not less than 48 hours before the time fixed for holding the Annual General Meeting or any adjournment thereof.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4" w:name="feng-ex99_5.htm"/>
      <w:bookmarkStart w:id="15" w:name="ksfengex99_5"/>
      <w:bookmarkEnd w:id="14"/>
      <w:bookmarkEnd w:id="15"/>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99.5</w:t>
      </w:r>
    </w:p>
    <w:p>
      <w:pPr>
        <w:pStyle w:val="TextBody"/>
        <w:bidi w:val="0"/>
        <w:jc w:val="left"/>
        <w:rPr>
          <w:rFonts w:ascii="Arial" w:hAnsi="Arial"/>
          <w:color w:val="000000"/>
          <w:sz w:val="14"/>
        </w:rPr>
      </w:pPr>
      <w:r>
        <w:rPr>
          <w:rFonts w:ascii="Arial" w:hAnsi="Arial"/>
          <w:color w:val="000000"/>
          <w:sz w:val="14"/>
        </w:rPr>
        <w:t>JPMorgan Chase Bank, N.A., Depositary</w:t>
      </w:r>
    </w:p>
    <w:p>
      <w:pPr>
        <w:pStyle w:val="TextBody"/>
        <w:bidi w:val="0"/>
        <w:jc w:val="left"/>
        <w:rPr>
          <w:rFonts w:ascii="Arial" w:hAnsi="Arial"/>
          <w:color w:val="000000"/>
          <w:sz w:val="14"/>
        </w:rPr>
      </w:pPr>
      <w:r>
        <w:rPr>
          <w:rFonts w:ascii="Arial" w:hAnsi="Arial"/>
          <w:color w:val="000000"/>
          <w:sz w:val="14"/>
        </w:rPr>
        <w:t>PO Box 64873 Saint Paul MN 55164-0873</w:t>
      </w:r>
    </w:p>
    <w:p>
      <w:pPr>
        <w:pStyle w:val="TextBody"/>
        <w:bidi w:val="0"/>
        <w:jc w:val="left"/>
        <w:rPr/>
      </w:pPr>
      <w:r>
        <w:rPr/>
        <w:t> </w:t>
      </w:r>
    </w:p>
    <w:p>
      <w:pPr>
        <w:pStyle w:val="TextBody"/>
        <w:bidi w:val="0"/>
        <w:spacing w:before="120" w:after="120"/>
        <w:jc w:val="center"/>
        <w:rPr/>
      </w:pPr>
      <w:r>
        <w:rPr/>
        <w:t> </w:t>
      </w:r>
    </w:p>
    <w:p>
      <w:pPr>
        <w:pStyle w:val="TextBody"/>
        <w:bidi w:val="0"/>
        <w:spacing w:before="6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Arial" w:hAnsi="Arial"/>
          <w:b/>
          <w:color w:val="000000"/>
          <w:sz w:val="24"/>
        </w:rPr>
      </w:pPr>
      <w:r>
        <w:rPr>
          <w:rFonts w:ascii="Arial" w:hAnsi="Arial"/>
          <w:b/>
          <w:color w:val="000000"/>
          <w:sz w:val="24"/>
        </w:rPr>
        <w:t>Phoenix New Media Limited</w:t>
      </w:r>
    </w:p>
    <w:p>
      <w:pPr>
        <w:pStyle w:val="TextBody"/>
        <w:bidi w:val="0"/>
        <w:jc w:val="center"/>
        <w:rPr>
          <w:rFonts w:ascii="Arial" w:hAnsi="Arial"/>
          <w:b/>
          <w:color w:val="000000"/>
          <w:sz w:val="20"/>
        </w:rPr>
      </w:pPr>
      <w:r>
        <w:rPr>
          <w:rFonts w:ascii="Arial" w:hAnsi="Arial"/>
          <w:b/>
          <w:color w:val="000000"/>
          <w:sz w:val="20"/>
        </w:rPr>
        <w:t>TO THE REGISTERED HOLDERS OF AMERICAN DEPOSITARY RECEIPTS</w:t>
      </w:r>
    </w:p>
    <w:p>
      <w:pPr>
        <w:pStyle w:val="TextBody"/>
        <w:bidi w:val="0"/>
        <w:jc w:val="center"/>
        <w:rPr>
          <w:rFonts w:ascii="Arial" w:hAnsi="Arial"/>
          <w:b/>
          <w:color w:val="000000"/>
          <w:sz w:val="20"/>
        </w:rPr>
      </w:pPr>
      <w:r>
        <w:rPr>
          <w:rFonts w:ascii="Arial" w:hAnsi="Arial"/>
          <w:b/>
          <w:color w:val="000000"/>
          <w:sz w:val="20"/>
        </w:rPr>
        <w:t>REPRESENTING ORDINARY SHARES OF</w:t>
      </w:r>
    </w:p>
    <w:p>
      <w:pPr>
        <w:pStyle w:val="TextBody"/>
        <w:bidi w:val="0"/>
        <w:spacing w:before="0" w:after="120"/>
        <w:jc w:val="center"/>
        <w:rPr>
          <w:rFonts w:ascii="Times New Roman" w:hAnsi="Times New Roman"/>
          <w:sz w:val="20"/>
        </w:rPr>
      </w:pPr>
      <w:r>
        <w:rPr>
          <w:rFonts w:ascii="Arial" w:hAnsi="Arial"/>
          <w:b/>
          <w:color w:val="000000"/>
          <w:sz w:val="20"/>
        </w:rPr>
        <w:t>Phoenix New Media Limited</w:t>
      </w:r>
      <w:r>
        <w:rPr>
          <w:rFonts w:ascii="Times New Roman" w:hAnsi="Times New Roman"/>
          <w:color w:val="000000"/>
          <w:sz w:val="20"/>
        </w:rPr>
        <w:t xml:space="preserve"> </w:t>
      </w:r>
    </w:p>
    <w:tbl>
      <w:tblPr>
        <w:tblW w:w="7396" w:type="dxa"/>
        <w:jc w:val="left"/>
        <w:tblInd w:w="0" w:type="dxa"/>
        <w:tblLayout w:type="fixed"/>
        <w:tblCellMar>
          <w:top w:w="28" w:type="dxa"/>
          <w:left w:w="28" w:type="dxa"/>
          <w:bottom w:w="28" w:type="dxa"/>
          <w:right w:w="28" w:type="dxa"/>
        </w:tblCellMar>
      </w:tblPr>
      <w:tblGrid>
        <w:gridCol w:w="7396"/>
      </w:tblGrid>
      <w:tr>
        <w:trPr/>
        <w:tc>
          <w:tcPr>
            <w:tcW w:w="7396" w:type="dxa"/>
            <w:tcBorders/>
            <w:vAlign w:val="center"/>
          </w:tcPr>
          <w:p>
            <w:pPr>
              <w:pStyle w:val="TableContents"/>
              <w:bidi w:val="0"/>
              <w:spacing w:before="0" w:after="283"/>
              <w:jc w:val="left"/>
              <w:rPr>
                <w:sz w:val="4"/>
                <w:szCs w:val="4"/>
              </w:rPr>
            </w:pPr>
            <w:r>
              <w:rPr>
                <w:sz w:val="4"/>
                <w:szCs w:val="4"/>
              </w:rPr>
            </w:r>
          </w:p>
        </w:tc>
      </w:tr>
      <w:tr>
        <w:trPr/>
        <w:tc>
          <w:tcPr>
            <w:tcW w:w="7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Arial" w:hAnsi="Arial"/>
                <w:color w:val="000000"/>
                <w:sz w:val="18"/>
              </w:rPr>
            </w:pPr>
            <w:r>
              <w:rPr>
                <w:rFonts w:ascii="Arial" w:hAnsi="Arial"/>
                <w:color w:val="000000"/>
                <w:sz w:val="18"/>
              </w:rPr>
              <w:t>Please refer to the reverse side of this card for the Resolutions to be voted at the Meeting.</w:t>
            </w:r>
          </w:p>
        </w:tc>
      </w:tr>
    </w:tbl>
    <w:p>
      <w:pPr>
        <w:pStyle w:val="TextBody"/>
        <w:bidi w:val="0"/>
        <w:spacing w:before="40" w:after="283"/>
        <w:jc w:val="center"/>
        <w:rPr>
          <w:rFonts w:ascii="Arial" w:hAnsi="Arial"/>
          <w:color w:val="000000"/>
          <w:sz w:val="16"/>
        </w:rPr>
      </w:pPr>
      <w:r>
        <w:rPr>
          <w:rFonts w:ascii="Arial" w:hAnsi="Arial"/>
          <w:color w:val="000000"/>
          <w:sz w:val="16"/>
        </w:rPr>
        <w:t>FOLD AND DETACH HERE</w:t>
      </w:r>
    </w:p>
    <w:p>
      <w:pPr>
        <w:pStyle w:val="TextBody"/>
        <w:bidi w:val="0"/>
        <w:spacing w:before="0" w:after="120"/>
        <w:jc w:val="center"/>
        <w:rPr/>
      </w:pPr>
      <w:r>
        <w:rPr/>
        <w:t> </w:t>
      </w:r>
    </w:p>
    <w:p>
      <w:pPr>
        <w:pStyle w:val="TextBody"/>
        <w:bidi w:val="0"/>
        <w:spacing w:before="0" w:after="120"/>
        <w:jc w:val="center"/>
        <w:rPr>
          <w:rFonts w:ascii="Arial" w:hAnsi="Arial"/>
          <w:b/>
          <w:color w:val="000000"/>
          <w:sz w:val="18"/>
        </w:rPr>
      </w:pPr>
      <w:r>
        <w:rPr>
          <w:rFonts w:ascii="Arial" w:hAnsi="Arial"/>
          <w:b/>
          <w:color w:val="000000"/>
          <w:sz w:val="18"/>
        </w:rPr>
        <w:t>Ordinary Resolutions</w:t>
      </w:r>
    </w:p>
    <w:p>
      <w:pPr>
        <w:pStyle w:val="TextBody"/>
        <w:bidi w:val="0"/>
        <w:jc w:val="center"/>
        <w:rPr>
          <w:rFonts w:ascii="Arial" w:hAnsi="Arial"/>
          <w:color w:val="000000"/>
          <w:sz w:val="16"/>
        </w:rPr>
      </w:pPr>
      <w:r>
        <w:rPr>
          <w:rFonts w:ascii="Arial" w:hAnsi="Arial"/>
          <w:color w:val="000000"/>
          <w:sz w:val="16"/>
        </w:rPr>
        <w:t>The Board of Directors unanimously recommends a vote FOR all the Resolutions.</w:t>
      </w:r>
    </w:p>
    <w:tbl>
      <w:tblPr>
        <w:tblW w:w="1082"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2389" w:type="dxa"/>
        <w:jc w:val="left"/>
        <w:tblInd w:w="0" w:type="dxa"/>
        <w:tblLayout w:type="fixed"/>
        <w:tblCellMar>
          <w:top w:w="28" w:type="dxa"/>
          <w:left w:w="28" w:type="dxa"/>
          <w:bottom w:w="28" w:type="dxa"/>
          <w:right w:w="28" w:type="dxa"/>
        </w:tblCellMar>
      </w:tblPr>
      <w:tblGrid>
        <w:gridCol w:w="601"/>
        <w:gridCol w:w="376"/>
        <w:gridCol w:w="691"/>
        <w:gridCol w:w="721"/>
      </w:tblGrid>
      <w:tr>
        <w:trPr/>
        <w:tc>
          <w:tcPr>
            <w:tcW w:w="6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00"/>
              <w:jc w:val="center"/>
              <w:rPr>
                <w:rFonts w:ascii="Arial" w:hAnsi="Arial"/>
                <w:b/>
                <w:color w:val="000000"/>
                <w:sz w:val="14"/>
              </w:rPr>
            </w:pPr>
            <w:r>
              <w:rPr>
                <w:rFonts w:ascii="Arial" w:hAnsi="Arial"/>
                <w:b/>
                <w:color w:val="000000"/>
                <w:sz w:val="14"/>
              </w:rPr>
              <w:t>FOR</w:t>
            </w:r>
          </w:p>
        </w:tc>
        <w:tc>
          <w:tcPr>
            <w:tcW w:w="691" w:type="dxa"/>
            <w:tcBorders/>
            <w:tcMar>
              <w:top w:w="0" w:type="dxa"/>
              <w:left w:w="0" w:type="dxa"/>
              <w:bottom w:w="0" w:type="dxa"/>
              <w:right w:w="0" w:type="dxa"/>
            </w:tcMar>
            <w:vAlign w:val="center"/>
          </w:tcPr>
          <w:p>
            <w:pPr>
              <w:pStyle w:val="TableContents"/>
              <w:bidi w:val="0"/>
              <w:spacing w:before="0" w:after="200"/>
              <w:jc w:val="center"/>
              <w:rPr>
                <w:rFonts w:ascii="Arial" w:hAnsi="Arial"/>
                <w:b/>
                <w:color w:val="000000"/>
                <w:sz w:val="14"/>
              </w:rPr>
            </w:pPr>
            <w:r>
              <w:rPr>
                <w:rFonts w:ascii="Arial" w:hAnsi="Arial"/>
                <w:b/>
                <w:color w:val="000000"/>
                <w:sz w:val="14"/>
              </w:rPr>
              <w:t>AGAINST</w:t>
            </w:r>
          </w:p>
        </w:tc>
        <w:tc>
          <w:tcPr>
            <w:tcW w:w="721" w:type="dxa"/>
            <w:tcBorders/>
            <w:tcMar>
              <w:top w:w="0" w:type="dxa"/>
              <w:left w:w="0" w:type="dxa"/>
              <w:bottom w:w="0" w:type="dxa"/>
              <w:right w:w="0" w:type="dxa"/>
            </w:tcMar>
            <w:vAlign w:val="center"/>
          </w:tcPr>
          <w:p>
            <w:pPr>
              <w:pStyle w:val="TableContents"/>
              <w:bidi w:val="0"/>
              <w:spacing w:before="0" w:after="200"/>
              <w:jc w:val="center"/>
              <w:rPr>
                <w:rFonts w:ascii="Arial" w:hAnsi="Arial"/>
                <w:b/>
                <w:color w:val="000000"/>
                <w:sz w:val="14"/>
              </w:rPr>
            </w:pPr>
            <w:r>
              <w:rPr>
                <w:rFonts w:ascii="Arial" w:hAnsi="Arial"/>
                <w:b/>
                <w:color w:val="000000"/>
                <w:sz w:val="14"/>
              </w:rPr>
              <w:t>ABSTAIN</w:t>
            </w:r>
          </w:p>
        </w:tc>
      </w:tr>
      <w:tr>
        <w:trPr/>
        <w:tc>
          <w:tcPr>
            <w:tcW w:w="601" w:type="dxa"/>
            <w:tcBorders/>
            <w:tcMar>
              <w:top w:w="0" w:type="dxa"/>
              <w:left w:w="0" w:type="dxa"/>
              <w:bottom w:w="0" w:type="dxa"/>
              <w:right w:w="0" w:type="dxa"/>
            </w:tcMar>
            <w:vAlign w:val="center"/>
          </w:tcPr>
          <w:p>
            <w:pPr>
              <w:pStyle w:val="TableContents"/>
              <w:bidi w:val="0"/>
              <w:spacing w:before="0" w:after="200"/>
              <w:jc w:val="left"/>
              <w:rPr>
                <w:rFonts w:ascii="Arial" w:hAnsi="Arial"/>
                <w:color w:val="000000"/>
                <w:sz w:val="16"/>
              </w:rPr>
            </w:pPr>
            <w:r>
              <w:rPr>
                <w:rFonts w:ascii="Arial" w:hAnsi="Arial"/>
                <w:color w:val="000000"/>
                <w:sz w:val="16"/>
              </w:rPr>
              <w:t>Res. 1</w:t>
            </w:r>
          </w:p>
        </w:tc>
        <w:tc>
          <w:tcPr>
            <w:tcW w:w="3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69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2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601" w:type="dxa"/>
            <w:tcBorders/>
            <w:tcMar>
              <w:top w:w="0" w:type="dxa"/>
              <w:left w:w="0" w:type="dxa"/>
              <w:bottom w:w="0" w:type="dxa"/>
              <w:right w:w="0" w:type="dxa"/>
            </w:tcMar>
            <w:vAlign w:val="center"/>
          </w:tcPr>
          <w:p>
            <w:pPr>
              <w:pStyle w:val="TableContents"/>
              <w:bidi w:val="0"/>
              <w:spacing w:before="0" w:after="200"/>
              <w:jc w:val="left"/>
              <w:rPr>
                <w:rFonts w:ascii="Arial" w:hAnsi="Arial"/>
                <w:color w:val="000000"/>
                <w:sz w:val="16"/>
              </w:rPr>
            </w:pPr>
            <w:r>
              <w:rPr>
                <w:rFonts w:ascii="Arial" w:hAnsi="Arial"/>
                <w:color w:val="000000"/>
                <w:sz w:val="16"/>
              </w:rPr>
              <w:t>Res. 2</w:t>
            </w:r>
          </w:p>
        </w:tc>
        <w:tc>
          <w:tcPr>
            <w:tcW w:w="3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69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2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601" w:type="dxa"/>
            <w:tcBorders/>
            <w:tcMar>
              <w:top w:w="0" w:type="dxa"/>
              <w:left w:w="0" w:type="dxa"/>
              <w:bottom w:w="0" w:type="dxa"/>
              <w:right w:w="0" w:type="dxa"/>
            </w:tcMar>
            <w:vAlign w:val="center"/>
          </w:tcPr>
          <w:p>
            <w:pPr>
              <w:pStyle w:val="TableContents"/>
              <w:bidi w:val="0"/>
              <w:spacing w:before="0" w:after="200"/>
              <w:jc w:val="left"/>
              <w:rPr>
                <w:rFonts w:ascii="Arial" w:hAnsi="Arial"/>
                <w:color w:val="000000"/>
                <w:sz w:val="16"/>
              </w:rPr>
            </w:pPr>
            <w:r>
              <w:rPr>
                <w:rFonts w:ascii="Arial" w:hAnsi="Arial"/>
                <w:color w:val="000000"/>
                <w:sz w:val="16"/>
              </w:rPr>
              <w:t>Res. 3</w:t>
            </w:r>
          </w:p>
        </w:tc>
        <w:tc>
          <w:tcPr>
            <w:tcW w:w="3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69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2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601" w:type="dxa"/>
            <w:tcBorders/>
            <w:tcMar>
              <w:top w:w="0" w:type="dxa"/>
              <w:left w:w="0" w:type="dxa"/>
              <w:bottom w:w="0" w:type="dxa"/>
              <w:right w:w="0" w:type="dxa"/>
            </w:tcMar>
            <w:vAlign w:val="center"/>
          </w:tcPr>
          <w:p>
            <w:pPr>
              <w:pStyle w:val="TableContents"/>
              <w:bidi w:val="0"/>
              <w:spacing w:before="0" w:after="200"/>
              <w:jc w:val="left"/>
              <w:rPr>
                <w:rFonts w:ascii="Arial" w:hAnsi="Arial"/>
                <w:color w:val="000000"/>
                <w:sz w:val="16"/>
              </w:rPr>
            </w:pPr>
            <w:r>
              <w:rPr>
                <w:rFonts w:ascii="Arial" w:hAnsi="Arial"/>
                <w:color w:val="000000"/>
                <w:sz w:val="16"/>
              </w:rPr>
              <w:t>Res. 4</w:t>
            </w:r>
          </w:p>
        </w:tc>
        <w:tc>
          <w:tcPr>
            <w:tcW w:w="3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69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2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601" w:type="dxa"/>
            <w:tcBorders/>
            <w:tcMar>
              <w:top w:w="0" w:type="dxa"/>
              <w:left w:w="0" w:type="dxa"/>
              <w:bottom w:w="0" w:type="dxa"/>
              <w:right w:w="0" w:type="dxa"/>
            </w:tcMar>
            <w:vAlign w:val="center"/>
          </w:tcPr>
          <w:p>
            <w:pPr>
              <w:pStyle w:val="TableContents"/>
              <w:bidi w:val="0"/>
              <w:spacing w:before="0" w:after="200"/>
              <w:jc w:val="left"/>
              <w:rPr>
                <w:rFonts w:ascii="Arial" w:hAnsi="Arial"/>
                <w:color w:val="000000"/>
                <w:sz w:val="16"/>
              </w:rPr>
            </w:pPr>
            <w:r>
              <w:rPr>
                <w:rFonts w:ascii="Arial" w:hAnsi="Arial"/>
                <w:color w:val="000000"/>
                <w:sz w:val="16"/>
              </w:rPr>
              <w:t>Res. 5</w:t>
            </w:r>
          </w:p>
        </w:tc>
        <w:tc>
          <w:tcPr>
            <w:tcW w:w="3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69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2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r>
        <w:trPr/>
        <w:tc>
          <w:tcPr>
            <w:tcW w:w="601" w:type="dxa"/>
            <w:tcBorders/>
            <w:tcMar>
              <w:top w:w="0" w:type="dxa"/>
              <w:left w:w="0" w:type="dxa"/>
              <w:bottom w:w="0" w:type="dxa"/>
              <w:right w:w="0" w:type="dxa"/>
            </w:tcMar>
            <w:vAlign w:val="center"/>
          </w:tcPr>
          <w:p>
            <w:pPr>
              <w:pStyle w:val="TableContents"/>
              <w:bidi w:val="0"/>
              <w:spacing w:before="0" w:after="200"/>
              <w:jc w:val="left"/>
              <w:rPr>
                <w:rFonts w:ascii="Arial" w:hAnsi="Arial"/>
                <w:color w:val="000000"/>
                <w:sz w:val="16"/>
              </w:rPr>
            </w:pPr>
            <w:r>
              <w:rPr>
                <w:rFonts w:ascii="Arial" w:hAnsi="Arial"/>
                <w:color w:val="000000"/>
                <w:sz w:val="16"/>
              </w:rPr>
              <w:t>Res. 6</w:t>
            </w:r>
          </w:p>
        </w:tc>
        <w:tc>
          <w:tcPr>
            <w:tcW w:w="37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69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2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426"/>
        <w:gridCol w:w="426"/>
        <w:gridCol w:w="146"/>
        <w:gridCol w:w="316"/>
        <w:gridCol w:w="146"/>
        <w:gridCol w:w="2058"/>
        <w:gridCol w:w="316"/>
        <w:gridCol w:w="958"/>
        <w:gridCol w:w="3686"/>
        <w:gridCol w:w="1566"/>
      </w:tblGrid>
      <w:tr>
        <w:trPr/>
        <w:tc>
          <w:tcPr>
            <w:tcW w:w="1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vMerge w:val="restart"/>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6210" w:type="dxa"/>
            <w:gridSpan w:val="3"/>
            <w:vMerge w:val="restart"/>
            <w:tcBorders/>
            <w:tcMar>
              <w:top w:w="0" w:type="dxa"/>
              <w:left w:w="0" w:type="dxa"/>
              <w:bottom w:w="0" w:type="dxa"/>
              <w:right w:w="0" w:type="dxa"/>
            </w:tcMar>
            <w:vAlign w:val="center"/>
          </w:tcPr>
          <w:p>
            <w:pPr>
              <w:pStyle w:val="TableContents"/>
              <w:bidi w:val="0"/>
              <w:spacing w:before="0" w:after="120"/>
              <w:jc w:val="both"/>
              <w:rPr>
                <w:rFonts w:ascii="Arial" w:hAnsi="Arial"/>
                <w:color w:val="000000"/>
                <w:sz w:val="14"/>
              </w:rPr>
            </w:pPr>
            <w:r>
              <w:rPr>
                <w:rFonts w:ascii="Arial" w:hAnsi="Arial"/>
                <w:color w:val="000000"/>
                <w:sz w:val="14"/>
              </w:rPr>
              <w:t>Mark box at immediate left if you wish to give a discretionary proxy to a person designated by the Company. PLEASE NOTE: Marking this box voids any other instructions indicated above.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4"/>
              </w:rPr>
            </w:pPr>
            <w:r>
              <w:rPr>
                <w:rFonts w:ascii="Arial" w:hAnsi="Arial"/>
                <w:color w:val="000000"/>
                <w:sz w:val="14"/>
              </w:rPr>
              <w:t>Address change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4"/>
              </w:rPr>
            </w:pPr>
            <w:r>
              <w:rPr>
                <w:rFonts w:ascii="Arial" w:hAnsi="Arial"/>
                <w:color w:val="000000"/>
                <w:sz w:val="14"/>
              </w:rPr>
              <w:t>Mark box, sign and indicate changes/comments below:</w:t>
            </w:r>
          </w:p>
        </w:tc>
        <w:tc>
          <w:tcPr>
            <w:tcW w:w="316" w:type="dxa"/>
            <w:vMerge w:val="continue"/>
            <w:tcBorders/>
            <w:tcMar>
              <w:top w:w="0" w:type="dxa"/>
              <w:left w:w="0" w:type="dxa"/>
              <w:bottom w:w="0" w:type="dxa"/>
              <w:right w:w="0" w:type="dxa"/>
            </w:tcMar>
            <w:vAlign w:val="center"/>
          </w:tcPr>
          <w:p>
            <w:pPr>
              <w:pStyle w:val="Normal"/>
              <w:bidi w:val="0"/>
              <w:jc w:val="left"/>
              <w:rPr/>
            </w:pPr>
            <w:r>
              <w:rPr/>
            </w:r>
          </w:p>
        </w:tc>
        <w:tc>
          <w:tcPr>
            <w:tcW w:w="62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Sign below</w:t>
            </w:r>
          </w:p>
        </w:tc>
        <w:tc>
          <w:tcPr>
            <w:tcW w:w="36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Date:</w:t>
            </w:r>
          </w:p>
        </w:tc>
        <w:tc>
          <w:tcPr>
            <w:tcW w:w="15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931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14"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14"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314" w:type="dxa"/>
            <w:tcBorders/>
            <w:tcMar>
              <w:top w:w="0" w:type="dxa"/>
              <w:left w:w="0" w:type="dxa"/>
              <w:bottom w:w="0" w:type="dxa"/>
              <w:right w:w="0" w:type="dxa"/>
            </w:tcMar>
            <w:vAlign w:val="center"/>
          </w:tcPr>
          <w:p>
            <w:pPr>
              <w:pStyle w:val="TableContents"/>
              <w:bidi w:val="0"/>
              <w:spacing w:before="120" w:after="283"/>
              <w:jc w:val="both"/>
              <w:rPr>
                <w:rFonts w:ascii="Arial" w:hAnsi="Arial"/>
                <w:color w:val="000000"/>
                <w:sz w:val="12"/>
              </w:rPr>
            </w:pPr>
            <w:r>
              <w:rPr>
                <w:rFonts w:ascii="Arial" w:hAnsi="Arial"/>
                <w:color w:val="000000"/>
                <w:sz w:val="12"/>
              </w:rPr>
              <w:t>Please sign this Voting Instruction Card exactly as your name(s) appear(s) on the face of this card and on the books of the Depositary. Joint owners should each sign personally. Trustees and other fiduciaries should indicate the capacity in which they sign, and where more than one name appears, a majority must sign. If a corporation, this signature should be that of an authorized officer who should state his or her title.</w:t>
            </w:r>
          </w:p>
        </w:tc>
      </w:tr>
    </w:tbl>
    <w:p>
      <w:pPr>
        <w:pStyle w:val="TextBody"/>
        <w:bidi w:val="0"/>
        <w:jc w:val="left"/>
        <w:rPr/>
      </w:pPr>
      <w:r>
        <w:rPr/>
        <w:t> </w:t>
      </w:r>
    </w:p>
    <w:tbl>
      <w:tblPr>
        <w:tblW w:w="1082"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Phoenix New Media Limited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AGENDA</w:t>
      </w:r>
    </w:p>
    <w:p>
      <w:pPr>
        <w:pStyle w:val="TextBody"/>
        <w:bidi w:val="0"/>
        <w:jc w:val="left"/>
        <w:rPr/>
      </w:pPr>
      <w:r>
        <w:rPr/>
        <w:t> </w:t>
      </w:r>
    </w:p>
    <w:p>
      <w:pPr>
        <w:pStyle w:val="TextBody"/>
        <w:bidi w:val="0"/>
        <w:jc w:val="center"/>
        <w:rPr>
          <w:rFonts w:ascii="Arial" w:hAnsi="Arial"/>
          <w:color w:val="000000"/>
          <w:sz w:val="20"/>
          <w:u w:val="single"/>
        </w:rPr>
      </w:pPr>
      <w:r>
        <w:rPr>
          <w:rFonts w:ascii="Arial" w:hAnsi="Arial"/>
          <w:color w:val="000000"/>
          <w:sz w:val="20"/>
          <w:u w:val="single"/>
        </w:rPr>
        <w:t>Ordinary Resolutions</w:t>
      </w:r>
    </w:p>
    <w:p>
      <w:pPr>
        <w:pStyle w:val="TextBody"/>
        <w:bidi w:val="0"/>
        <w:jc w:val="left"/>
        <w:rPr/>
      </w:pPr>
      <w:r>
        <w:rPr/>
        <w:t> </w:t>
      </w:r>
    </w:p>
    <w:p>
      <w:pPr>
        <w:pStyle w:val="TextBody"/>
        <w:bidi w:val="0"/>
        <w:spacing w:before="0" w:after="200"/>
        <w:jc w:val="both"/>
        <w:rPr>
          <w:rFonts w:ascii="Arial" w:hAnsi="Arial"/>
          <w:color w:val="000000"/>
          <w:sz w:val="20"/>
        </w:rPr>
      </w:pPr>
      <w:r>
        <w:rPr>
          <w:rFonts w:ascii="Arial" w:hAnsi="Arial"/>
          <w:color w:val="000000"/>
          <w:sz w:val="20"/>
        </w:rPr>
        <w:t>1.</w:t>
      </w:r>
    </w:p>
    <w:p>
      <w:pPr>
        <w:pStyle w:val="TextBody"/>
        <w:bidi w:val="0"/>
        <w:spacing w:before="0" w:after="200"/>
        <w:jc w:val="both"/>
        <w:rPr>
          <w:rFonts w:ascii="Arial" w:hAnsi="Arial"/>
          <w:color w:val="000000"/>
          <w:sz w:val="20"/>
        </w:rPr>
      </w:pPr>
      <w:r>
        <w:rPr>
          <w:rFonts w:ascii="Arial" w:hAnsi="Arial"/>
          <w:color w:val="000000"/>
          <w:sz w:val="20"/>
        </w:rPr>
        <w:t>To receive the audited consolidated financial statements of the Company for the fiscal year ended December 31, 2024.</w:t>
      </w:r>
    </w:p>
    <w:p>
      <w:pPr>
        <w:pStyle w:val="TextBody"/>
        <w:bidi w:val="0"/>
        <w:spacing w:before="0" w:after="200"/>
        <w:jc w:val="both"/>
        <w:rPr>
          <w:rFonts w:ascii="Arial" w:hAnsi="Arial"/>
          <w:color w:val="000000"/>
          <w:sz w:val="20"/>
        </w:rPr>
      </w:pPr>
      <w:r>
        <w:rPr>
          <w:rFonts w:ascii="Arial" w:hAnsi="Arial"/>
          <w:color w:val="000000"/>
          <w:sz w:val="20"/>
        </w:rPr>
        <w:t>2.</w:t>
      </w:r>
    </w:p>
    <w:p>
      <w:pPr>
        <w:pStyle w:val="TextBody"/>
        <w:bidi w:val="0"/>
        <w:spacing w:before="0" w:after="200"/>
        <w:jc w:val="both"/>
        <w:rPr/>
      </w:pPr>
      <w:r>
        <w:rPr>
          <w:rFonts w:ascii="Arial" w:hAnsi="Arial"/>
          <w:color w:val="000000"/>
          <w:sz w:val="20"/>
        </w:rPr>
        <w:t>To approve the re-appointment of PricewaterhouseCoopers Zhong Tian LLP as independent auditor of the Company (the “</w:t>
      </w:r>
      <w:r>
        <w:rPr>
          <w:rFonts w:ascii="Arial" w:hAnsi="Arial"/>
          <w:b/>
          <w:color w:val="000000"/>
          <w:sz w:val="20"/>
        </w:rPr>
        <w:t>Independent Auditor</w:t>
      </w:r>
      <w:r>
        <w:rPr>
          <w:color w:val="000000"/>
        </w:rPr>
        <w:t>”</w:t>
      </w:r>
      <w:r>
        <w:rPr>
          <w:rFonts w:ascii="Arial" w:hAnsi="Arial"/>
          <w:color w:val="000000"/>
          <w:sz w:val="20"/>
        </w:rPr>
        <w:t>) for the fiscal year ending December 31, 2025.</w:t>
      </w:r>
    </w:p>
    <w:p>
      <w:pPr>
        <w:pStyle w:val="TextBody"/>
        <w:bidi w:val="0"/>
        <w:spacing w:before="0" w:after="200"/>
        <w:jc w:val="both"/>
        <w:rPr>
          <w:rFonts w:ascii="Arial" w:hAnsi="Arial"/>
          <w:color w:val="000000"/>
          <w:sz w:val="20"/>
        </w:rPr>
      </w:pPr>
      <w:r>
        <w:rPr>
          <w:rFonts w:ascii="Arial" w:hAnsi="Arial"/>
          <w:color w:val="000000"/>
          <w:sz w:val="20"/>
        </w:rPr>
        <w:t>3.</w:t>
      </w:r>
    </w:p>
    <w:p>
      <w:pPr>
        <w:pStyle w:val="TextBody"/>
        <w:bidi w:val="0"/>
        <w:spacing w:before="0" w:after="200"/>
        <w:jc w:val="both"/>
        <w:rPr>
          <w:rFonts w:ascii="Arial" w:hAnsi="Arial"/>
          <w:color w:val="000000"/>
          <w:sz w:val="20"/>
        </w:rPr>
      </w:pPr>
      <w:r>
        <w:rPr>
          <w:rFonts w:ascii="Arial" w:hAnsi="Arial"/>
          <w:color w:val="000000"/>
          <w:sz w:val="20"/>
        </w:rPr>
        <w:t>To authorize the audit committee of the board of directors to fix the remuneration of the Independent Auditor.</w:t>
      </w:r>
    </w:p>
    <w:p>
      <w:pPr>
        <w:pStyle w:val="TextBody"/>
        <w:bidi w:val="0"/>
        <w:spacing w:before="0" w:after="200"/>
        <w:jc w:val="both"/>
        <w:rPr>
          <w:rFonts w:ascii="Arial" w:hAnsi="Arial"/>
          <w:color w:val="000000"/>
          <w:sz w:val="20"/>
        </w:rPr>
      </w:pPr>
      <w:r>
        <w:rPr>
          <w:rFonts w:ascii="Arial" w:hAnsi="Arial"/>
          <w:color w:val="000000"/>
          <w:sz w:val="20"/>
        </w:rPr>
        <w:t>4.</w:t>
      </w:r>
    </w:p>
    <w:p>
      <w:pPr>
        <w:pStyle w:val="TextBody"/>
        <w:bidi w:val="0"/>
        <w:spacing w:before="0" w:after="200"/>
        <w:jc w:val="both"/>
        <w:rPr>
          <w:rFonts w:ascii="Arial" w:hAnsi="Arial"/>
          <w:color w:val="000000"/>
          <w:sz w:val="20"/>
        </w:rPr>
      </w:pPr>
      <w:r>
        <w:rPr>
          <w:rFonts w:ascii="Arial" w:hAnsi="Arial"/>
          <w:color w:val="000000"/>
          <w:sz w:val="20"/>
        </w:rPr>
        <w:t>To re-elect Mr. Geng Xiao, who was appointed by the board of directors to fill a vacancy on the board on September 23, 2025, as a director of the Company.</w:t>
      </w:r>
    </w:p>
    <w:p>
      <w:pPr>
        <w:pStyle w:val="TextBody"/>
        <w:bidi w:val="0"/>
        <w:spacing w:before="0" w:after="200"/>
        <w:jc w:val="both"/>
        <w:rPr>
          <w:rFonts w:ascii="Arial" w:hAnsi="Arial"/>
          <w:color w:val="000000"/>
          <w:sz w:val="20"/>
        </w:rPr>
      </w:pPr>
      <w:r>
        <w:rPr>
          <w:rFonts w:ascii="Arial" w:hAnsi="Arial"/>
          <w:color w:val="000000"/>
          <w:sz w:val="20"/>
        </w:rPr>
        <w:t>5.</w:t>
      </w:r>
    </w:p>
    <w:p>
      <w:pPr>
        <w:pStyle w:val="TextBody"/>
        <w:bidi w:val="0"/>
        <w:spacing w:before="0" w:after="200"/>
        <w:jc w:val="both"/>
        <w:rPr>
          <w:rFonts w:ascii="Arial" w:hAnsi="Arial"/>
          <w:color w:val="000000"/>
          <w:sz w:val="20"/>
        </w:rPr>
      </w:pPr>
      <w:r>
        <w:rPr>
          <w:rFonts w:ascii="Arial" w:hAnsi="Arial"/>
          <w:color w:val="000000"/>
          <w:sz w:val="20"/>
        </w:rPr>
        <w:t>To re-elect Mr. Qi Li, who will retire by rotation pursuant to article 87(1) of the Company’s Articles of Association, as director of the Company.</w:t>
      </w:r>
    </w:p>
    <w:p>
      <w:pPr>
        <w:pStyle w:val="TextBody"/>
        <w:bidi w:val="0"/>
        <w:spacing w:before="0" w:after="200"/>
        <w:jc w:val="both"/>
        <w:rPr>
          <w:rFonts w:ascii="Arial" w:hAnsi="Arial"/>
          <w:color w:val="000000"/>
          <w:sz w:val="20"/>
        </w:rPr>
      </w:pPr>
      <w:r>
        <w:rPr>
          <w:rFonts w:ascii="Arial" w:hAnsi="Arial"/>
          <w:color w:val="000000"/>
          <w:sz w:val="20"/>
        </w:rPr>
        <w:t>6.</w:t>
      </w:r>
    </w:p>
    <w:p>
      <w:pPr>
        <w:pStyle w:val="TextBody"/>
        <w:bidi w:val="0"/>
        <w:spacing w:before="0" w:after="200"/>
        <w:jc w:val="both"/>
        <w:rPr>
          <w:rFonts w:ascii="Arial" w:hAnsi="Arial"/>
          <w:color w:val="000000"/>
          <w:sz w:val="20"/>
        </w:rPr>
      </w:pPr>
      <w:r>
        <w:rPr>
          <w:rFonts w:ascii="Arial" w:hAnsi="Arial"/>
          <w:color w:val="000000"/>
          <w:sz w:val="20"/>
        </w:rPr>
        <w:t>To authorize each of the directors and officers of the Company to take any and every action that might be necessary to effect the foregoing resolutions as such director or officer, in his or her absolute discretion, thinks fit.</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tbl>
      <w:tblPr>
        <w:tblW w:w="7592" w:type="dxa"/>
        <w:jc w:val="left"/>
        <w:tblInd w:w="0" w:type="dxa"/>
        <w:tblLayout w:type="fixed"/>
        <w:tblCellMar>
          <w:top w:w="28" w:type="dxa"/>
          <w:left w:w="28" w:type="dxa"/>
          <w:bottom w:w="28" w:type="dxa"/>
          <w:right w:w="28" w:type="dxa"/>
        </w:tblCellMar>
      </w:tblPr>
      <w:tblGrid>
        <w:gridCol w:w="4006"/>
        <w:gridCol w:w="3586"/>
      </w:tblGrid>
      <w:tr>
        <w:trPr/>
        <w:tc>
          <w:tcPr>
            <w:tcW w:w="400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8" w:space="0" w:color="000000"/>
            </w:tcBorders>
            <w:tcMar>
              <w:top w:w="0" w:type="dxa"/>
              <w:left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Phoenix New Media Limited</w:t>
            </w:r>
          </w:p>
          <w:p>
            <w:pPr>
              <w:pStyle w:val="TableContents"/>
              <w:bidi w:val="0"/>
              <w:jc w:val="left"/>
              <w:rPr>
                <w:rFonts w:ascii="Arial" w:hAnsi="Arial"/>
                <w:b/>
                <w:color w:val="000000"/>
                <w:sz w:val="20"/>
              </w:rPr>
            </w:pPr>
            <w:r>
              <w:rPr>
                <w:rFonts w:ascii="Arial" w:hAnsi="Arial"/>
                <w:b/>
                <w:color w:val="000000"/>
                <w:sz w:val="20"/>
              </w:rPr>
              <w:t>JPMorgan Chase Bank, N.A., Depositary</w:t>
            </w:r>
          </w:p>
          <w:p>
            <w:pPr>
              <w:pStyle w:val="TableContents"/>
              <w:bidi w:val="0"/>
              <w:spacing w:before="0" w:after="283"/>
              <w:ind w:left="0" w:right="0" w:firstLine="90"/>
              <w:jc w:val="left"/>
              <w:rPr>
                <w:rFonts w:ascii="Arial" w:hAnsi="Arial"/>
                <w:b/>
                <w:color w:val="000000"/>
                <w:sz w:val="20"/>
              </w:rPr>
            </w:pPr>
            <w:r>
              <w:rPr>
                <w:rFonts w:ascii="Arial" w:hAnsi="Arial"/>
                <w:b/>
                <w:color w:val="000000"/>
                <w:sz w:val="20"/>
              </w:rPr>
              <w:t>PO Box 64873, Saint Paul MN 55164-0873</w:t>
            </w:r>
          </w:p>
        </w:tc>
        <w:tc>
          <w:tcPr>
            <w:tcW w:w="3586" w:type="dxa"/>
            <w:tcBorders>
              <w:bottom w:val="single" w:sz="8" w:space="0" w:color="000000"/>
            </w:tcBorders>
            <w:tcMar>
              <w:top w:w="0" w:type="dxa"/>
              <w:left w:w="0" w:type="dxa"/>
              <w:right w:w="0" w:type="dxa"/>
            </w:tcMar>
            <w:vAlign w:val="center"/>
          </w:tcPr>
          <w:p>
            <w:pPr>
              <w:pStyle w:val="TableContents"/>
              <w:bidi w:val="0"/>
              <w:ind w:left="0" w:right="0" w:firstLine="90"/>
              <w:jc w:val="right"/>
              <w:rPr/>
            </w:pPr>
            <w:r>
              <w:rPr/>
              <w:t> </w:t>
            </w:r>
          </w:p>
          <w:p>
            <w:pPr>
              <w:pStyle w:val="TableContents"/>
              <w:bidi w:val="0"/>
              <w:spacing w:before="0" w:after="283"/>
              <w:ind w:left="0" w:right="0" w:firstLine="90"/>
              <w:jc w:val="right"/>
              <w:rPr>
                <w:rFonts w:ascii="Arial" w:hAnsi="Arial"/>
                <w:b/>
                <w:color w:val="000000"/>
                <w:sz w:val="30"/>
              </w:rPr>
            </w:pPr>
            <w:r>
              <w:rPr>
                <w:rFonts w:ascii="Arial" w:hAnsi="Arial"/>
                <w:b/>
                <w:color w:val="000000"/>
                <w:sz w:val="30"/>
              </w:rPr>
              <w:t>Voting Instruction Card</w:t>
            </w:r>
          </w:p>
        </w:tc>
      </w:tr>
    </w:tbl>
    <w:p>
      <w:pPr>
        <w:pStyle w:val="TextBody"/>
        <w:bidi w:val="0"/>
        <w:spacing w:before="120" w:after="120"/>
        <w:jc w:val="both"/>
        <w:rPr>
          <w:rFonts w:ascii="Arial" w:hAnsi="Arial"/>
          <w:color w:val="000000"/>
          <w:sz w:val="17"/>
        </w:rPr>
      </w:pPr>
      <w:r>
        <w:rPr>
          <w:rFonts w:ascii="Arial" w:hAnsi="Arial"/>
          <w:color w:val="000000"/>
          <w:sz w:val="17"/>
        </w:rPr>
        <w:t>JPMorgan Chase Bank, N.A., (the “Depositary”) has received notice that the Annual General Meeting (the “Meeting”) of shareholders of Phoenix New Media Limited (the “Company”) will be held at 2:00 p.m. local time, on December 4, 2025, at Floor 25, Tower B, POSCO Center, Hongtai East Street, Wangjing, Chaoyang District, Beijing 100102, People’s Republic of China, for the purposes set forth on this card.</w:t>
      </w:r>
    </w:p>
    <w:p>
      <w:pPr>
        <w:pStyle w:val="TextBody"/>
        <w:bidi w:val="0"/>
        <w:spacing w:before="0" w:after="120"/>
        <w:jc w:val="both"/>
        <w:rPr>
          <w:rFonts w:ascii="Arial" w:hAnsi="Arial"/>
          <w:color w:val="000000"/>
          <w:sz w:val="17"/>
        </w:rPr>
      </w:pPr>
      <w:r>
        <w:rPr>
          <w:rFonts w:ascii="Arial" w:hAnsi="Arial"/>
          <w:color w:val="000000"/>
          <w:sz w:val="17"/>
        </w:rPr>
        <w:t>If you are desirous of having the Depositary, through its Nominee or Nominees, vote or execute a proxy to vote the Ordinary Shares represented by your American Depositary Receipt(s) FOR or AGAINST or to ABSTAIN from voting on the Resolutions, or any of them, proposed for the Meeting, kindly execute and forward to the Depositary the attached Voting Instruction Card. The enclosed postage-paid envelope is provided for this purpose. This Voting Instruction Card should be executed in such a manner as to show clearly whether you desire or oppose or abstain from voting on the Company’s Resolutions, or any of them, as the case may be. Alternatively, you may include instructions to give a discretionary proxy to a person designated by the Company. The Voting Instruction Card MUST be forwarded in sufficient time to reach the Depositary before 9:00 a.m. New York City time, on November 28, 2025. Only the registered holders of record of American Depositary Receipt(s) as of the close of business on October 30, 2025, will be entitled to execute the attached Voting Instruction Card.</w:t>
      </w:r>
    </w:p>
    <w:p>
      <w:pPr>
        <w:pStyle w:val="TextBody"/>
        <w:bidi w:val="0"/>
        <w:spacing w:before="0" w:after="120"/>
        <w:jc w:val="both"/>
        <w:rPr>
          <w:rFonts w:ascii="Arial" w:hAnsi="Arial"/>
          <w:color w:val="000000"/>
          <w:sz w:val="17"/>
        </w:rPr>
      </w:pPr>
      <w:r>
        <w:rPr>
          <w:rFonts w:ascii="Arial" w:hAnsi="Arial"/>
          <w:color w:val="000000"/>
          <w:sz w:val="17"/>
        </w:rPr>
        <w:t>If no American Depositary Receipt Voting Instruction Card is received by the Depositary before 9:00 a.m. New York City time, November 28, 2025, in accordance with the provisions of the Depositary Agreement, you will be deemed to have instructed the Depositary to give a discretionary voting proxy to a person designated by the Company, which for purposes of this meeting is the Chairman of the Company with full power to exercise the voting rights under the Ordinary Shares represented by your American Depositary Receipt(s) and with full power to each of substitution.</w:t>
      </w:r>
    </w:p>
    <w:p>
      <w:pPr>
        <w:pStyle w:val="TextBody"/>
        <w:bidi w:val="0"/>
        <w:spacing w:before="0" w:after="120"/>
        <w:jc w:val="both"/>
        <w:rPr>
          <w:rFonts w:ascii="Arial" w:hAnsi="Arial"/>
          <w:color w:val="000000"/>
          <w:sz w:val="17"/>
        </w:rPr>
      </w:pPr>
      <w:r>
        <w:rPr>
          <w:rFonts w:ascii="Arial" w:hAnsi="Arial"/>
          <w:color w:val="000000"/>
          <w:sz w:val="17"/>
        </w:rPr>
        <w:t>The signatory, a registered holder of American Depositary Receipt(s) representing Ordinary Shares of the Company of record on October 30, 2025, hereby requests and authorizes the Depositary, through its Nominee or Nominees, to vote or execute a proxy to vote the underlying Ordinary Shares of the Company represented by American Depositary Receipt(s), in accordance with the instructions given at the Meeting.</w:t>
      </w:r>
    </w:p>
    <w:p>
      <w:pPr>
        <w:pStyle w:val="TextBody"/>
        <w:bidi w:val="0"/>
        <w:spacing w:before="0" w:after="120"/>
        <w:jc w:val="both"/>
        <w:rPr>
          <w:rFonts w:ascii="Arial" w:hAnsi="Arial"/>
          <w:color w:val="000000"/>
          <w:sz w:val="17"/>
        </w:rPr>
      </w:pPr>
      <w:r>
        <w:rPr>
          <w:rFonts w:ascii="Arial" w:hAnsi="Arial"/>
          <w:color w:val="000000"/>
          <w:sz w:val="17"/>
        </w:rPr>
        <w:t>NOTE: In order to have the aforesaid shares voted, this Voting Instruction Card MUST be returned before 9:00 a.m. New York City time, on November 28, 2025.</w:t>
      </w:r>
    </w:p>
    <w:p>
      <w:pPr>
        <w:pStyle w:val="TextBody"/>
        <w:bidi w:val="0"/>
        <w:spacing w:before="0" w:after="120"/>
        <w:jc w:val="left"/>
        <w:rPr>
          <w:rFonts w:ascii="Arial" w:hAnsi="Arial"/>
          <w:color w:val="000000"/>
          <w:sz w:val="17"/>
        </w:rPr>
      </w:pPr>
      <w:r>
        <w:rPr>
          <w:rFonts w:ascii="Arial" w:hAnsi="Arial"/>
          <w:color w:val="000000"/>
          <w:sz w:val="17"/>
        </w:rPr>
        <w:t>Please Note: The Notice of Annual General Meeting and the Annual Report are available for viewing on the Company’s website https://ir.ifeng.com/.</w:t>
      </w:r>
    </w:p>
    <w:p>
      <w:pPr>
        <w:pStyle w:val="TextBody"/>
        <w:bidi w:val="0"/>
        <w:spacing w:before="0" w:after="120"/>
        <w:jc w:val="both"/>
        <w:rPr>
          <w:rFonts w:ascii="Arial" w:hAnsi="Arial"/>
          <w:color w:val="000000"/>
          <w:sz w:val="17"/>
        </w:rPr>
      </w:pPr>
      <w:r>
        <w:rPr>
          <w:rFonts w:ascii="Arial" w:hAnsi="Arial"/>
          <w:color w:val="000000"/>
          <w:sz w:val="17"/>
        </w:rPr>
        <w:t>JPMorgan Chase Bank, N.A., Depositary</w:t>
      </w:r>
    </w:p>
    <w:p>
      <w:pPr>
        <w:pStyle w:val="TextBody"/>
        <w:bidi w:val="0"/>
        <w:jc w:val="center"/>
        <w:rPr/>
      </w:pPr>
      <w:r>
        <w:rPr/>
        <w:t> </w:t>
      </w:r>
    </w:p>
    <w:p>
      <w:pPr>
        <w:pStyle w:val="TextBody"/>
        <w:bidi w:val="0"/>
        <w:jc w:val="center"/>
        <w:rPr/>
      </w:pPr>
      <w:r>
        <w:rPr/>
        <w:t> </w:t>
      </w:r>
    </w:p>
    <w:p>
      <w:pPr>
        <w:pStyle w:val="TextBody"/>
        <w:bidi w:val="0"/>
        <w:jc w:val="left"/>
        <w:rPr>
          <w:rFonts w:ascii="Arial" w:hAnsi="Arial"/>
          <w:b/>
          <w:color w:val="000000"/>
          <w:sz w:val="20"/>
        </w:rPr>
      </w:pPr>
      <w:r>
        <w:rPr>
          <w:rFonts w:ascii="Arial" w:hAnsi="Arial"/>
          <w:b/>
          <w:color w:val="000000"/>
          <w:sz w:val="20"/>
        </w:rPr>
        <w:t>PLEASE MARK, DATE AND SIGN ON REVERSE SIDE AND RETURN PROMPTLY IN THE ENCLOSED ENVELOPE.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4741</Words>
  <Characters>24224</Characters>
  <CharactersWithSpaces>29055</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