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Li Qi LQ</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2-6 DAI KING STREET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TAI PO INDUSTRIAL ESTATE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03/26/2026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Phoenix New Media Ltd</w:t>
              </w:r>
            </w:hyperlink>
            <w:r>
              <w:rPr/>
              <w:t xml:space="preserve"> [ </w:t>
            </w:r>
            <w:r>
              <w:rPr>
                <w:rFonts w:ascii="Times;serif" w:hAnsi="Times;serif"/>
                <w:color w:val="0000FF"/>
                <w:sz w:val="24"/>
                <w:shd w:fill="FFFFFF" w:val="clear"/>
              </w:rPr>
              <w:t>FENG</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Yao Wang, Power of Attorney for: Li Qi LQ</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feng-ex24.htm"/>
      <w:bookmarkStart w:id="3" w:name="ksfengex24"/>
      <w:bookmarkEnd w:id="2"/>
      <w:bookmarkEnd w:id="3"/>
      <w:r>
        <w:rPr/>
        <w:t> </w:t>
      </w:r>
      <w:r>
        <w:br w:type="page"/>
      </w:r>
    </w:p>
    <w:p>
      <w:pPr>
        <w:pStyle w:val="TextBody"/>
        <w:bidi w:val="0"/>
        <w:jc w:val="right"/>
        <w:rPr>
          <w:rFonts w:ascii="Times New Roman" w:hAnsi="Times New Roman"/>
          <w:b/>
          <w:color w:val="000000"/>
          <w:sz w:val="20"/>
        </w:rPr>
      </w:pPr>
      <w:bookmarkStart w:id="4" w:name="exhibit99_1_035206_12901421"/>
      <w:bookmarkEnd w:id="4"/>
      <w:r>
        <w:rPr>
          <w:rFonts w:ascii="Times New Roman" w:hAnsi="Times New Roman"/>
          <w:b/>
          <w:color w:val="000000"/>
          <w:sz w:val="20"/>
        </w:rPr>
        <w:t>Exhibit 24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by these presents that the undersigned, does hereby make, constitute and appoint each of Yao Wang, Binbing Guo and Haoxue Feng,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Phoenix New Media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Yao Wang, Binbing Guo and Haoxue Feng, are not assuming any of the undersigned’s responsibilities to comply with Section 16 of the Securities Exchange Act of 1934, as amended, or Rule 144 under the Securities Act of 1933, as amended.</w:t>
      </w:r>
    </w:p>
    <w:p>
      <w:pPr>
        <w:pStyle w:val="TextBody"/>
        <w:bidi w:val="0"/>
        <w:jc w:val="both"/>
        <w:rPr/>
      </w:pPr>
      <w:r>
        <w:rPr/>
        <w:t> </w:t>
      </w:r>
    </w:p>
    <w:p>
      <w:pPr>
        <w:pStyle w:val="TextBody"/>
        <w:bidi w:val="0"/>
        <w:jc w:val="both"/>
        <w:rPr/>
      </w:pPr>
      <w:r>
        <w:rPr/>
        <w:t> </w:t>
      </w:r>
    </w:p>
    <w:tbl>
      <w:tblPr>
        <w:tblW w:w="3603" w:type="dxa"/>
        <w:jc w:val="left"/>
        <w:tblInd w:w="0" w:type="dxa"/>
        <w:tblLayout w:type="fixed"/>
        <w:tblCellMar>
          <w:top w:w="28" w:type="dxa"/>
          <w:left w:w="28" w:type="dxa"/>
          <w:bottom w:w="28" w:type="dxa"/>
          <w:right w:w="28" w:type="dxa"/>
        </w:tblCellMar>
      </w:tblPr>
      <w:tblGrid>
        <w:gridCol w:w="1906"/>
        <w:gridCol w:w="109"/>
        <w:gridCol w:w="631"/>
        <w:gridCol w:w="146"/>
        <w:gridCol w:w="811"/>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cMar>
              <w:top w:w="0" w:type="dxa"/>
              <w:left w:w="0" w:type="dxa"/>
              <w:bottom w:w="0" w:type="dxa"/>
              <w:right w:w="0" w:type="dxa"/>
            </w:tcMar>
            <w:vAlign w:val="center"/>
          </w:tcPr>
          <w:p>
            <w:pPr>
              <w:pStyle w:val="TableContents"/>
              <w:pBdr>
                <w:bottom w:val="single" w:sz="6" w:space="1" w:color="000000"/>
              </w:pBdr>
              <w:bidi w:val="0"/>
              <w:spacing w:before="0" w:after="22"/>
              <w:jc w:val="left"/>
              <w:rPr>
                <w:rFonts w:ascii="Times New Roman" w:hAnsi="Times New Roman"/>
                <w:color w:val="000000"/>
                <w:sz w:val="20"/>
              </w:rPr>
            </w:pPr>
            <w:r>
              <w:rPr>
                <w:rFonts w:ascii="Times New Roman" w:hAnsi="Times New Roman"/>
                <w:color w:val="000000"/>
                <w:sz w:val="20"/>
              </w:rPr>
              <w:t>/s/ Li Qi</w:t>
            </w:r>
          </w:p>
        </w:tc>
      </w:tr>
      <w:tr>
        <w:trPr/>
        <w:tc>
          <w:tcPr>
            <w:tcW w:w="19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 Qi</w:t>
            </w:r>
          </w:p>
        </w:tc>
      </w:tr>
      <w:tr>
        <w:trPr/>
        <w:tc>
          <w:tcPr>
            <w:tcW w:w="3603"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0"/>
              </w:rPr>
              <w:t>Date:</w:t>
            </w:r>
            <w:r>
              <w:rPr>
                <w:rFonts w:ascii="Times New Roman" w:hAnsi="Times New Roman"/>
                <w:color w:val="000000"/>
                <w:sz w:val="24"/>
              </w:rPr>
              <w:t xml:space="preserve"> </w:t>
            </w:r>
            <w:r>
              <w:rPr>
                <w:rFonts w:ascii="Times New Roman" w:hAnsi="Times New Roman"/>
                <w:color w:val="000000"/>
                <w:sz w:val="20"/>
              </w:rPr>
              <w:t>March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4499" TargetMode="External"/><Relationship Id="rId3" Type="http://schemas.openxmlformats.org/officeDocument/2006/relationships/hyperlink" Target="http://www.sec.gov/cgi-bin/browse-edgar?action=getcompany&amp;CIK=00015096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3480</Characters>
  <CharactersWithSpaces>4107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