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132715</wp:posOffset>
            </wp:positionV>
            <wp:extent cx="29057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9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165100</wp:posOffset>
            </wp:positionV>
            <wp:extent cx="29057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330"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47"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March 2026</w:t>
      </w:r>
    </w:p>
    <w:p>
      <w:pPr>
        <w:spacing w:after="0" w:line="19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001-35158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156845</wp:posOffset>
            </wp:positionV>
            <wp:extent cx="29057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324"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43"/>
          <w:szCs w:val="43"/>
          <w:b w:val="1"/>
          <w:bCs w:val="1"/>
          <w:color w:val="auto"/>
        </w:rPr>
        <w:t>PHOENIX NEW MEDIA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172720</wp:posOffset>
            </wp:positionV>
            <wp:extent cx="2905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Floor 25, Tower B, POSCO Center</w:t>
      </w:r>
    </w:p>
    <w:p>
      <w:pPr>
        <w:spacing w:after="0" w:line="3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Hongtai East Street</w:t>
      </w:r>
    </w:p>
    <w:p>
      <w:pPr>
        <w:spacing w:after="0" w:line="9"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Wangjing, Chaoyang District,</w:t>
      </w:r>
    </w:p>
    <w:p>
      <w:pPr>
        <w:spacing w:after="0" w:line="9"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Beijing 100102</w:t>
      </w:r>
    </w:p>
    <w:p>
      <w:pPr>
        <w:spacing w:after="0" w:line="9"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142240</wp:posOffset>
            </wp:positionV>
            <wp:extent cx="29057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44" w:lineRule="exact"/>
        <w:rPr>
          <w:sz w:val="24"/>
          <w:szCs w:val="24"/>
          <w:color w:val="auto"/>
        </w:rPr>
      </w:pPr>
    </w:p>
    <w:p>
      <w:pPr>
        <w:ind w:left="4260"/>
        <w:spacing w:after="0" w:line="207" w:lineRule="exact"/>
        <w:tabs>
          <w:tab w:leader="none" w:pos="5200" w:val="left"/>
          <w:tab w:leader="none" w:pos="594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94" w:lineRule="exact"/>
        <w:rPr>
          <w:sz w:val="24"/>
          <w:szCs w:val="24"/>
          <w:color w:val="auto"/>
        </w:rPr>
      </w:pPr>
    </w:p>
    <w:p>
      <w:pPr>
        <w:ind w:left="4860"/>
        <w:spacing w:after="0" w:line="207" w:lineRule="exact"/>
        <w:tabs>
          <w:tab w:leader="none" w:pos="59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1196340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1440" w:right="919" w:bottom="1440" w:gutter="0" w:footer="0" w:header="0"/>
        </w:sectPr>
      </w:pPr>
    </w:p>
    <w:bookmarkStart w:id="1" w:name="page2"/>
    <w:bookmarkEnd w:id="1"/>
    <w:p>
      <w:pPr>
        <w:ind w:left="470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99.1 — Press release: Phoenix New Media Reports Fourth Quarter and Fiscal Year 2025 Unaudited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901065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PHOENIX NEW MEDIA LIMITED</w:t>
      </w:r>
    </w:p>
    <w:p>
      <w:pPr>
        <w:spacing w:after="0" w:line="252" w:lineRule="exact"/>
        <w:rPr>
          <w:sz w:val="20"/>
          <w:szCs w:val="20"/>
          <w:color w:val="auto"/>
        </w:rPr>
      </w:pPr>
    </w:p>
    <w:tbl>
      <w:tblPr>
        <w:tblLayout w:type="fixed"/>
        <w:tblInd w:w="626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Lu</w:t>
            </w:r>
          </w:p>
        </w:tc>
      </w:tr>
      <w:tr>
        <w:trPr>
          <w:trHeight w:val="205"/>
        </w:trPr>
        <w:tc>
          <w:tcPr>
            <w:tcW w:w="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1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Edward Lu</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2130425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Phoenix New Media Reports Fourth Quarter and Fiscal Year 2025 Unaudited Financial Results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Live Conference Call to be Held at 9:30 PM U.S. Eastern Time on March 10, 2026</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BEIJING, China, March 11, 2026 — Phoenix New Media Limited (NYSE: FENG) (“Phoenix New Media”, “ifeng” or the “Company”), a leading new media company in China, today announced its unaudited financial results for the fourth quarter and fiscal year ended December 31, 2025.</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Mr. Yusheng Sun, CEO of Phoenix New Media, stated, “In the fourth quarter, we focused on strengthening our core capabilities, reinforcing our positioning as a mainstream media outlet, refining our original content system, and advancing our technology and collaboration initiatives. Looking ahead, we will stay focused on our core strengths and long-term strategy to build a sustainable foundation for future development.”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Total revenues in the fourth quarter of 2025 increased by 1.9% to RMB222.3 million (US$31.8 million) from RMB218.1 million in the same period of 2024, primarily due to the year-over-year increase in the Company’s paid services revenues.</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advertising revenues in the fourth quarter of 2025 was RMB181.1 million (US$25.9 million), representing a decrease of 4.2% from RMB189.0 million in the same period of 2024.</w:t>
      </w:r>
    </w:p>
    <w:p>
      <w:pPr>
        <w:spacing w:after="0" w:line="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Paid services revenues in the fourth quarter of 2025 increased by 41.6% to RMB41.2 million (US$5.9 million) from RMB29.1 million in the same period of 2024. Paid services revenues comprise (i) revenues from paid contents and (ii) revenues from E-commerce and others. Revenues from paid contents in the fourth quarter of 2025 increased by 51.9% to RMB36.6 million (US$5.2 million) from RMB24.1 million in the same period of 2024, driven by revenues generated from the Company's digital reading services offered through mini-programs on third-party applications in the fourth quarter of 2025. Revenues from E-commerce and others in the fourth quarter of 2025 decreased by 8.0% to RMB4.6 million (US$0.7 million) from RMB5.0 million in the same period of 2024, as the Company scaled down its E-commerce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Cost of revenues in the fourth quarter of 2025 decreased by 18.6% to RMB98.6 million (US$14.1 million) from RMB121.1 million in the same period of 2024.</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Gross profit in the fourth quarter of 2025 increased by 27.5% to RMB123.7 million (US$17.7 million) from RMB97.0 million in the same period of 2024. Gross margin in the fourth quarter of 2025 increased to 55.6% from 44.5% in the same period of 2024. The increase in gross margin was mainly attributable to higher gross margin of the digital reading services offered through mini-programs and significant increase in revenues from such services.</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 supplement the financial measures presented in accordance with the United States Generally Accepted Accounting Principles (“GAAP”), the Company has presented certain non-GAAP financial measures in this press release, which excluded the impact of certain reconciling items as stated in the “Use of Non-GAAP Financial Measures” section below. The related reconciliations to GAAP financial measures are presented in the accompanying “Unaudited Reconciliations of Non-GAAP Results of Operation Measures to the Nearest Comparable GAAP Measures.”</w:t>
      </w:r>
    </w:p>
    <w:p>
      <w:pPr>
        <w:spacing w:after="0" w:line="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Non-GAAP gross margin in the fourth quarter of 2025, which excluded share-based compensation, increased to 55.6% from 44.5% in the same period of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AND INCOME FROM OPERATIONS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Total operating expenses in the fourth quarter of 2025 increased by 9.9% to RMB99.2 million (US$14.2 million) from RMB90.3 million in the same period of 2024, primarily attributable to higher sales and marketing expenses incurred for the digital reading services offered through mini-programs.</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Income from operations in the fourth quarter of 2025 increased by 265.7% to RMB24.5 million (US$3.5 million) from RMB6.7 million in the same period of 2024. Operating margin in the fourth quarter of 2025 increased to 11.0% from 3.1% in the same period of 2024.</w:t>
      </w:r>
    </w:p>
    <w:p>
      <w:pPr>
        <w:spacing w:after="0" w:line="5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Non-GAAP income from operations in the fourth quarter of 2025, which excluded share-based compensation, increased by 260.3% to RMB24.5 million (US$3.5 million) from RMB6.8 million in the same period of 2024. Non-GAAP operating margin in the fourth quarter of 2025, which excluded share-based compensation, increased to 11.0% from 3.1% in the same period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OR LOSS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Other income or loss reflects net interest income, foreign currency exchange gain or loss, income or loss from equity investments, including impairment, fair value changes in investments, net, and others, net. Total net other income in the fourth quarter of 2025 was RMB19.5 million (US$2.8 million), compared to total net other loss of RMB4.9 million recorded in the same period of 2024, which mainly consisted of the following items:</w:t>
      </w:r>
    </w:p>
    <w:p>
      <w:pPr>
        <w:spacing w:after="0" w:line="68" w:lineRule="exact"/>
        <w:rPr>
          <w:sz w:val="20"/>
          <w:szCs w:val="20"/>
          <w:color w:val="auto"/>
        </w:rPr>
      </w:pPr>
    </w:p>
    <w:p>
      <w:pPr>
        <w:ind w:left="1160" w:right="140" w:hanging="434"/>
        <w:spacing w:after="0" w:line="282" w:lineRule="auto"/>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in the fourth quarter of 2025 was RMB5.0 million (US$0.7 million), compared to RMB8.5 million in the same period of 2024.</w:t>
      </w:r>
    </w:p>
    <w:p>
      <w:pPr>
        <w:spacing w:after="0" w:line="53" w:lineRule="exact"/>
        <w:rPr>
          <w:rFonts w:ascii="Times New Roman" w:cs="Times New Roman" w:eastAsia="Times New Roman" w:hAnsi="Times New Roman"/>
          <w:sz w:val="18"/>
          <w:szCs w:val="18"/>
          <w:color w:val="auto"/>
        </w:rPr>
      </w:pPr>
    </w:p>
    <w:p>
      <w:pPr>
        <w:ind w:left="1160" w:right="480" w:hanging="434"/>
        <w:spacing w:after="0" w:line="282" w:lineRule="auto"/>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gain in the fourth quarter of 2025 was RMB0.5 million (US$0.1 million), compared to a foreign currency exchange loss of RMB3.4 million in the same period of 2024.</w:t>
      </w:r>
    </w:p>
    <w:p>
      <w:pPr>
        <w:spacing w:after="0" w:line="53" w:lineRule="exact"/>
        <w:rPr>
          <w:rFonts w:ascii="Times New Roman" w:cs="Times New Roman" w:eastAsia="Times New Roman" w:hAnsi="Times New Roman"/>
          <w:sz w:val="18"/>
          <w:szCs w:val="18"/>
          <w:color w:val="auto"/>
        </w:rPr>
      </w:pPr>
    </w:p>
    <w:p>
      <w:pPr>
        <w:ind w:left="1160" w:right="440" w:hanging="434"/>
        <w:spacing w:after="0" w:line="261" w:lineRule="auto"/>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from equity method investments, including impairment was RMB0.4 million (US$0.06 million) in the fourth quarter of 2025, compared to loss from equity method investments, including impairment of RMB9.9 million in the same period of 2024, which were mainly attributable to the changes in estimated fair value of the underlying investments held by the limited partnerships accounted for under the equity method.</w:t>
      </w:r>
    </w:p>
    <w:p>
      <w:pPr>
        <w:spacing w:after="0" w:line="71" w:lineRule="exact"/>
        <w:rPr>
          <w:rFonts w:ascii="Times New Roman" w:cs="Times New Roman" w:eastAsia="Times New Roman" w:hAnsi="Times New Roman"/>
          <w:sz w:val="18"/>
          <w:szCs w:val="18"/>
          <w:color w:val="auto"/>
        </w:rPr>
      </w:pPr>
    </w:p>
    <w:p>
      <w:pPr>
        <w:ind w:left="1160" w:hanging="434"/>
        <w:spacing w:after="0" w:line="266" w:lineRule="auto"/>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changes in investments, net in the fourth quarter of 2025 was a gain of RMB13.9 million (US$2.0 million), compared to a loss of RMB1.7 million in the same period of 2024, which were mainly attributable to the changes in estimated fair value of the underlying investments held by the Company through a private equity fund accounted using NAV as a practical expedient under ASC 820.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OR LOSS ATTRIBUTABLE TO PHOENIX NEW MEDIA LIMITED</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Net income attributable to Phoenix New Media Limited in the fourth quarter of 2025 was RMB45.3 million (US$6.5 million), compared to net loss attributable to Phoenix New Media Limited of RMB3.6 million in the same period of 2024. Net margin in the fourth quarter of 2025 was positive 20.4%, compared to negative 1.6% in the same period of 2024. Net income per basic and diluted ordinary share in the fourth quarter of 2025 was RMB0.08 (US$0.01), compared to net loss per basic and diluted ordinary share of RMB0.01 in the same period of 2024.</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Non-GAAP net income attributable to Phoenix New Media Limited, which excluded share-based compensation, income or loss from equity investments, including impairment, and fair value changes in investments, net, increased to RMB31.8 million (US$4.5 million) in the fourth quarter of 2025 from RMB8.1 million in the same period of 2024. Non-GAAP net margin in the fourth quarter of 2025 increased to 14.3% from 3.7% in the same period of 2024. Non-GAAP net income per basic and diluted ADS in the fourth quarter of 2025 increased to RMB2.65 (US$0.38) from RMB0.67 in the same period of 2024. “ADS(s)” refers to the Company's American Depositary Share(s), each representing 48 Class A ordinary shares of the Company.</w:t>
      </w:r>
    </w:p>
    <w:p>
      <w:pPr>
        <w:spacing w:after="0" w:line="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the fourth quarter of 2025, the Company’s weighted average number of ADSs used in the computation of basic and diluted net income per ADS was 12,010,776. As of December 31, 2025, the Company had a total of 576,517,237 ordinary shares outstanding, or the equivalent of 12,010,776 ADSs.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Total revenues in 2025 increased by 8.8% to RMB765.6 million (US$109.5 million) from RMB703.7 million in 2024, driven by revenues generated from the Company's digital reading services offered through mini-programs on third-party applications in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advertising revenues in 2025 decreased by 2.6% to RMB614.3 million (US$87.9 million) from RMB630.6 million in 2024.</w:t>
      </w:r>
    </w:p>
    <w:p>
      <w:pPr>
        <w:spacing w:after="0" w:line="22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Paid services revenues in 2025 increased by 107.0% to RMB151.3 million (US$21.6 million) from RMB73.1 million in 2024, driven by revenues generated from the Company's digital reading services offered through mini-programs on third-party applications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Cost of revenues in 2025 decreased by 10.0% to RMB391.5 million (US$56.0 million) from RMB435.0 million in 2024, as a result of the Company’s strict cost control measures.</w:t>
      </w:r>
    </w:p>
    <w:p>
      <w:pPr>
        <w:spacing w:after="0" w:line="16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Gross profit in 2025 increased by 39.2% to RMB374.1 million (US$53.5 million) from RMB268.7 million in 2024. Gross margin in 2025 increased to 48.9% from 38.2% in 2024, mainly due to higher gross margin of the digital reading services offered through mini-programs and significant increase in revenues from such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AND LOSS FROM OPERATIONS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Total operating expense in 2025 increased by 22.5% to RMB408.5 million (US$58.4 million) from RMB333.4 million in 2024, primarily attributable to higher sales and marketing expenses incurred for the digital reading services offered through mini-programs in 2025.</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Loss from operations in 2025 was RMB34.4 million (US$4.9 million), compared to RMB64.7 million in 2024. Operating margin in 2025 was negative 4.5%, compared to negative 9.2% in 2024.</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Non-GAAP loss from operations in 2025, which excluded share-based compensation, was RMB34.4 million (US$4.9 million), compared to RMB63.2 million in 2024. Non-GAAP operating margin in 2025, which excluded share-based compensation, was negative 4.5%, compared to negative 9.0%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OR LOSS ATTRIBUTABLE TO PHOENIX NEW MEDIA LIMITED</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income attributable to the Company in 2025 was RMB0.3 million (US$0.04 million), compared to net loss attributable to the Company of RMB53.6 million in 2024. Net margin in 2025 was positive 0.0%, compared to negative 7.6% in 2024. Net income per basic and diluted ordinary share in 2025 were both RMB0.00 (US$0.00), compared to net loss per basic and diluted ordinary share of RMB0.09 in 2024.</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Non-GAAP net loss attributable to the Company in the fiscal year of 2025, which excluded share-based compensation, income or loss from equity method investments, including impairment and fair value changes in investments, net, was RMB19.5 million (US$2.8 million), compared to non-GAAP net loss attributable to the Company of RMB36.7 million in 2024. Non-GAAP net margin in the fiscal year of 2025 was negative 2.5%, compared to negative 5.2% in 2024. Non-GAAP net loss per basic and diluted ADS in 2025 were both RMB1.62 (US$0.23), compared to non-GAAP net loss per basic and diluted ADS of RMB3.05 in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BALANCE SHEET ITEMS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Company’s cash and cash equivalents, term deposits and short term investments and restricted cash were RMB1.02 billion (US$145.6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first quarter of 2026, the Company expects its total revenues to be between RMB160.0 million and RMB175.0 million; net advertising revenues are expected to be between RMB111.2 million and RMB121.2 million; and paid services revenues are expected to be between RMB48.8 million and RMB53.8 million.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above forecasts reflect the current and preliminary view of the Company’s management, which are subject to changes and substantial uncertainty, particularly in view of the uncertainty of macroeconomic environment.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0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will hold a conference call at 9:30 p.m. U.S. Eastern Time on March 10, 2026 (March 11, 2026 at 9:30 a.m. Beijing/Hong Kong time) to discuss its fourth quarter and fiscal year 2025 unaudited financial results and operating performance.</w:t>
      </w:r>
    </w:p>
    <w:p>
      <w:pPr>
        <w:spacing w:after="0" w:line="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To participate in the call, please register in advance of the conference by clicking here (https://register-conf.media-server.com/register/BI9a6bce2bf20e4b6aa5cffff120efc008). Upon registering, each participant will receive the participant dial-in numbers and a unique access PIN, which will be used to join the conference call. Please dial in 10 minutes before the call is scheduled to begin.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of the conference call will also be available at the Company’s investor relations website at http://ir.ifeng.com.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0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To supplement the consolidated financial statements presented in accordance with the United States Generally Accepted Accounting Principles (“GAAP”), Phoenix New Media Limited uses non-GAAP gross profit, non-GAAP gross margin, non-GAAP income or loss from operations, non-GAAP operating margin, non-GAAP net income or loss attributable to Phoenix New Media Limited, non-GAAP net margin and non-GAAP net income or loss per diluted ADS, each of which is a non-GAAP financial measure. Non-GAAP gross profit is gross profit excluding share-based compensation. Non-GAAP gross margin is non-GAAP gross profit divided by total revenues. Non-GAAP income or loss from operations is income or loss from operations excluding share-based compensation. Non-GAAP operating margin is non-GAAP income or loss from operations divided by total revenues. Non-GAAP net income or loss attributable to Phoenix New Media Limited is net income or loss attributable to Phoenix New Media Limited excluding share-based compensation, income or loss from equity investments, including impairment and fair value changes in investments, net. Non-GAAP net margin is non-GAAP net income or loss attributable to Phoenix New Media Limited divided by total revenues. Non-GAAP net income or loss per diluted ADS is non-GAAP net income or loss attributable to Phoenix New Media Limited divided by weighted average number of diluted ADSs. The Company believes that separate analysis and exclusion of the aforementioned non-GAAP to GAAP reconciling items add clarity to the constituent parts of its performance. The Company reviews these non-GAAP financial measures together with the related GAAP financial measures to obtain a better understanding of its operating performance. It uses these non-GAAP financial measures for planning, forecasting and measuring results against the forecast. The Company believes that using these non-GAAP financial measures to evaluate its business allows both management and investors to assess the Company’s performance against its competitors and ultimately monitor its capacity to generate returns for investors. The Company also believes that these non-GAAP financial measures are useful supplemental information for investors and analysts to assess its operating performance without the effect of items like share-based compensation, income or loss from equity investments, including impairment, and fair value changes in investments, net, which have been and will continue to be significant recurring items. However, the use of these non-GAAP financial measures has material limitations as an analytical tool. One of the limitations of using these non-GAAP financial measures is that they do not include all items that impact the Company’s gross profit, income or loss from operations and net income or loss attributable to Phoenix New Media Limited for the period. In addition, because these non-GAAP financial measures are not calculated in the same manner by all companies, they may not be comparable to other similarly titled measures used by other companies. In light of the foregoing limitations, you should not consider these non-GAAP financial measures in isolation from, or as an alternative to, the financial measures prepared in accordance with GAAP.</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(“USD”) at specified rates solely for the convenience of the readers. Unless otherwise stated, all translations from RMB to USD were made at the rate of RMB6.9931 to US$1.00, the noon buying rate in effect on December 31, 2025 in the H.10 statistical release of the Federal Reserve Board. The Company makes no representation that the RMB or USD amounts referred could be converted into USD or RMB, as the case may be, at any particular rate or at all. For analytical presentations, all percentages are calculated using the numbers presented in the financial information contained in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843915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Phoenix New Media Limited</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Phoenix New Media Limited (NYSE: FENG) is a leading new media company providing premium content on an integrated Internet platform, including PC and mobile, in China. Having originated from a leading global Chinese language TV network based in Hong Kong, Phoenix TV, the Company enables consumers to access professional news and other quality information on the Internet through their PCs and mobile devices. Phoenix New Media's platform includes its PC channel, consisting of ifeng.com website, which comprises interest-based verticals and interactive services; its mobile channel, consisting of mobile news applications, mobile video application, digital reading applications and mobile Internet website; and its operations with the telecom operators that provides mobile value-added services.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8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Phoenix New Media’s strategic and operational plans, contain forward-looking statements. Phoenix New Media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Phoenix New Media’s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financial condition and results of operations; the expected growth of online and mobile advertising, online video and mobile paid services markets in China; the Company’s reliance on online and mobile advertising for a majority of its total revenues; the Company’s expectations regarding demand for and market acceptance of its services; the Company’s expectations regarding maintaining and strengthening its relationships with advertisers, partners and customers; the Company’s investment plans and strategies; fluctuations in the Company’s quarterly operating results; the Company’s plans to enhance its user experience, infrastructure and services offerings; competition in its industry in China; and relevant government policies and regulations relating to the Company. Further information regarding these and other risks is included in the Company’s filings with the SEC, including its registration statement on Form F−1, as amended, and its annual reports on Form 20−F. All information provided in this press release and in the attachments is as of the date of this press release, and Phoenix New Media does not undertake any obligation to update any forward-looking statement, except as required under applicable law.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New Media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Muzi Guo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investorrelations@ifeng.com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1433195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4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184"/>
        </w:trPr>
        <w:tc>
          <w:tcPr>
            <w:tcW w:w="514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00" w:type="dxa"/>
            <w:vAlign w:val="bottom"/>
          </w:tcPr>
          <w:p>
            <w:pPr>
              <w:spacing w:after="0"/>
              <w:rPr>
                <w:sz w:val="15"/>
                <w:szCs w:val="15"/>
                <w:color w:val="auto"/>
              </w:rPr>
            </w:pPr>
          </w:p>
        </w:tc>
      </w:tr>
      <w:tr>
        <w:trPr>
          <w:trHeight w:val="107"/>
        </w:trPr>
        <w:tc>
          <w:tcPr>
            <w:tcW w:w="51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607,579</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537,549</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76,869</w:t>
            </w:r>
          </w:p>
        </w:tc>
        <w:tc>
          <w:tcPr>
            <w:tcW w:w="100" w:type="dxa"/>
            <w:vAlign w:val="bottom"/>
            <w:shd w:val="clear" w:color="auto" w:fill="CFF0FC"/>
          </w:tcPr>
          <w:p>
            <w:pPr>
              <w:spacing w:after="0"/>
              <w:rPr>
                <w:sz w:val="12"/>
                <w:szCs w:val="12"/>
                <w:color w:val="auto"/>
              </w:rPr>
            </w:pPr>
          </w:p>
        </w:tc>
      </w:tr>
      <w:tr>
        <w:trPr>
          <w:trHeight w:val="149"/>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deposits and short term investments</w:t>
            </w:r>
          </w:p>
        </w:tc>
        <w:tc>
          <w:tcPr>
            <w:tcW w:w="1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428,343</w:t>
            </w:r>
          </w:p>
        </w:tc>
        <w:tc>
          <w:tcPr>
            <w:tcW w:w="280" w:type="dxa"/>
            <w:vAlign w:val="bottom"/>
          </w:tcPr>
          <w:p>
            <w:pPr>
              <w:spacing w:after="0"/>
              <w:rPr>
                <w:sz w:val="12"/>
                <w:szCs w:val="12"/>
                <w:color w:val="auto"/>
              </w:rPr>
            </w:pP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464,226</w:t>
            </w:r>
          </w:p>
        </w:tc>
        <w:tc>
          <w:tcPr>
            <w:tcW w:w="260" w:type="dxa"/>
            <w:vAlign w:val="bottom"/>
          </w:tcPr>
          <w:p>
            <w:pPr>
              <w:spacing w:after="0"/>
              <w:rPr>
                <w:sz w:val="12"/>
                <w:szCs w:val="12"/>
                <w:color w:val="auto"/>
              </w:rPr>
            </w:pPr>
          </w:p>
        </w:tc>
        <w:tc>
          <w:tcPr>
            <w:tcW w:w="1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66,383</w:t>
            </w: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9,761</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16,102</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2,303</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326,795</w:t>
            </w:r>
          </w:p>
        </w:tc>
        <w:tc>
          <w:tcPr>
            <w:tcW w:w="280" w:type="dxa"/>
            <w:vAlign w:val="bottom"/>
          </w:tcPr>
          <w:p>
            <w:pPr>
              <w:spacing w:after="0"/>
              <w:rPr>
                <w:sz w:val="12"/>
                <w:szCs w:val="12"/>
                <w:color w:val="auto"/>
              </w:rPr>
            </w:pP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293,119</w:t>
            </w:r>
          </w:p>
        </w:tc>
        <w:tc>
          <w:tcPr>
            <w:tcW w:w="260" w:type="dxa"/>
            <w:vAlign w:val="bottom"/>
          </w:tcPr>
          <w:p>
            <w:pPr>
              <w:spacing w:after="0"/>
              <w:rPr>
                <w:sz w:val="12"/>
                <w:szCs w:val="12"/>
                <w:color w:val="auto"/>
              </w:rPr>
            </w:pPr>
          </w:p>
        </w:tc>
        <w:tc>
          <w:tcPr>
            <w:tcW w:w="1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41,915</w:t>
            </w: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Amounts due from related parties</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76,404</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74,392</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10,638</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Prepayment and other current assets</w:t>
            </w:r>
          </w:p>
        </w:tc>
        <w:tc>
          <w:tcPr>
            <w:tcW w:w="1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25,470</w:t>
            </w:r>
          </w:p>
        </w:tc>
        <w:tc>
          <w:tcPr>
            <w:tcW w:w="280" w:type="dxa"/>
            <w:vAlign w:val="bottom"/>
          </w:tcPr>
          <w:p>
            <w:pPr>
              <w:spacing w:after="0"/>
              <w:rPr>
                <w:sz w:val="12"/>
                <w:szCs w:val="12"/>
                <w:color w:val="auto"/>
              </w:rPr>
            </w:pPr>
          </w:p>
        </w:tc>
        <w:tc>
          <w:tcPr>
            <w:tcW w:w="1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32,905</w:t>
            </w:r>
          </w:p>
        </w:tc>
        <w:tc>
          <w:tcPr>
            <w:tcW w:w="260" w:type="dxa"/>
            <w:vAlign w:val="bottom"/>
          </w:tcPr>
          <w:p>
            <w:pPr>
              <w:spacing w:after="0"/>
              <w:rPr>
                <w:sz w:val="12"/>
                <w:szCs w:val="12"/>
                <w:color w:val="auto"/>
              </w:rPr>
            </w:pPr>
          </w:p>
        </w:tc>
        <w:tc>
          <w:tcPr>
            <w:tcW w:w="1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4,705</w:t>
            </w:r>
          </w:p>
        </w:tc>
        <w:tc>
          <w:tcPr>
            <w:tcW w:w="100" w:type="dxa"/>
            <w:vAlign w:val="bottom"/>
          </w:tcPr>
          <w:p>
            <w:pPr>
              <w:spacing w:after="0"/>
              <w:rPr>
                <w:sz w:val="12"/>
                <w:szCs w:val="12"/>
                <w:color w:val="auto"/>
              </w:rPr>
            </w:pPr>
          </w:p>
        </w:tc>
      </w:tr>
      <w:tr>
        <w:trPr>
          <w:trHeight w:val="142"/>
        </w:trPr>
        <w:tc>
          <w:tcPr>
            <w:tcW w:w="51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1,474,352</w:t>
            </w:r>
          </w:p>
        </w:tc>
        <w:tc>
          <w:tcPr>
            <w:tcW w:w="280" w:type="dxa"/>
            <w:vAlign w:val="bottom"/>
            <w:tcBorders>
              <w:bottom w:val="single" w:sz="8" w:color="CFF0FC"/>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1,418,293</w:t>
            </w:r>
          </w:p>
        </w:tc>
        <w:tc>
          <w:tcPr>
            <w:tcW w:w="260" w:type="dxa"/>
            <w:vAlign w:val="bottom"/>
            <w:tcBorders>
              <w:bottom w:val="single" w:sz="8" w:color="CFF0FC"/>
            </w:tcBorders>
            <w:shd w:val="clear" w:color="auto" w:fill="CFF0FC"/>
          </w:tcPr>
          <w:p>
            <w:pPr>
              <w:spacing w:after="0"/>
              <w:rPr>
                <w:sz w:val="12"/>
                <w:szCs w:val="12"/>
                <w:color w:val="auto"/>
              </w:rPr>
            </w:pPr>
          </w:p>
        </w:tc>
        <w:tc>
          <w:tcPr>
            <w:tcW w:w="1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202,813</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4,440</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10,728</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1,534</w:t>
            </w:r>
          </w:p>
        </w:tc>
        <w:tc>
          <w:tcPr>
            <w:tcW w:w="100" w:type="dxa"/>
            <w:vAlign w:val="bottom"/>
            <w:shd w:val="clear" w:color="auto" w:fill="CFF0FC"/>
          </w:tcPr>
          <w:p>
            <w:pPr>
              <w:spacing w:after="0"/>
              <w:rPr>
                <w:sz w:val="12"/>
                <w:szCs w:val="12"/>
                <w:color w:val="auto"/>
              </w:rPr>
            </w:pPr>
          </w:p>
        </w:tc>
      </w:tr>
      <w:tr>
        <w:trPr>
          <w:trHeight w:val="149"/>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13,723</w:t>
            </w:r>
          </w:p>
        </w:tc>
        <w:tc>
          <w:tcPr>
            <w:tcW w:w="280" w:type="dxa"/>
            <w:vAlign w:val="bottom"/>
          </w:tcPr>
          <w:p>
            <w:pPr>
              <w:spacing w:after="0"/>
              <w:rPr>
                <w:sz w:val="12"/>
                <w:szCs w:val="12"/>
                <w:color w:val="auto"/>
              </w:rPr>
            </w:pP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10,415</w:t>
            </w:r>
          </w:p>
        </w:tc>
        <w:tc>
          <w:tcPr>
            <w:tcW w:w="260" w:type="dxa"/>
            <w:vAlign w:val="bottom"/>
          </w:tcPr>
          <w:p>
            <w:pPr>
              <w:spacing w:after="0"/>
              <w:rPr>
                <w:sz w:val="12"/>
                <w:szCs w:val="12"/>
                <w:color w:val="auto"/>
              </w:rPr>
            </w:pPr>
          </w:p>
        </w:tc>
        <w:tc>
          <w:tcPr>
            <w:tcW w:w="1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1,489</w:t>
            </w: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Available-for-sale debt investments</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Equity investments, net</w:t>
            </w:r>
          </w:p>
        </w:tc>
        <w:tc>
          <w:tcPr>
            <w:tcW w:w="1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85,436</w:t>
            </w:r>
          </w:p>
        </w:tc>
        <w:tc>
          <w:tcPr>
            <w:tcW w:w="280" w:type="dxa"/>
            <w:vAlign w:val="bottom"/>
          </w:tcPr>
          <w:p>
            <w:pPr>
              <w:spacing w:after="0"/>
              <w:rPr>
                <w:sz w:val="12"/>
                <w:szCs w:val="12"/>
                <w:color w:val="auto"/>
              </w:rPr>
            </w:pP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104,124</w:t>
            </w:r>
          </w:p>
        </w:tc>
        <w:tc>
          <w:tcPr>
            <w:tcW w:w="260" w:type="dxa"/>
            <w:vAlign w:val="bottom"/>
          </w:tcPr>
          <w:p>
            <w:pPr>
              <w:spacing w:after="0"/>
              <w:rPr>
                <w:sz w:val="12"/>
                <w:szCs w:val="12"/>
                <w:color w:val="auto"/>
              </w:rPr>
            </w:pPr>
          </w:p>
        </w:tc>
        <w:tc>
          <w:tcPr>
            <w:tcW w:w="1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14,890</w:t>
            </w: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tax assets</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63,258</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53,331</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7,626</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 net</w:t>
            </w:r>
          </w:p>
        </w:tc>
        <w:tc>
          <w:tcPr>
            <w:tcW w:w="1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56,791</w:t>
            </w:r>
          </w:p>
        </w:tc>
        <w:tc>
          <w:tcPr>
            <w:tcW w:w="280" w:type="dxa"/>
            <w:vAlign w:val="bottom"/>
          </w:tcPr>
          <w:p>
            <w:pPr>
              <w:spacing w:after="0"/>
              <w:rPr>
                <w:sz w:val="12"/>
                <w:szCs w:val="12"/>
                <w:color w:val="auto"/>
              </w:rPr>
            </w:pP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41,957</w:t>
            </w:r>
          </w:p>
        </w:tc>
        <w:tc>
          <w:tcPr>
            <w:tcW w:w="260" w:type="dxa"/>
            <w:vAlign w:val="bottom"/>
          </w:tcPr>
          <w:p>
            <w:pPr>
              <w:spacing w:after="0"/>
              <w:rPr>
                <w:sz w:val="12"/>
                <w:szCs w:val="12"/>
                <w:color w:val="auto"/>
              </w:rPr>
            </w:pPr>
          </w:p>
        </w:tc>
        <w:tc>
          <w:tcPr>
            <w:tcW w:w="1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2"/>
                <w:szCs w:val="12"/>
                <w:color w:val="auto"/>
              </w:rPr>
            </w:pPr>
          </w:p>
        </w:tc>
      </w:tr>
      <w:tr>
        <w:trPr>
          <w:trHeight w:val="149"/>
        </w:trPr>
        <w:tc>
          <w:tcPr>
            <w:tcW w:w="514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13,614</w:t>
            </w:r>
          </w:p>
        </w:tc>
        <w:tc>
          <w:tcPr>
            <w:tcW w:w="280" w:type="dxa"/>
            <w:vAlign w:val="bottom"/>
            <w:tcBorders>
              <w:bottom w:val="single" w:sz="8" w:color="CFF0FC"/>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10,635</w:t>
            </w:r>
          </w:p>
        </w:tc>
        <w:tc>
          <w:tcPr>
            <w:tcW w:w="260" w:type="dxa"/>
            <w:vAlign w:val="bottom"/>
            <w:tcBorders>
              <w:bottom w:val="single" w:sz="8" w:color="CFF0FC"/>
            </w:tcBorders>
            <w:shd w:val="clear" w:color="auto" w:fill="CFF0FC"/>
          </w:tcPr>
          <w:p>
            <w:pPr>
              <w:spacing w:after="0"/>
              <w:rPr>
                <w:sz w:val="12"/>
                <w:szCs w:val="12"/>
                <w:color w:val="auto"/>
              </w:rPr>
            </w:pPr>
          </w:p>
        </w:tc>
        <w:tc>
          <w:tcPr>
            <w:tcW w:w="18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1,521</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1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237,575</w:t>
            </w:r>
          </w:p>
        </w:tc>
        <w:tc>
          <w:tcPr>
            <w:tcW w:w="280" w:type="dxa"/>
            <w:vAlign w:val="bottom"/>
          </w:tcPr>
          <w:p>
            <w:pPr>
              <w:spacing w:after="0"/>
              <w:rPr>
                <w:sz w:val="12"/>
                <w:szCs w:val="12"/>
                <w:color w:val="auto"/>
              </w:rPr>
            </w:pPr>
          </w:p>
        </w:tc>
        <w:tc>
          <w:tcPr>
            <w:tcW w:w="1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231,496</w:t>
            </w:r>
          </w:p>
        </w:tc>
        <w:tc>
          <w:tcPr>
            <w:tcW w:w="260" w:type="dxa"/>
            <w:vAlign w:val="bottom"/>
          </w:tcPr>
          <w:p>
            <w:pPr>
              <w:spacing w:after="0"/>
              <w:rPr>
                <w:sz w:val="12"/>
                <w:szCs w:val="12"/>
                <w:color w:val="auto"/>
              </w:rPr>
            </w:pPr>
          </w:p>
        </w:tc>
        <w:tc>
          <w:tcPr>
            <w:tcW w:w="1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33,103</w:t>
            </w:r>
          </w:p>
        </w:tc>
        <w:tc>
          <w:tcPr>
            <w:tcW w:w="100" w:type="dxa"/>
            <w:vAlign w:val="bottom"/>
          </w:tcPr>
          <w:p>
            <w:pPr>
              <w:spacing w:after="0"/>
              <w:rPr>
                <w:sz w:val="12"/>
                <w:szCs w:val="12"/>
                <w:color w:val="auto"/>
              </w:rPr>
            </w:pPr>
          </w:p>
        </w:tc>
      </w:tr>
      <w:tr>
        <w:trPr>
          <w:trHeight w:val="182"/>
        </w:trPr>
        <w:tc>
          <w:tcPr>
            <w:tcW w:w="51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8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1,711,927</w:t>
            </w:r>
          </w:p>
        </w:tc>
        <w:tc>
          <w:tcPr>
            <w:tcW w:w="280" w:type="dxa"/>
            <w:vAlign w:val="bottom"/>
            <w:tcBorders>
              <w:bottom w:val="single" w:sz="8" w:color="CFF0FC"/>
            </w:tcBorders>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1,649,789</w:t>
            </w:r>
          </w:p>
        </w:tc>
        <w:tc>
          <w:tcPr>
            <w:tcW w:w="260" w:type="dxa"/>
            <w:vAlign w:val="bottom"/>
            <w:tcBorders>
              <w:bottom w:val="single" w:sz="8" w:color="CFF0FC"/>
            </w:tcBorders>
            <w:shd w:val="clear" w:color="auto" w:fill="CFF0FC"/>
          </w:tcPr>
          <w:p>
            <w:pPr>
              <w:spacing w:after="0"/>
              <w:rPr>
                <w:sz w:val="15"/>
                <w:szCs w:val="15"/>
                <w:color w:val="auto"/>
              </w:rPr>
            </w:pPr>
          </w:p>
        </w:tc>
        <w:tc>
          <w:tcPr>
            <w:tcW w:w="18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235,916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514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144,670</w:t>
            </w:r>
          </w:p>
        </w:tc>
        <w:tc>
          <w:tcPr>
            <w:tcW w:w="280" w:type="dxa"/>
            <w:vAlign w:val="bottom"/>
          </w:tcPr>
          <w:p>
            <w:pPr>
              <w:spacing w:after="0"/>
              <w:rPr>
                <w:sz w:val="12"/>
                <w:szCs w:val="12"/>
                <w:color w:val="auto"/>
              </w:rPr>
            </w:pP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122,420</w:t>
            </w:r>
          </w:p>
        </w:tc>
        <w:tc>
          <w:tcPr>
            <w:tcW w:w="260" w:type="dxa"/>
            <w:vAlign w:val="bottom"/>
          </w:tcPr>
          <w:p>
            <w:pPr>
              <w:spacing w:after="0"/>
              <w:rPr>
                <w:sz w:val="12"/>
                <w:szCs w:val="12"/>
                <w:color w:val="auto"/>
              </w:rPr>
            </w:pPr>
          </w:p>
        </w:tc>
        <w:tc>
          <w:tcPr>
            <w:tcW w:w="1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17,506</w:t>
            </w:r>
          </w:p>
        </w:tc>
        <w:tc>
          <w:tcPr>
            <w:tcW w:w="100" w:type="dxa"/>
            <w:vAlign w:val="bottom"/>
          </w:tcPr>
          <w:p>
            <w:pPr>
              <w:spacing w:after="0"/>
              <w:rPr>
                <w:sz w:val="12"/>
                <w:szCs w:val="12"/>
                <w:color w:val="auto"/>
              </w:rPr>
            </w:pPr>
          </w:p>
        </w:tc>
      </w:tr>
      <w:tr>
        <w:trPr>
          <w:trHeight w:val="149"/>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Amounts due to related parties</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24,327</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29,144</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4,168</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Advances from customers</w:t>
            </w:r>
          </w:p>
        </w:tc>
        <w:tc>
          <w:tcPr>
            <w:tcW w:w="1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29,104</w:t>
            </w:r>
          </w:p>
        </w:tc>
        <w:tc>
          <w:tcPr>
            <w:tcW w:w="280" w:type="dxa"/>
            <w:vAlign w:val="bottom"/>
          </w:tcPr>
          <w:p>
            <w:pPr>
              <w:spacing w:after="0"/>
              <w:rPr>
                <w:sz w:val="12"/>
                <w:szCs w:val="12"/>
                <w:color w:val="auto"/>
              </w:rPr>
            </w:pP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26,203</w:t>
            </w:r>
          </w:p>
        </w:tc>
        <w:tc>
          <w:tcPr>
            <w:tcW w:w="260" w:type="dxa"/>
            <w:vAlign w:val="bottom"/>
          </w:tcPr>
          <w:p>
            <w:pPr>
              <w:spacing w:after="0"/>
              <w:rPr>
                <w:sz w:val="12"/>
                <w:szCs w:val="12"/>
                <w:color w:val="auto"/>
              </w:rPr>
            </w:pPr>
          </w:p>
        </w:tc>
        <w:tc>
          <w:tcPr>
            <w:tcW w:w="1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3,747</w:t>
            </w: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Taxes payable</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175,932</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176,404</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25,225</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Salary and welfare payable</w:t>
            </w:r>
          </w:p>
        </w:tc>
        <w:tc>
          <w:tcPr>
            <w:tcW w:w="1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86,607</w:t>
            </w:r>
          </w:p>
        </w:tc>
        <w:tc>
          <w:tcPr>
            <w:tcW w:w="280" w:type="dxa"/>
            <w:vAlign w:val="bottom"/>
          </w:tcPr>
          <w:p>
            <w:pPr>
              <w:spacing w:after="0"/>
              <w:rPr>
                <w:sz w:val="12"/>
                <w:szCs w:val="12"/>
                <w:color w:val="auto"/>
              </w:rPr>
            </w:pP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73,203</w:t>
            </w:r>
          </w:p>
        </w:tc>
        <w:tc>
          <w:tcPr>
            <w:tcW w:w="260" w:type="dxa"/>
            <w:vAlign w:val="bottom"/>
          </w:tcPr>
          <w:p>
            <w:pPr>
              <w:spacing w:after="0"/>
              <w:rPr>
                <w:sz w:val="12"/>
                <w:szCs w:val="12"/>
                <w:color w:val="auto"/>
              </w:rPr>
            </w:pPr>
          </w:p>
        </w:tc>
        <w:tc>
          <w:tcPr>
            <w:tcW w:w="1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10,468</w:t>
            </w:r>
          </w:p>
        </w:tc>
        <w:tc>
          <w:tcPr>
            <w:tcW w:w="100" w:type="dxa"/>
            <w:vAlign w:val="bottom"/>
          </w:tcPr>
          <w:p>
            <w:pPr>
              <w:spacing w:after="0"/>
              <w:rPr>
                <w:sz w:val="12"/>
                <w:szCs w:val="12"/>
                <w:color w:val="auto"/>
              </w:rPr>
            </w:pPr>
          </w:p>
        </w:tc>
      </w:tr>
      <w:tr>
        <w:trPr>
          <w:trHeight w:val="149"/>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65,708</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56,782</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8,120</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10,972</w:t>
            </w:r>
          </w:p>
        </w:tc>
        <w:tc>
          <w:tcPr>
            <w:tcW w:w="280" w:type="dxa"/>
            <w:vAlign w:val="bottom"/>
          </w:tcPr>
          <w:p>
            <w:pPr>
              <w:spacing w:after="0"/>
              <w:rPr>
                <w:sz w:val="12"/>
                <w:szCs w:val="12"/>
                <w:color w:val="auto"/>
              </w:rPr>
            </w:pPr>
          </w:p>
        </w:tc>
        <w:tc>
          <w:tcPr>
            <w:tcW w:w="1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14,098</w:t>
            </w:r>
          </w:p>
        </w:tc>
        <w:tc>
          <w:tcPr>
            <w:tcW w:w="260" w:type="dxa"/>
            <w:vAlign w:val="bottom"/>
          </w:tcPr>
          <w:p>
            <w:pPr>
              <w:spacing w:after="0"/>
              <w:rPr>
                <w:sz w:val="12"/>
                <w:szCs w:val="12"/>
                <w:color w:val="auto"/>
              </w:rPr>
            </w:pPr>
          </w:p>
        </w:tc>
        <w:tc>
          <w:tcPr>
            <w:tcW w:w="1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2"/>
                <w:szCs w:val="12"/>
                <w:color w:val="auto"/>
              </w:rPr>
            </w:pPr>
          </w:p>
        </w:tc>
      </w:tr>
      <w:tr>
        <w:trPr>
          <w:trHeight w:val="142"/>
        </w:trPr>
        <w:tc>
          <w:tcPr>
            <w:tcW w:w="51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537,320</w:t>
            </w:r>
          </w:p>
        </w:tc>
        <w:tc>
          <w:tcPr>
            <w:tcW w:w="280" w:type="dxa"/>
            <w:vAlign w:val="bottom"/>
            <w:tcBorders>
              <w:bottom w:val="single" w:sz="8" w:color="CFF0FC"/>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498,254</w:t>
            </w:r>
          </w:p>
        </w:tc>
        <w:tc>
          <w:tcPr>
            <w:tcW w:w="260" w:type="dxa"/>
            <w:vAlign w:val="bottom"/>
            <w:tcBorders>
              <w:bottom w:val="single" w:sz="8" w:color="CFF0FC"/>
            </w:tcBorders>
            <w:shd w:val="clear" w:color="auto" w:fill="CFF0FC"/>
          </w:tcPr>
          <w:p>
            <w:pPr>
              <w:spacing w:after="0"/>
              <w:rPr>
                <w:sz w:val="12"/>
                <w:szCs w:val="12"/>
                <w:color w:val="auto"/>
              </w:rPr>
            </w:pPr>
          </w:p>
        </w:tc>
        <w:tc>
          <w:tcPr>
            <w:tcW w:w="1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71,250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Long-term liabilities</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15,497</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13,996</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2,001</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45,700</w:t>
            </w:r>
          </w:p>
        </w:tc>
        <w:tc>
          <w:tcPr>
            <w:tcW w:w="280" w:type="dxa"/>
            <w:vAlign w:val="bottom"/>
          </w:tcPr>
          <w:p>
            <w:pPr>
              <w:spacing w:after="0"/>
              <w:rPr>
                <w:sz w:val="12"/>
                <w:szCs w:val="12"/>
                <w:color w:val="auto"/>
              </w:rPr>
            </w:pPr>
          </w:p>
        </w:tc>
        <w:tc>
          <w:tcPr>
            <w:tcW w:w="1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29,224</w:t>
            </w:r>
          </w:p>
        </w:tc>
        <w:tc>
          <w:tcPr>
            <w:tcW w:w="260" w:type="dxa"/>
            <w:vAlign w:val="bottom"/>
          </w:tcPr>
          <w:p>
            <w:pPr>
              <w:spacing w:after="0"/>
              <w:rPr>
                <w:sz w:val="12"/>
                <w:szCs w:val="12"/>
                <w:color w:val="auto"/>
              </w:rPr>
            </w:pPr>
          </w:p>
        </w:tc>
        <w:tc>
          <w:tcPr>
            <w:tcW w:w="1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4,179</w:t>
            </w:r>
          </w:p>
        </w:tc>
        <w:tc>
          <w:tcPr>
            <w:tcW w:w="100" w:type="dxa"/>
            <w:vAlign w:val="bottom"/>
          </w:tcPr>
          <w:p>
            <w:pPr>
              <w:spacing w:after="0"/>
              <w:rPr>
                <w:sz w:val="12"/>
                <w:szCs w:val="12"/>
                <w:color w:val="auto"/>
              </w:rPr>
            </w:pPr>
          </w:p>
        </w:tc>
      </w:tr>
      <w:tr>
        <w:trPr>
          <w:trHeight w:val="142"/>
        </w:trPr>
        <w:tc>
          <w:tcPr>
            <w:tcW w:w="51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61,197</w:t>
            </w:r>
          </w:p>
        </w:tc>
        <w:tc>
          <w:tcPr>
            <w:tcW w:w="280" w:type="dxa"/>
            <w:vAlign w:val="bottom"/>
            <w:tcBorders>
              <w:bottom w:val="single" w:sz="8" w:color="CFF0FC"/>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43,220</w:t>
            </w:r>
          </w:p>
        </w:tc>
        <w:tc>
          <w:tcPr>
            <w:tcW w:w="260" w:type="dxa"/>
            <w:vAlign w:val="bottom"/>
            <w:tcBorders>
              <w:bottom w:val="single" w:sz="8" w:color="CFF0FC"/>
            </w:tcBorders>
            <w:shd w:val="clear" w:color="auto" w:fill="CFF0FC"/>
          </w:tcPr>
          <w:p>
            <w:pPr>
              <w:spacing w:after="0"/>
              <w:rPr>
                <w:sz w:val="12"/>
                <w:szCs w:val="12"/>
                <w:color w:val="auto"/>
              </w:rPr>
            </w:pPr>
          </w:p>
        </w:tc>
        <w:tc>
          <w:tcPr>
            <w:tcW w:w="1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6,180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598,517</w:t>
            </w:r>
          </w:p>
        </w:tc>
        <w:tc>
          <w:tcPr>
            <w:tcW w:w="280" w:type="dxa"/>
            <w:vAlign w:val="bottom"/>
          </w:tcPr>
          <w:p>
            <w:pPr>
              <w:spacing w:after="0"/>
              <w:rPr>
                <w:sz w:val="12"/>
                <w:szCs w:val="12"/>
                <w:color w:val="auto"/>
              </w:rPr>
            </w:pPr>
          </w:p>
        </w:tc>
        <w:tc>
          <w:tcPr>
            <w:tcW w:w="1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541,474</w:t>
            </w:r>
          </w:p>
        </w:tc>
        <w:tc>
          <w:tcPr>
            <w:tcW w:w="260" w:type="dxa"/>
            <w:vAlign w:val="bottom"/>
          </w:tcPr>
          <w:p>
            <w:pPr>
              <w:spacing w:after="0"/>
              <w:rPr>
                <w:sz w:val="12"/>
                <w:szCs w:val="12"/>
                <w:color w:val="auto"/>
              </w:rPr>
            </w:pPr>
          </w:p>
        </w:tc>
        <w:tc>
          <w:tcPr>
            <w:tcW w:w="1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77,430</w:t>
            </w:r>
          </w:p>
        </w:tc>
        <w:tc>
          <w:tcPr>
            <w:tcW w:w="100" w:type="dxa"/>
            <w:vAlign w:val="bottom"/>
          </w:tcPr>
          <w:p>
            <w:pPr>
              <w:spacing w:after="0"/>
              <w:rPr>
                <w:sz w:val="12"/>
                <w:szCs w:val="12"/>
                <w:color w:val="auto"/>
              </w:rPr>
            </w:pPr>
          </w:p>
        </w:tc>
      </w:tr>
      <w:tr>
        <w:trPr>
          <w:trHeight w:val="142"/>
        </w:trPr>
        <w:tc>
          <w:tcPr>
            <w:tcW w:w="5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Shareholders' equity:</w:t>
            </w:r>
          </w:p>
        </w:tc>
        <w:tc>
          <w:tcPr>
            <w:tcW w:w="1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Phoenix New Media Limited shareholders' equity:</w:t>
            </w: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Class A ordinary shares</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17,499</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17,499</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w:t>
            </w:r>
          </w:p>
        </w:tc>
        <w:tc>
          <w:tcPr>
            <w:tcW w:w="100" w:type="dxa"/>
            <w:vAlign w:val="bottom"/>
            <w:shd w:val="clear" w:color="auto" w:fill="CFF0FC"/>
          </w:tcPr>
          <w:p>
            <w:pPr>
              <w:spacing w:after="0"/>
              <w:rPr>
                <w:sz w:val="12"/>
                <w:szCs w:val="12"/>
                <w:color w:val="auto"/>
              </w:rPr>
            </w:pPr>
          </w:p>
        </w:tc>
      </w:tr>
      <w:tr>
        <w:trPr>
          <w:trHeight w:val="149"/>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Class B ordinary shares</w:t>
            </w:r>
          </w:p>
        </w:tc>
        <w:tc>
          <w:tcPr>
            <w:tcW w:w="1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22,053</w:t>
            </w:r>
          </w:p>
        </w:tc>
        <w:tc>
          <w:tcPr>
            <w:tcW w:w="280" w:type="dxa"/>
            <w:vAlign w:val="bottom"/>
          </w:tcPr>
          <w:p>
            <w:pPr>
              <w:spacing w:after="0"/>
              <w:rPr>
                <w:sz w:val="12"/>
                <w:szCs w:val="12"/>
                <w:color w:val="auto"/>
              </w:rPr>
            </w:pP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22,053</w:t>
            </w:r>
          </w:p>
        </w:tc>
        <w:tc>
          <w:tcPr>
            <w:tcW w:w="260" w:type="dxa"/>
            <w:vAlign w:val="bottom"/>
          </w:tcPr>
          <w:p>
            <w:pPr>
              <w:spacing w:after="0"/>
              <w:rPr>
                <w:sz w:val="12"/>
                <w:szCs w:val="12"/>
                <w:color w:val="auto"/>
              </w:rPr>
            </w:pPr>
          </w:p>
        </w:tc>
        <w:tc>
          <w:tcPr>
            <w:tcW w:w="1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3,154</w:t>
            </w: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1,642,077</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1,642,094</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234,816</w:t>
            </w:r>
          </w:p>
        </w:tc>
        <w:tc>
          <w:tcPr>
            <w:tcW w:w="100" w:type="dxa"/>
            <w:vAlign w:val="bottom"/>
            <w:shd w:val="clear" w:color="auto" w:fill="CFF0FC"/>
          </w:tcPr>
          <w:p>
            <w:pPr>
              <w:spacing w:after="0"/>
              <w:rPr>
                <w:sz w:val="12"/>
                <w:szCs w:val="12"/>
                <w:color w:val="auto"/>
              </w:rPr>
            </w:pPr>
          </w:p>
        </w:tc>
      </w:tr>
      <w:tr>
        <w:trPr>
          <w:trHeight w:val="149"/>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Treasury stock</w:t>
            </w:r>
          </w:p>
        </w:tc>
        <w:tc>
          <w:tcPr>
            <w:tcW w:w="2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(1,480)</w:t>
            </w:r>
          </w:p>
        </w:tc>
        <w:tc>
          <w:tcPr>
            <w:tcW w:w="2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(1,480)</w:t>
            </w:r>
          </w:p>
        </w:tc>
        <w:tc>
          <w:tcPr>
            <w:tcW w:w="1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(212)</w:t>
            </w:r>
          </w:p>
        </w:tc>
      </w:tr>
      <w:tr>
        <w:trPr>
          <w:trHeight w:val="148"/>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Statutory reserves</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99,124</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100,214</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14,330</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(566,701)</w:t>
            </w:r>
          </w:p>
        </w:tc>
        <w:tc>
          <w:tcPr>
            <w:tcW w:w="2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(567,455)</w:t>
            </w:r>
          </w:p>
        </w:tc>
        <w:tc>
          <w:tcPr>
            <w:tcW w:w="1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(81,145)</w:t>
            </w:r>
          </w:p>
        </w:tc>
      </w:tr>
      <w:tr>
        <w:trPr>
          <w:trHeight w:val="149"/>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(37,305)</w:t>
            </w:r>
          </w:p>
        </w:tc>
        <w:tc>
          <w:tcPr>
            <w:tcW w:w="20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(41,782)</w:t>
            </w:r>
          </w:p>
        </w:tc>
        <w:tc>
          <w:tcPr>
            <w:tcW w:w="1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(5,975)</w:t>
            </w:r>
          </w:p>
        </w:tc>
      </w:tr>
      <w:tr>
        <w:trPr>
          <w:trHeight w:val="142"/>
        </w:trPr>
        <w:tc>
          <w:tcPr>
            <w:tcW w:w="51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Total Phoenix New Media Limited shareholders' equity</w:t>
            </w:r>
          </w:p>
        </w:tc>
        <w:tc>
          <w:tcPr>
            <w:tcW w:w="1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1,175,267</w:t>
            </w:r>
          </w:p>
        </w:tc>
        <w:tc>
          <w:tcPr>
            <w:tcW w:w="280" w:type="dxa"/>
            <w:vAlign w:val="bottom"/>
            <w:tcBorders>
              <w:top w:val="single" w:sz="8" w:color="CFF0FC"/>
            </w:tcBorders>
          </w:tcPr>
          <w:p>
            <w:pPr>
              <w:spacing w:after="0"/>
              <w:rPr>
                <w:sz w:val="12"/>
                <w:szCs w:val="12"/>
                <w:color w:val="auto"/>
              </w:rPr>
            </w:pPr>
          </w:p>
        </w:tc>
        <w:tc>
          <w:tcPr>
            <w:tcW w:w="1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1,171,143</w:t>
            </w:r>
          </w:p>
        </w:tc>
        <w:tc>
          <w:tcPr>
            <w:tcW w:w="260" w:type="dxa"/>
            <w:vAlign w:val="bottom"/>
            <w:tcBorders>
              <w:top w:val="single" w:sz="8" w:color="CFF0FC"/>
            </w:tcBorders>
          </w:tcPr>
          <w:p>
            <w:pPr>
              <w:spacing w:after="0"/>
              <w:rPr>
                <w:sz w:val="12"/>
                <w:szCs w:val="12"/>
                <w:color w:val="auto"/>
              </w:rPr>
            </w:pPr>
          </w:p>
        </w:tc>
        <w:tc>
          <w:tcPr>
            <w:tcW w:w="1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167,470</w:t>
            </w:r>
          </w:p>
        </w:tc>
        <w:tc>
          <w:tcPr>
            <w:tcW w:w="100" w:type="dxa"/>
            <w:vAlign w:val="bottom"/>
            <w:tcBorders>
              <w:top w:val="single" w:sz="8" w:color="CFF0FC"/>
            </w:tcBorders>
          </w:tcPr>
          <w:p>
            <w:pPr>
              <w:spacing w:after="0"/>
              <w:rPr>
                <w:sz w:val="12"/>
                <w:szCs w:val="12"/>
                <w:color w:val="auto"/>
              </w:rPr>
            </w:pPr>
          </w:p>
        </w:tc>
      </w:tr>
      <w:tr>
        <w:trPr>
          <w:trHeight w:val="149"/>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2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(61,857)</w:t>
            </w:r>
          </w:p>
        </w:tc>
        <w:tc>
          <w:tcPr>
            <w:tcW w:w="20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(62,828)</w:t>
            </w:r>
          </w:p>
        </w:tc>
        <w:tc>
          <w:tcPr>
            <w:tcW w:w="1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(8,984)</w:t>
            </w:r>
          </w:p>
        </w:tc>
      </w:tr>
      <w:tr>
        <w:trPr>
          <w:trHeight w:val="142"/>
        </w:trPr>
        <w:tc>
          <w:tcPr>
            <w:tcW w:w="51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1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1,113,410</w:t>
            </w:r>
          </w:p>
        </w:tc>
        <w:tc>
          <w:tcPr>
            <w:tcW w:w="280" w:type="dxa"/>
            <w:vAlign w:val="bottom"/>
            <w:tcBorders>
              <w:top w:val="single" w:sz="8" w:color="CFF0FC"/>
            </w:tcBorders>
          </w:tcPr>
          <w:p>
            <w:pPr>
              <w:spacing w:after="0"/>
              <w:rPr>
                <w:sz w:val="12"/>
                <w:szCs w:val="12"/>
                <w:color w:val="auto"/>
              </w:rPr>
            </w:pPr>
          </w:p>
        </w:tc>
        <w:tc>
          <w:tcPr>
            <w:tcW w:w="1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1,108,315</w:t>
            </w:r>
          </w:p>
        </w:tc>
        <w:tc>
          <w:tcPr>
            <w:tcW w:w="260" w:type="dxa"/>
            <w:vAlign w:val="bottom"/>
            <w:tcBorders>
              <w:top w:val="single" w:sz="8" w:color="CFF0FC"/>
            </w:tcBorders>
          </w:tcPr>
          <w:p>
            <w:pPr>
              <w:spacing w:after="0"/>
              <w:rPr>
                <w:sz w:val="12"/>
                <w:szCs w:val="12"/>
                <w:color w:val="auto"/>
              </w:rPr>
            </w:pPr>
          </w:p>
        </w:tc>
        <w:tc>
          <w:tcPr>
            <w:tcW w:w="1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158,486</w:t>
            </w:r>
          </w:p>
        </w:tc>
        <w:tc>
          <w:tcPr>
            <w:tcW w:w="100" w:type="dxa"/>
            <w:vAlign w:val="bottom"/>
            <w:tcBorders>
              <w:top w:val="single" w:sz="8" w:color="CFF0FC"/>
            </w:tcBorders>
          </w:tcPr>
          <w:p>
            <w:pPr>
              <w:spacing w:after="0"/>
              <w:rPr>
                <w:sz w:val="12"/>
                <w:szCs w:val="12"/>
                <w:color w:val="auto"/>
              </w:rPr>
            </w:pPr>
          </w:p>
        </w:tc>
      </w:tr>
      <w:tr>
        <w:trPr>
          <w:trHeight w:val="182"/>
        </w:trPr>
        <w:tc>
          <w:tcPr>
            <w:tcW w:w="51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18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1,711,927</w:t>
            </w:r>
          </w:p>
        </w:tc>
        <w:tc>
          <w:tcPr>
            <w:tcW w:w="280" w:type="dxa"/>
            <w:vAlign w:val="bottom"/>
            <w:tcBorders>
              <w:bottom w:val="single" w:sz="8" w:color="CFF0FC"/>
            </w:tcBorders>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1,649,789</w:t>
            </w:r>
          </w:p>
        </w:tc>
        <w:tc>
          <w:tcPr>
            <w:tcW w:w="260" w:type="dxa"/>
            <w:vAlign w:val="bottom"/>
            <w:tcBorders>
              <w:bottom w:val="single" w:sz="8" w:color="CFF0FC"/>
            </w:tcBorders>
            <w:shd w:val="clear" w:color="auto" w:fill="CFF0FC"/>
          </w:tcPr>
          <w:p>
            <w:pPr>
              <w:spacing w:after="0"/>
              <w:rPr>
                <w:sz w:val="15"/>
                <w:szCs w:val="15"/>
                <w:color w:val="auto"/>
              </w:rPr>
            </w:pPr>
          </w:p>
        </w:tc>
        <w:tc>
          <w:tcPr>
            <w:tcW w:w="18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235,916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175"/>
        </w:trPr>
        <w:tc>
          <w:tcPr>
            <w:tcW w:w="51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-4499610</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-4499610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-4499610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-3736975</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-3736975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-3736975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-3531235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-3514090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-3531235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-3514090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-2553970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-2553970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-2159635</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-2159635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-1199515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-1199515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-1002030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-1002030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-796290</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-779145</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-796290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-779145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number of shares and per share (or ADS) data)</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9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9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Twelve Months Ended</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960" w:type="dxa"/>
            <w:vAlign w:val="bottom"/>
          </w:tcPr>
          <w:p>
            <w:pPr>
              <w:spacing w:after="0"/>
              <w:rPr>
                <w:sz w:val="10"/>
                <w:szCs w:val="10"/>
                <w:color w:val="auto"/>
              </w:rPr>
            </w:pPr>
          </w:p>
        </w:tc>
        <w:tc>
          <w:tcPr>
            <w:tcW w:w="124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0"/>
                <w:szCs w:val="10"/>
                <w:color w:val="auto"/>
              </w:rPr>
            </w:pPr>
          </w:p>
        </w:tc>
        <w:tc>
          <w:tcPr>
            <w:tcW w:w="98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0"/>
                <w:szCs w:val="10"/>
                <w:color w:val="auto"/>
              </w:rPr>
            </w:pPr>
          </w:p>
        </w:tc>
        <w:tc>
          <w:tcPr>
            <w:tcW w:w="128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jc w:val="center"/>
              <w:ind w:right="12"/>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120" w:type="dxa"/>
            <w:vAlign w:val="bottom"/>
            <w:gridSpan w:val="2"/>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Pr>
          <w:p>
            <w:pPr>
              <w:spacing w:after="0"/>
              <w:rPr>
                <w:sz w:val="14"/>
                <w:szCs w:val="14"/>
                <w:color w:val="auto"/>
              </w:rPr>
            </w:pP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60" w:type="dxa"/>
            <w:vAlign w:val="bottom"/>
          </w:tcPr>
          <w:p>
            <w:pPr>
              <w:spacing w:after="0"/>
              <w:rPr>
                <w:sz w:val="14"/>
                <w:szCs w:val="14"/>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260" w:type="dxa"/>
            <w:vAlign w:val="bottom"/>
          </w:tcPr>
          <w:p>
            <w:pPr>
              <w:spacing w:after="0"/>
              <w:rPr>
                <w:sz w:val="14"/>
                <w:szCs w:val="14"/>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4"/>
                <w:szCs w:val="14"/>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4"/>
                <w:szCs w:val="14"/>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4"/>
                <w:szCs w:val="14"/>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RMB</w:t>
            </w:r>
          </w:p>
        </w:tc>
        <w:tc>
          <w:tcPr>
            <w:tcW w:w="280" w:type="dxa"/>
            <w:vAlign w:val="bottom"/>
          </w:tcPr>
          <w:p>
            <w:pPr>
              <w:spacing w:after="0"/>
              <w:rPr>
                <w:sz w:val="14"/>
                <w:szCs w:val="14"/>
                <w:color w:val="auto"/>
              </w:rPr>
            </w:pPr>
          </w:p>
        </w:tc>
        <w:tc>
          <w:tcPr>
            <w:tcW w:w="1000" w:type="dxa"/>
            <w:vAlign w:val="bottom"/>
            <w:tcBorders>
              <w:top w:val="single" w:sz="8" w:color="auto"/>
            </w:tcBorders>
          </w:tcPr>
          <w:p>
            <w:pPr>
              <w:jc w:val="center"/>
              <w:ind w:right="12"/>
              <w:spacing w:after="0"/>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advertising revenues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188,981</w:t>
            </w: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159,347</w:t>
            </w: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181,129</w:t>
            </w: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25,901</w:t>
            </w: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630,590</w:t>
            </w:r>
          </w:p>
        </w:tc>
        <w:tc>
          <w:tcPr>
            <w:tcW w:w="100" w:type="dxa"/>
            <w:vAlign w:val="bottom"/>
          </w:tcPr>
          <w:p>
            <w:pPr>
              <w:spacing w:after="0"/>
              <w:rPr>
                <w:sz w:val="12"/>
                <w:szCs w:val="1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614,330</w:t>
            </w: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87,848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Paid service revenues</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29,126</w:t>
            </w:r>
          </w:p>
        </w:tc>
        <w:tc>
          <w:tcPr>
            <w:tcW w:w="26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41,561</w:t>
            </w:r>
          </w:p>
        </w:tc>
        <w:tc>
          <w:tcPr>
            <w:tcW w:w="22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41,169</w:t>
            </w:r>
          </w:p>
        </w:tc>
        <w:tc>
          <w:tcPr>
            <w:tcW w:w="22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5,887</w:t>
            </w:r>
          </w:p>
        </w:tc>
        <w:tc>
          <w:tcPr>
            <w:tcW w:w="2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73,105</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151,241</w:t>
            </w:r>
          </w:p>
        </w:tc>
        <w:tc>
          <w:tcPr>
            <w:tcW w:w="280" w:type="dxa"/>
            <w:vAlign w:val="bottom"/>
            <w:tcBorders>
              <w:bottom w:val="single" w:sz="8" w:color="CFF0FC"/>
              <w:right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21,627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revenues</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218,107</w:t>
            </w:r>
          </w:p>
        </w:tc>
        <w:tc>
          <w:tcPr>
            <w:tcW w:w="26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200,908</w:t>
            </w:r>
          </w:p>
        </w:tc>
        <w:tc>
          <w:tcPr>
            <w:tcW w:w="22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222,298</w:t>
            </w:r>
          </w:p>
        </w:tc>
        <w:tc>
          <w:tcPr>
            <w:tcW w:w="22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31,788</w:t>
            </w:r>
          </w:p>
        </w:tc>
        <w:tc>
          <w:tcPr>
            <w:tcW w:w="2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703,695</w:t>
            </w:r>
          </w:p>
        </w:tc>
        <w:tc>
          <w:tcPr>
            <w:tcW w:w="100" w:type="dxa"/>
            <w:vAlign w:val="bottom"/>
          </w:tcPr>
          <w:p>
            <w:pPr>
              <w:spacing w:after="0"/>
              <w:rPr>
                <w:sz w:val="12"/>
                <w:szCs w:val="12"/>
                <w:color w:val="auto"/>
              </w:rPr>
            </w:pPr>
          </w:p>
        </w:tc>
        <w:tc>
          <w:tcPr>
            <w:tcW w:w="11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765,571</w:t>
            </w:r>
          </w:p>
        </w:tc>
        <w:tc>
          <w:tcPr>
            <w:tcW w:w="28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109,475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Cost of revenues</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(121,102)</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(105,220)</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(98,590)</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(14,098)</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(434,989)</w:t>
            </w:r>
          </w:p>
        </w:tc>
        <w:tc>
          <w:tcPr>
            <w:tcW w:w="14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(391,422)</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(55,973)</w:t>
            </w:r>
          </w:p>
        </w:tc>
        <w:tc>
          <w:tcPr>
            <w:tcW w:w="0" w:type="dxa"/>
            <w:vAlign w:val="bottom"/>
          </w:tcPr>
          <w:p>
            <w:pPr>
              <w:spacing w:after="0"/>
              <w:rPr>
                <w:sz w:val="1"/>
                <w:szCs w:val="1"/>
                <w:color w:val="auto"/>
              </w:rPr>
            </w:pPr>
          </w:p>
        </w:tc>
      </w:tr>
      <w:tr>
        <w:trPr>
          <w:trHeight w:val="142"/>
        </w:trPr>
        <w:tc>
          <w:tcPr>
            <w:tcW w:w="296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Gross profit</w:t>
            </w: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97,005</w:t>
            </w:r>
          </w:p>
        </w:tc>
        <w:tc>
          <w:tcPr>
            <w:tcW w:w="260" w:type="dxa"/>
            <w:vAlign w:val="bottom"/>
            <w:tcBorders>
              <w:top w:val="single" w:sz="8" w:color="CFF0FC"/>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95,688</w:t>
            </w:r>
          </w:p>
        </w:tc>
        <w:tc>
          <w:tcPr>
            <w:tcW w:w="220" w:type="dxa"/>
            <w:vAlign w:val="bottom"/>
            <w:tcBorders>
              <w:top w:val="single" w:sz="8" w:color="CFF0FC"/>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123,708</w:t>
            </w:r>
          </w:p>
        </w:tc>
        <w:tc>
          <w:tcPr>
            <w:tcW w:w="220" w:type="dxa"/>
            <w:vAlign w:val="bottom"/>
            <w:tcBorders>
              <w:top w:val="single" w:sz="8" w:color="CFF0FC"/>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17,690</w:t>
            </w:r>
          </w:p>
        </w:tc>
        <w:tc>
          <w:tcPr>
            <w:tcW w:w="220" w:type="dxa"/>
            <w:vAlign w:val="bottom"/>
            <w:tcBorders>
              <w:top w:val="single" w:sz="8" w:color="CFF0FC"/>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268,706</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374,149</w:t>
            </w:r>
          </w:p>
        </w:tc>
        <w:tc>
          <w:tcPr>
            <w:tcW w:w="280" w:type="dxa"/>
            <w:vAlign w:val="bottom"/>
            <w:tcBorders>
              <w:top w:val="single" w:sz="8" w:color="CFF0FC"/>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53,502</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Sales and marketing expenses</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(63,539)</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(73,377)</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(67,323)</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(9,627)</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(184,239)</w:t>
            </w: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(272,283)</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(38,936)</w:t>
            </w:r>
          </w:p>
        </w:tc>
        <w:tc>
          <w:tcPr>
            <w:tcW w:w="0" w:type="dxa"/>
            <w:vAlign w:val="bottom"/>
          </w:tcPr>
          <w:p>
            <w:pPr>
              <w:spacing w:after="0"/>
              <w:rPr>
                <w:sz w:val="1"/>
                <w:szCs w:val="1"/>
                <w:color w:val="auto"/>
              </w:rPr>
            </w:pPr>
          </w:p>
        </w:tc>
      </w:tr>
      <w:tr>
        <w:trPr>
          <w:trHeight w:val="148"/>
        </w:trPr>
        <w:tc>
          <w:tcPr>
            <w:tcW w:w="2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(8,545)</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(19,300)</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(17,174)</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(2,456)</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(78,436)</w:t>
            </w:r>
          </w:p>
        </w:tc>
        <w:tc>
          <w:tcPr>
            <w:tcW w:w="14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(71,642)</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(10,245)</w:t>
            </w:r>
          </w:p>
        </w:tc>
        <w:tc>
          <w:tcPr>
            <w:tcW w:w="0" w:type="dxa"/>
            <w:vAlign w:val="bottom"/>
          </w:tcPr>
          <w:p>
            <w:pPr>
              <w:spacing w:after="0"/>
              <w:rPr>
                <w:sz w:val="1"/>
                <w:szCs w:val="1"/>
                <w:color w:val="auto"/>
              </w:rPr>
            </w:pPr>
          </w:p>
        </w:tc>
      </w:tr>
      <w:tr>
        <w:trPr>
          <w:trHeight w:val="148"/>
        </w:trPr>
        <w:tc>
          <w:tcPr>
            <w:tcW w:w="2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Technology and product development expenses</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(18,212)</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(16,310)</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(14,713)</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(2,104)</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(70,752)</w:t>
            </w: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(64,601)</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(9,238)</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124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(90,296)</w:t>
            </w:r>
          </w:p>
        </w:tc>
        <w:tc>
          <w:tcPr>
            <w:tcW w:w="120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(108,987)</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(99,210)</w:t>
            </w:r>
          </w:p>
        </w:tc>
        <w:tc>
          <w:tcPr>
            <w:tcW w:w="118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(14,187)</w:t>
            </w:r>
          </w:p>
        </w:tc>
        <w:tc>
          <w:tcPr>
            <w:tcW w:w="98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(333,427)</w:t>
            </w:r>
          </w:p>
        </w:tc>
        <w:tc>
          <w:tcPr>
            <w:tcW w:w="1400" w:type="dxa"/>
            <w:vAlign w:val="bottom"/>
            <w:tcBorders>
              <w:right w:val="single" w:sz="8" w:color="CFF0FC"/>
            </w:tcBorders>
            <w:gridSpan w:val="3"/>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3"/>
                <w:szCs w:val="13"/>
                <w:b w:val="1"/>
                <w:bCs w:val="1"/>
                <w:color w:val="auto"/>
              </w:rPr>
              <w:t>(408,526)</w:t>
            </w:r>
          </w:p>
        </w:tc>
        <w:tc>
          <w:tcPr>
            <w:tcW w:w="11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(58,419)</w:t>
            </w:r>
          </w:p>
        </w:tc>
        <w:tc>
          <w:tcPr>
            <w:tcW w:w="0" w:type="dxa"/>
            <w:vAlign w:val="bottom"/>
          </w:tcPr>
          <w:p>
            <w:pPr>
              <w:spacing w:after="0"/>
              <w:rPr>
                <w:sz w:val="1"/>
                <w:szCs w:val="1"/>
                <w:color w:val="auto"/>
              </w:rPr>
            </w:pPr>
          </w:p>
        </w:tc>
      </w:tr>
      <w:tr>
        <w:trPr>
          <w:trHeight w:val="20"/>
        </w:trPr>
        <w:tc>
          <w:tcPr>
            <w:tcW w:w="29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Income/(loss) from operations</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6,709</w:t>
            </w:r>
          </w:p>
        </w:tc>
        <w:tc>
          <w:tcPr>
            <w:tcW w:w="260" w:type="dxa"/>
            <w:vAlign w:val="bottom"/>
          </w:tcPr>
          <w:p>
            <w:pPr>
              <w:spacing w:after="0"/>
              <w:rPr>
                <w:sz w:val="12"/>
                <w:szCs w:val="12"/>
                <w:color w:val="auto"/>
              </w:rPr>
            </w:pPr>
          </w:p>
        </w:tc>
        <w:tc>
          <w:tcPr>
            <w:tcW w:w="12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(13,299)</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24,498</w:t>
            </w:r>
          </w:p>
        </w:tc>
        <w:tc>
          <w:tcPr>
            <w:tcW w:w="22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3,503</w:t>
            </w:r>
          </w:p>
        </w:tc>
        <w:tc>
          <w:tcPr>
            <w:tcW w:w="220" w:type="dxa"/>
            <w:vAlign w:val="bottom"/>
          </w:tcPr>
          <w:p>
            <w:pPr>
              <w:spacing w:after="0"/>
              <w:rPr>
                <w:sz w:val="12"/>
                <w:szCs w:val="12"/>
                <w:color w:val="auto"/>
              </w:rPr>
            </w:pPr>
          </w:p>
        </w:tc>
        <w:tc>
          <w:tcPr>
            <w:tcW w:w="9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(64,721)</w:t>
            </w:r>
          </w:p>
        </w:tc>
        <w:tc>
          <w:tcPr>
            <w:tcW w:w="140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3"/>
                <w:szCs w:val="13"/>
                <w:b w:val="1"/>
                <w:bCs w:val="1"/>
                <w:color w:val="auto"/>
              </w:rPr>
              <w:t>(34,377)</w:t>
            </w:r>
          </w:p>
        </w:tc>
        <w:tc>
          <w:tcPr>
            <w:tcW w:w="11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(4,917)</w:t>
            </w:r>
          </w:p>
        </w:tc>
        <w:tc>
          <w:tcPr>
            <w:tcW w:w="0" w:type="dxa"/>
            <w:vAlign w:val="bottom"/>
          </w:tcPr>
          <w:p>
            <w:pPr>
              <w:spacing w:after="0"/>
              <w:rPr>
                <w:sz w:val="1"/>
                <w:szCs w:val="1"/>
                <w:color w:val="auto"/>
              </w:rPr>
            </w:pPr>
          </w:p>
        </w:tc>
      </w:tr>
      <w:tr>
        <w:trPr>
          <w:trHeight w:val="148"/>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Other income/(loss):</w:t>
            </w: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Interest income, net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8,519</w:t>
            </w: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4,924</w:t>
            </w: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4,954</w:t>
            </w: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32,402</w:t>
            </w:r>
          </w:p>
        </w:tc>
        <w:tc>
          <w:tcPr>
            <w:tcW w:w="100" w:type="dxa"/>
            <w:vAlign w:val="bottom"/>
          </w:tcPr>
          <w:p>
            <w:pPr>
              <w:spacing w:after="0"/>
              <w:rPr>
                <w:sz w:val="12"/>
                <w:szCs w:val="1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21,032</w:t>
            </w: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Foreign currency exchange gain/(loss)</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(3,411)</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537</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(1,519)</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1,481</w:t>
            </w:r>
          </w:p>
        </w:tc>
        <w:tc>
          <w:tcPr>
            <w:tcW w:w="280" w:type="dxa"/>
            <w:vAlign w:val="bottom"/>
            <w:tcBorders>
              <w:right w:val="single" w:sz="8" w:color="CFF0FC"/>
            </w:tcBorders>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96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rPr>
              <w:t>Loss from equity method investments, including</w:t>
            </w: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impairment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(9,852)</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(245)</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(377)</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(54)</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(15,964)</w:t>
            </w: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(3,924)</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(561)</w:t>
            </w:r>
          </w:p>
        </w:tc>
        <w:tc>
          <w:tcPr>
            <w:tcW w:w="0" w:type="dxa"/>
            <w:vAlign w:val="bottom"/>
          </w:tcPr>
          <w:p>
            <w:pPr>
              <w:spacing w:after="0"/>
              <w:rPr>
                <w:sz w:val="1"/>
                <w:szCs w:val="1"/>
                <w:color w:val="auto"/>
              </w:rPr>
            </w:pPr>
          </w:p>
        </w:tc>
      </w:tr>
      <w:tr>
        <w:trPr>
          <w:trHeight w:val="148"/>
        </w:trPr>
        <w:tc>
          <w:tcPr>
            <w:tcW w:w="2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Fair value changes in investments, net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(1,717)</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9,376</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13,925</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1,991</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604</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23,784</w:t>
            </w:r>
          </w:p>
        </w:tc>
        <w:tc>
          <w:tcPr>
            <w:tcW w:w="280" w:type="dxa"/>
            <w:vAlign w:val="bottom"/>
            <w:tcBorders>
              <w:right w:val="single" w:sz="8" w:color="CFF0FC"/>
            </w:tcBorders>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Others, net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1,560</w:t>
            </w:r>
          </w:p>
        </w:tc>
        <w:tc>
          <w:tcPr>
            <w:tcW w:w="260" w:type="dxa"/>
            <w:vAlign w:val="bottom"/>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220" w:type="dxa"/>
            <w:vAlign w:val="bottom"/>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220" w:type="dxa"/>
            <w:vAlign w:val="bottom"/>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20" w:type="dxa"/>
            <w:vAlign w:val="bottom"/>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280" w:type="dxa"/>
            <w:vAlign w:val="bottom"/>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Income/(loss) before income taxes</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1,808</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2,988</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43,967</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6,286</w:t>
            </w: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(48,301)</w:t>
            </w:r>
          </w:p>
        </w:tc>
        <w:tc>
          <w:tcPr>
            <w:tcW w:w="11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8,524</w:t>
            </w:r>
          </w:p>
        </w:tc>
        <w:tc>
          <w:tcPr>
            <w:tcW w:w="280" w:type="dxa"/>
            <w:vAlign w:val="bottom"/>
            <w:tcBorders>
              <w:right w:val="single" w:sz="8" w:color="CFF0FC"/>
            </w:tcBorders>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Income tax expense</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(3,793)</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(7,990)</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1,357</w:t>
            </w: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220" w:type="dxa"/>
            <w:vAlign w:val="bottom"/>
          </w:tcPr>
          <w:p>
            <w:pPr>
              <w:spacing w:after="0"/>
              <w:rPr>
                <w:sz w:val="12"/>
                <w:szCs w:val="12"/>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(4,645)</w:t>
            </w: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(8,159)</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(1,167)</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(loss)/income</w:t>
            </w:r>
          </w:p>
        </w:tc>
        <w:tc>
          <w:tcPr>
            <w:tcW w:w="124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(1,985)</w:t>
            </w:r>
          </w:p>
        </w:tc>
        <w:tc>
          <w:tcPr>
            <w:tcW w:w="120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(5,002)</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45,324</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6,480</w:t>
            </w: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(52,946)</w:t>
            </w:r>
          </w:p>
        </w:tc>
        <w:tc>
          <w:tcPr>
            <w:tcW w:w="11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365</w:t>
            </w:r>
          </w:p>
        </w:tc>
        <w:tc>
          <w:tcPr>
            <w:tcW w:w="280" w:type="dxa"/>
            <w:vAlign w:val="bottom"/>
            <w:tcBorders>
              <w:right w:val="single" w:sz="8" w:color="CFF0FC"/>
            </w:tcBorders>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96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rPr>
              <w:t>Net (income)/loss attributable to noncontrolling</w:t>
            </w: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(1,608)</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1"/>
                <w:szCs w:val="11"/>
                <w:color w:val="auto"/>
              </w:rPr>
            </w:pPr>
          </w:p>
        </w:tc>
        <w:tc>
          <w:tcPr>
            <w:tcW w:w="9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(608)</w:t>
            </w:r>
          </w:p>
        </w:tc>
        <w:tc>
          <w:tcPr>
            <w:tcW w:w="14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(29)</w:t>
            </w: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48"/>
        </w:trPr>
        <w:tc>
          <w:tcPr>
            <w:tcW w:w="2960" w:type="dxa"/>
            <w:vAlign w:val="bottom"/>
          </w:tcPr>
          <w:p>
            <w:pPr>
              <w:ind w:left="40"/>
              <w:spacing w:after="0" w:line="148" w:lineRule="exact"/>
              <w:rPr>
                <w:sz w:val="20"/>
                <w:szCs w:val="20"/>
                <w:color w:val="auto"/>
              </w:rPr>
            </w:pPr>
            <w:r>
              <w:rPr>
                <w:rFonts w:ascii="Times New Roman" w:cs="Times New Roman" w:eastAsia="Times New Roman" w:hAnsi="Times New Roman"/>
                <w:sz w:val="13"/>
                <w:szCs w:val="13"/>
                <w:color w:val="auto"/>
              </w:rPr>
              <w:t>interests</w:t>
            </w:r>
          </w:p>
        </w:tc>
        <w:tc>
          <w:tcPr>
            <w:tcW w:w="124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9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Net (loss)/income attributable to Phoenix New</w:t>
            </w: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(3,593)</w:t>
            </w:r>
          </w:p>
        </w:tc>
        <w:tc>
          <w:tcPr>
            <w:tcW w:w="260" w:type="dxa"/>
            <w:vAlign w:val="bottom"/>
            <w:shd w:val="clear" w:color="auto" w:fill="CFF0FC"/>
          </w:tcPr>
          <w:p>
            <w:pPr>
              <w:spacing w:after="0"/>
              <w:rPr>
                <w:sz w:val="10"/>
                <w:szCs w:val="10"/>
                <w:color w:val="auto"/>
              </w:rPr>
            </w:pP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(4,922)</w:t>
            </w:r>
          </w:p>
        </w:tc>
        <w:tc>
          <w:tcPr>
            <w:tcW w:w="220" w:type="dxa"/>
            <w:vAlign w:val="bottom"/>
            <w:shd w:val="clear" w:color="auto" w:fill="CFF0FC"/>
          </w:tcPr>
          <w:p>
            <w:pPr>
              <w:spacing w:after="0"/>
              <w:rPr>
                <w:sz w:val="10"/>
                <w:szCs w:val="10"/>
                <w:color w:val="auto"/>
              </w:rPr>
            </w:pPr>
          </w:p>
        </w:tc>
        <w:tc>
          <w:tcPr>
            <w:tcW w:w="9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45,339</w:t>
            </w:r>
          </w:p>
        </w:tc>
        <w:tc>
          <w:tcPr>
            <w:tcW w:w="220" w:type="dxa"/>
            <w:vAlign w:val="bottom"/>
            <w:shd w:val="clear" w:color="auto" w:fill="CFF0FC"/>
          </w:tcPr>
          <w:p>
            <w:pPr>
              <w:spacing w:after="0"/>
              <w:rPr>
                <w:sz w:val="10"/>
                <w:szCs w:val="10"/>
                <w:color w:val="auto"/>
              </w:rPr>
            </w:pPr>
          </w:p>
        </w:tc>
        <w:tc>
          <w:tcPr>
            <w:tcW w:w="9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6,482</w:t>
            </w:r>
          </w:p>
        </w:tc>
        <w:tc>
          <w:tcPr>
            <w:tcW w:w="220" w:type="dxa"/>
            <w:vAlign w:val="bottom"/>
            <w:shd w:val="clear" w:color="auto" w:fill="CFF0FC"/>
          </w:tcPr>
          <w:p>
            <w:pPr>
              <w:spacing w:after="0"/>
              <w:rPr>
                <w:sz w:val="10"/>
                <w:szCs w:val="10"/>
                <w:color w:val="auto"/>
              </w:rPr>
            </w:pP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(53,554)</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336</w:t>
            </w:r>
          </w:p>
        </w:tc>
        <w:tc>
          <w:tcPr>
            <w:tcW w:w="280" w:type="dxa"/>
            <w:vAlign w:val="bottom"/>
            <w:tcBorders>
              <w:right w:val="single" w:sz="8" w:color="CFF0FC"/>
            </w:tcBorders>
            <w:shd w:val="clear" w:color="auto" w:fill="CFF0FC"/>
          </w:tcPr>
          <w:p>
            <w:pPr>
              <w:spacing w:after="0"/>
              <w:rPr>
                <w:sz w:val="10"/>
                <w:szCs w:val="10"/>
                <w:color w:val="auto"/>
              </w:rPr>
            </w:pPr>
          </w:p>
        </w:tc>
        <w:tc>
          <w:tcPr>
            <w:tcW w:w="10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960" w:type="dxa"/>
            <w:vAlign w:val="bottom"/>
            <w:tcBorders>
              <w:bottom w:val="single" w:sz="8" w:color="CFF0FC"/>
            </w:tcBorders>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Media Limited</w:t>
            </w: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CFF0FC"/>
              <w:right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(loss)/income</w:t>
            </w:r>
          </w:p>
        </w:tc>
        <w:tc>
          <w:tcPr>
            <w:tcW w:w="124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(1,985)</w:t>
            </w:r>
          </w:p>
        </w:tc>
        <w:tc>
          <w:tcPr>
            <w:tcW w:w="120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(5,002)</w:t>
            </w: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45,324</w:t>
            </w:r>
          </w:p>
        </w:tc>
        <w:tc>
          <w:tcPr>
            <w:tcW w:w="22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6,480</w:t>
            </w:r>
          </w:p>
        </w:tc>
        <w:tc>
          <w:tcPr>
            <w:tcW w:w="220" w:type="dxa"/>
            <w:vAlign w:val="bottom"/>
          </w:tcPr>
          <w:p>
            <w:pPr>
              <w:spacing w:after="0"/>
              <w:rPr>
                <w:sz w:val="11"/>
                <w:szCs w:val="11"/>
                <w:color w:val="auto"/>
              </w:rPr>
            </w:pPr>
          </w:p>
        </w:tc>
        <w:tc>
          <w:tcPr>
            <w:tcW w:w="98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(52,946)</w:t>
            </w:r>
          </w:p>
        </w:tc>
        <w:tc>
          <w:tcPr>
            <w:tcW w:w="11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365</w:t>
            </w:r>
          </w:p>
        </w:tc>
        <w:tc>
          <w:tcPr>
            <w:tcW w:w="28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960" w:type="dxa"/>
            <w:vAlign w:val="bottom"/>
            <w:shd w:val="clear" w:color="auto" w:fill="CFF0FC"/>
          </w:tcPr>
          <w:p>
            <w:pPr>
              <w:ind w:left="40"/>
              <w:spacing w:after="0" w:line="136" w:lineRule="exact"/>
              <w:rPr>
                <w:sz w:val="20"/>
                <w:szCs w:val="20"/>
                <w:color w:val="auto"/>
              </w:rPr>
            </w:pPr>
            <w:r>
              <w:rPr>
                <w:rFonts w:ascii="Times New Roman" w:cs="Times New Roman" w:eastAsia="Times New Roman" w:hAnsi="Times New Roman"/>
                <w:sz w:val="13"/>
                <w:szCs w:val="13"/>
                <w:color w:val="auto"/>
              </w:rPr>
              <w:t>Other comprehensive income/(loss), net of tax:</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6,466</w:t>
            </w:r>
          </w:p>
        </w:tc>
        <w:tc>
          <w:tcPr>
            <w:tcW w:w="260" w:type="dxa"/>
            <w:vAlign w:val="bottom"/>
            <w:shd w:val="clear" w:color="auto" w:fill="CFF0FC"/>
          </w:tcPr>
          <w:p>
            <w:pPr>
              <w:spacing w:after="0"/>
              <w:rPr>
                <w:sz w:val="11"/>
                <w:szCs w:val="11"/>
                <w:color w:val="auto"/>
              </w:rPr>
            </w:pPr>
          </w:p>
        </w:tc>
        <w:tc>
          <w:tcPr>
            <w:tcW w:w="12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(2,928)</w:t>
            </w:r>
          </w:p>
        </w:tc>
        <w:tc>
          <w:tcPr>
            <w:tcW w:w="11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(2,145)</w:t>
            </w:r>
          </w:p>
        </w:tc>
        <w:tc>
          <w:tcPr>
            <w:tcW w:w="11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(307)</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3,092</w:t>
            </w:r>
          </w:p>
        </w:tc>
        <w:tc>
          <w:tcPr>
            <w:tcW w:w="100" w:type="dxa"/>
            <w:vAlign w:val="bottom"/>
            <w:shd w:val="clear" w:color="auto" w:fill="CFF0FC"/>
          </w:tcPr>
          <w:p>
            <w:pPr>
              <w:spacing w:after="0"/>
              <w:rPr>
                <w:sz w:val="11"/>
                <w:szCs w:val="11"/>
                <w:color w:val="auto"/>
              </w:rPr>
            </w:pPr>
          </w:p>
        </w:tc>
        <w:tc>
          <w:tcPr>
            <w:tcW w:w="1400" w:type="dxa"/>
            <w:vAlign w:val="bottom"/>
            <w:tcBorders>
              <w:right w:val="single" w:sz="8" w:color="CFF0FC"/>
            </w:tcBorders>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(4,477)</w:t>
            </w:r>
          </w:p>
        </w:tc>
        <w:tc>
          <w:tcPr>
            <w:tcW w:w="11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(640)</w:t>
            </w:r>
          </w:p>
        </w:tc>
        <w:tc>
          <w:tcPr>
            <w:tcW w:w="0" w:type="dxa"/>
            <w:vAlign w:val="bottom"/>
          </w:tcPr>
          <w:p>
            <w:pPr>
              <w:spacing w:after="0"/>
              <w:rPr>
                <w:sz w:val="1"/>
                <w:szCs w:val="1"/>
                <w:color w:val="auto"/>
              </w:rPr>
            </w:pPr>
          </w:p>
        </w:tc>
      </w:tr>
      <w:tr>
        <w:trPr>
          <w:trHeight w:val="148"/>
        </w:trPr>
        <w:tc>
          <w:tcPr>
            <w:tcW w:w="2960" w:type="dxa"/>
            <w:vAlign w:val="bottom"/>
            <w:shd w:val="clear" w:color="auto" w:fill="CFF0FC"/>
          </w:tcPr>
          <w:p>
            <w:pPr>
              <w:ind w:left="40"/>
              <w:spacing w:after="0" w:line="148"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98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0" w:type="dxa"/>
            <w:vAlign w:val="bottom"/>
            <w:gridSpan w:val="2"/>
            <w:vMerge w:val="continue"/>
            <w:shd w:val="clear" w:color="auto" w:fill="CFF0FC"/>
          </w:tcPr>
          <w:p>
            <w:pPr>
              <w:spacing w:after="0"/>
              <w:rPr>
                <w:sz w:val="12"/>
                <w:szCs w:val="12"/>
                <w:color w:val="auto"/>
              </w:rPr>
            </w:pPr>
          </w:p>
        </w:tc>
        <w:tc>
          <w:tcPr>
            <w:tcW w:w="1180" w:type="dxa"/>
            <w:vAlign w:val="bottom"/>
            <w:gridSpan w:val="2"/>
            <w:vMerge w:val="continue"/>
            <w:shd w:val="clear" w:color="auto" w:fill="CFF0FC"/>
          </w:tcPr>
          <w:p>
            <w:pPr>
              <w:spacing w:after="0"/>
              <w:rPr>
                <w:sz w:val="12"/>
                <w:szCs w:val="12"/>
                <w:color w:val="auto"/>
              </w:rPr>
            </w:pPr>
          </w:p>
        </w:tc>
        <w:tc>
          <w:tcPr>
            <w:tcW w:w="1180" w:type="dxa"/>
            <w:vAlign w:val="bottom"/>
            <w:gridSpan w:val="2"/>
            <w:vMerge w:val="continue"/>
            <w:shd w:val="clear" w:color="auto" w:fill="CFF0FC"/>
          </w:tcPr>
          <w:p>
            <w:pPr>
              <w:spacing w:after="0"/>
              <w:rPr>
                <w:sz w:val="12"/>
                <w:szCs w:val="12"/>
                <w:color w:val="auto"/>
              </w:rPr>
            </w:pPr>
          </w:p>
        </w:tc>
        <w:tc>
          <w:tcPr>
            <w:tcW w:w="8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0" w:type="dxa"/>
            <w:vAlign w:val="bottom"/>
            <w:tcBorders>
              <w:right w:val="single" w:sz="8" w:color="CFF0FC"/>
            </w:tcBorders>
            <w:gridSpan w:val="3"/>
            <w:vMerge w:val="continue"/>
            <w:shd w:val="clear" w:color="auto" w:fill="CFF0FC"/>
          </w:tcPr>
          <w:p>
            <w:pPr>
              <w:spacing w:after="0"/>
              <w:rPr>
                <w:sz w:val="12"/>
                <w:szCs w:val="12"/>
                <w:color w:val="auto"/>
              </w:rPr>
            </w:pPr>
          </w:p>
        </w:tc>
        <w:tc>
          <w:tcPr>
            <w:tcW w:w="11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 income/(loss)</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4,481</w:t>
            </w:r>
          </w:p>
        </w:tc>
        <w:tc>
          <w:tcPr>
            <w:tcW w:w="260" w:type="dxa"/>
            <w:vAlign w:val="bottom"/>
          </w:tcPr>
          <w:p>
            <w:pPr>
              <w:spacing w:after="0"/>
              <w:rPr>
                <w:sz w:val="12"/>
                <w:szCs w:val="12"/>
                <w:color w:val="auto"/>
              </w:rPr>
            </w:pPr>
          </w:p>
        </w:tc>
        <w:tc>
          <w:tcPr>
            <w:tcW w:w="12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(7,930)</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43,179</w:t>
            </w:r>
          </w:p>
        </w:tc>
        <w:tc>
          <w:tcPr>
            <w:tcW w:w="22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6,173</w:t>
            </w:r>
          </w:p>
        </w:tc>
        <w:tc>
          <w:tcPr>
            <w:tcW w:w="220" w:type="dxa"/>
            <w:vAlign w:val="bottom"/>
          </w:tcPr>
          <w:p>
            <w:pPr>
              <w:spacing w:after="0"/>
              <w:rPr>
                <w:sz w:val="12"/>
                <w:szCs w:val="12"/>
                <w:color w:val="auto"/>
              </w:rPr>
            </w:pPr>
          </w:p>
        </w:tc>
        <w:tc>
          <w:tcPr>
            <w:tcW w:w="9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(49,854)</w:t>
            </w:r>
          </w:p>
        </w:tc>
        <w:tc>
          <w:tcPr>
            <w:tcW w:w="140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3"/>
                <w:szCs w:val="13"/>
                <w:b w:val="1"/>
                <w:bCs w:val="1"/>
                <w:color w:val="auto"/>
              </w:rPr>
              <w:t>(4,112)</w:t>
            </w:r>
          </w:p>
        </w:tc>
        <w:tc>
          <w:tcPr>
            <w:tcW w:w="11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(588)</w:t>
            </w:r>
          </w:p>
        </w:tc>
        <w:tc>
          <w:tcPr>
            <w:tcW w:w="0" w:type="dxa"/>
            <w:vAlign w:val="bottom"/>
          </w:tcPr>
          <w:p>
            <w:pPr>
              <w:spacing w:after="0"/>
              <w:rPr>
                <w:sz w:val="1"/>
                <w:szCs w:val="1"/>
                <w:color w:val="auto"/>
              </w:rPr>
            </w:pPr>
          </w:p>
        </w:tc>
      </w:tr>
      <w:tr>
        <w:trPr>
          <w:trHeight w:val="136"/>
        </w:trPr>
        <w:tc>
          <w:tcPr>
            <w:tcW w:w="2960" w:type="dxa"/>
            <w:vAlign w:val="bottom"/>
            <w:shd w:val="clear" w:color="auto" w:fill="CFF0FC"/>
          </w:tcPr>
          <w:p>
            <w:pPr>
              <w:ind w:left="40"/>
              <w:spacing w:after="0" w:line="136" w:lineRule="exact"/>
              <w:rPr>
                <w:sz w:val="20"/>
                <w:szCs w:val="20"/>
                <w:color w:val="auto"/>
              </w:rPr>
            </w:pPr>
            <w:r>
              <w:rPr>
                <w:rFonts w:ascii="Times New Roman" w:cs="Times New Roman" w:eastAsia="Times New Roman" w:hAnsi="Times New Roman"/>
                <w:sz w:val="13"/>
                <w:szCs w:val="13"/>
                <w:color w:val="auto"/>
              </w:rPr>
              <w:t>Comprehensive (income)/loss attributable to</w:t>
            </w:r>
          </w:p>
        </w:tc>
        <w:tc>
          <w:tcPr>
            <w:tcW w:w="12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(1,608)</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20" w:type="dxa"/>
            <w:vAlign w:val="bottom"/>
            <w:shd w:val="clear" w:color="auto" w:fill="CFF0FC"/>
          </w:tcPr>
          <w:p>
            <w:pPr>
              <w:spacing w:after="0"/>
              <w:rPr>
                <w:sz w:val="11"/>
                <w:szCs w:val="11"/>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20" w:type="dxa"/>
            <w:vAlign w:val="bottom"/>
            <w:shd w:val="clear" w:color="auto" w:fill="CFF0FC"/>
          </w:tcPr>
          <w:p>
            <w:pPr>
              <w:spacing w:after="0"/>
              <w:rPr>
                <w:sz w:val="11"/>
                <w:szCs w:val="11"/>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shd w:val="clear" w:color="auto" w:fill="CFF0FC"/>
          </w:tcPr>
          <w:p>
            <w:pPr>
              <w:spacing w:after="0"/>
              <w:rPr>
                <w:sz w:val="11"/>
                <w:szCs w:val="11"/>
                <w:color w:val="auto"/>
              </w:rPr>
            </w:pPr>
          </w:p>
        </w:tc>
        <w:tc>
          <w:tcPr>
            <w:tcW w:w="9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(608)</w:t>
            </w:r>
          </w:p>
        </w:tc>
        <w:tc>
          <w:tcPr>
            <w:tcW w:w="1400" w:type="dxa"/>
            <w:vAlign w:val="bottom"/>
            <w:tcBorders>
              <w:right w:val="single" w:sz="8" w:color="CFF0FC"/>
            </w:tcBorders>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(29)</w:t>
            </w:r>
          </w:p>
        </w:tc>
        <w:tc>
          <w:tcPr>
            <w:tcW w:w="11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48"/>
        </w:trPr>
        <w:tc>
          <w:tcPr>
            <w:tcW w:w="2960" w:type="dxa"/>
            <w:vAlign w:val="bottom"/>
            <w:shd w:val="clear" w:color="auto" w:fill="CFF0FC"/>
          </w:tcPr>
          <w:p>
            <w:pPr>
              <w:ind w:left="40"/>
              <w:spacing w:after="0" w:line="148" w:lineRule="exact"/>
              <w:rPr>
                <w:sz w:val="20"/>
                <w:szCs w:val="20"/>
                <w:color w:val="auto"/>
              </w:rPr>
            </w:pPr>
            <w:r>
              <w:rPr>
                <w:rFonts w:ascii="Times New Roman" w:cs="Times New Roman" w:eastAsia="Times New Roman" w:hAnsi="Times New Roman"/>
                <w:sz w:val="13"/>
                <w:szCs w:val="13"/>
                <w:color w:val="auto"/>
              </w:rPr>
              <w:t>noncontrolling interests</w:t>
            </w:r>
          </w:p>
        </w:tc>
        <w:tc>
          <w:tcPr>
            <w:tcW w:w="1240" w:type="dxa"/>
            <w:vAlign w:val="bottom"/>
            <w:gridSpan w:val="2"/>
            <w:vMerge w:val="continue"/>
            <w:shd w:val="clear" w:color="auto" w:fill="CFF0FC"/>
          </w:tcPr>
          <w:p>
            <w:pPr>
              <w:spacing w:after="0"/>
              <w:rPr>
                <w:sz w:val="12"/>
                <w:szCs w:val="12"/>
                <w:color w:val="auto"/>
              </w:rPr>
            </w:pPr>
          </w:p>
        </w:tc>
        <w:tc>
          <w:tcPr>
            <w:tcW w:w="9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vMerge w:val="continue"/>
            <w:shd w:val="clear" w:color="auto" w:fill="CFF0FC"/>
          </w:tcPr>
          <w:p>
            <w:pPr>
              <w:spacing w:after="0"/>
              <w:rPr>
                <w:sz w:val="12"/>
                <w:szCs w:val="12"/>
                <w:color w:val="auto"/>
              </w:rPr>
            </w:pPr>
          </w:p>
        </w:tc>
        <w:tc>
          <w:tcPr>
            <w:tcW w:w="1400" w:type="dxa"/>
            <w:vAlign w:val="bottom"/>
            <w:tcBorders>
              <w:right w:val="single" w:sz="8" w:color="CFF0FC"/>
            </w:tcBorders>
            <w:gridSpan w:val="3"/>
            <w:vMerge w:val="continue"/>
            <w:shd w:val="clear" w:color="auto" w:fill="CFF0FC"/>
          </w:tcPr>
          <w:p>
            <w:pPr>
              <w:spacing w:after="0"/>
              <w:rPr>
                <w:sz w:val="12"/>
                <w:szCs w:val="12"/>
                <w:color w:val="auto"/>
              </w:rPr>
            </w:pPr>
          </w:p>
        </w:tc>
        <w:tc>
          <w:tcPr>
            <w:tcW w:w="11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960" w:type="dxa"/>
            <w:vAlign w:val="bottom"/>
            <w:tcBorders>
              <w:top w:val="single" w:sz="8" w:color="CFF0FC"/>
            </w:tcBorders>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Comprehensive income/(loss) attributable to</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2,873</w:t>
            </w:r>
          </w:p>
        </w:tc>
        <w:tc>
          <w:tcPr>
            <w:tcW w:w="260" w:type="dxa"/>
            <w:vAlign w:val="bottom"/>
            <w:tcBorders>
              <w:top w:val="single" w:sz="8" w:color="CFF0FC"/>
            </w:tcBorders>
          </w:tcPr>
          <w:p>
            <w:pPr>
              <w:spacing w:after="0"/>
              <w:rPr>
                <w:sz w:val="10"/>
                <w:szCs w:val="10"/>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(7,850)</w:t>
            </w:r>
          </w:p>
        </w:tc>
        <w:tc>
          <w:tcPr>
            <w:tcW w:w="220" w:type="dxa"/>
            <w:vAlign w:val="bottom"/>
            <w:tcBorders>
              <w:top w:val="single" w:sz="8" w:color="CFF0FC"/>
            </w:tcBorders>
          </w:tcPr>
          <w:p>
            <w:pPr>
              <w:spacing w:after="0"/>
              <w:rPr>
                <w:sz w:val="10"/>
                <w:szCs w:val="10"/>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43,194</w:t>
            </w:r>
          </w:p>
        </w:tc>
        <w:tc>
          <w:tcPr>
            <w:tcW w:w="220" w:type="dxa"/>
            <w:vAlign w:val="bottom"/>
            <w:tcBorders>
              <w:top w:val="single" w:sz="8" w:color="CFF0FC"/>
            </w:tcBorders>
          </w:tcPr>
          <w:p>
            <w:pPr>
              <w:spacing w:after="0"/>
              <w:rPr>
                <w:sz w:val="10"/>
                <w:szCs w:val="10"/>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6,175</w:t>
            </w:r>
          </w:p>
        </w:tc>
        <w:tc>
          <w:tcPr>
            <w:tcW w:w="220" w:type="dxa"/>
            <w:vAlign w:val="bottom"/>
            <w:tcBorders>
              <w:top w:val="single" w:sz="8" w:color="CFF0FC"/>
            </w:tcBorders>
          </w:tcPr>
          <w:p>
            <w:pPr>
              <w:spacing w:after="0"/>
              <w:rPr>
                <w:sz w:val="10"/>
                <w:szCs w:val="10"/>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(50,462)</w:t>
            </w: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(4,141)</w:t>
            </w:r>
          </w:p>
        </w:tc>
        <w:tc>
          <w:tcPr>
            <w:tcW w:w="280" w:type="dxa"/>
            <w:vAlign w:val="bottom"/>
            <w:tcBorders>
              <w:top w:val="single" w:sz="8" w:color="CFF0FC"/>
            </w:tcBorders>
          </w:tcPr>
          <w:p>
            <w:pPr>
              <w:spacing w:after="0"/>
              <w:rPr>
                <w:sz w:val="10"/>
                <w:szCs w:val="10"/>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(592)</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96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Phoenix New Media Limited</w:t>
            </w:r>
          </w:p>
        </w:tc>
        <w:tc>
          <w:tcPr>
            <w:tcW w:w="98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9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Net (loss)/income per Class A and Class B</w:t>
            </w:r>
          </w:p>
        </w:tc>
        <w:tc>
          <w:tcPr>
            <w:tcW w:w="9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80" w:type="dxa"/>
            <w:vAlign w:val="bottom"/>
            <w:tcBorders>
              <w:right w:val="single" w:sz="8" w:color="CFF0FC"/>
            </w:tcBorders>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ordinary share:</w:t>
            </w: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Basic</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(0.01)</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(0.01)</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220" w:type="dxa"/>
            <w:vAlign w:val="bottom"/>
          </w:tcPr>
          <w:p>
            <w:pPr>
              <w:spacing w:after="0"/>
              <w:rPr>
                <w:sz w:val="12"/>
                <w:szCs w:val="12"/>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(0.09)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Diluted</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(0.01)</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(0.01)</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(0.09)</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280" w:type="dxa"/>
            <w:vAlign w:val="bottom"/>
            <w:tcBorders>
              <w:right w:val="single" w:sz="8" w:color="CFF0FC"/>
            </w:tcBorders>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960" w:type="dxa"/>
            <w:vAlign w:val="bottom"/>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Net (loss)/income per ADS (1 ADS represents 48</w:t>
            </w: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9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Class A ordinary shares):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Basic</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(0.30)</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(0.41)</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0.54</w:t>
            </w: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(4.46)</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280" w:type="dxa"/>
            <w:vAlign w:val="bottom"/>
            <w:tcBorders>
              <w:right w:val="single" w:sz="8" w:color="CFF0FC"/>
            </w:tcBorders>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Diluted</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(0.30)</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(0.41)</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0.54</w:t>
            </w:r>
          </w:p>
        </w:tc>
        <w:tc>
          <w:tcPr>
            <w:tcW w:w="220" w:type="dxa"/>
            <w:vAlign w:val="bottom"/>
          </w:tcPr>
          <w:p>
            <w:pPr>
              <w:spacing w:after="0"/>
              <w:rPr>
                <w:sz w:val="12"/>
                <w:szCs w:val="12"/>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(4.46)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9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Weighted average number of Class A and Class B</w:t>
            </w: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80" w:type="dxa"/>
            <w:vAlign w:val="bottom"/>
            <w:tcBorders>
              <w:right w:val="single" w:sz="8" w:color="CFF0FC"/>
            </w:tcBorders>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ordinary shares used in computing net</w:t>
            </w: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(loss)/income per share:</w:t>
            </w: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Basic</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576,517,237</w:t>
            </w: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576,517,237</w:t>
            </w: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576,517,237</w:t>
            </w: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576,517,237</w:t>
            </w: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576,786,817</w:t>
            </w:r>
          </w:p>
        </w:tc>
        <w:tc>
          <w:tcPr>
            <w:tcW w:w="100" w:type="dxa"/>
            <w:vAlign w:val="bottom"/>
          </w:tcPr>
          <w:p>
            <w:pPr>
              <w:spacing w:after="0"/>
              <w:rPr>
                <w:sz w:val="12"/>
                <w:szCs w:val="1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576,517,237</w:t>
            </w: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576,517,237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Diluted</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576,517,237</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576,517,237</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576,517,237</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576,517,237</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576,786,817</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576,517,237</w:t>
            </w:r>
          </w:p>
        </w:tc>
        <w:tc>
          <w:tcPr>
            <w:tcW w:w="280" w:type="dxa"/>
            <w:vAlign w:val="bottom"/>
            <w:tcBorders>
              <w:right w:val="single" w:sz="8" w:color="CFF0FC"/>
            </w:tcBorders>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576,517,237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3"/>
        </w:trPr>
        <w:tc>
          <w:tcPr>
            <w:tcW w:w="29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-5013960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-5013960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-5013960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-5013960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-5013960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-5013960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-5013960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-4817110</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-4817110</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-4817110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-4817110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-4817110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-4817110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-4817110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-4234180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-4234180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-4234180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-4234180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-4234180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-4234180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-4234180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-2819400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-2802255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-2819400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-2802255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-2819400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-2802255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-2819400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-2802255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-2819400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-2802255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-2819400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-2802255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-2519680</wp:posOffset>
            </wp:positionV>
            <wp:extent cx="77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-2519680</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-2519680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-2519680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-2519680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-2519680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-2236470</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-2236470</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-2236470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-2236470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-2236470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-2236470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Segments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34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ind w:right="569"/>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Twelve Months Ended</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2340" w:type="dxa"/>
            <w:vAlign w:val="bottom"/>
          </w:tcPr>
          <w:p>
            <w:pPr>
              <w:spacing w:after="0"/>
              <w:rPr>
                <w:sz w:val="10"/>
                <w:szCs w:val="10"/>
                <w:color w:val="auto"/>
              </w:rPr>
            </w:pPr>
          </w:p>
        </w:tc>
        <w:tc>
          <w:tcPr>
            <w:tcW w:w="11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0"/>
                <w:szCs w:val="10"/>
                <w:color w:val="auto"/>
              </w:rPr>
            </w:pPr>
          </w:p>
        </w:tc>
        <w:tc>
          <w:tcPr>
            <w:tcW w:w="10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0"/>
                <w:szCs w:val="10"/>
                <w:color w:val="auto"/>
              </w:rPr>
            </w:pPr>
          </w:p>
        </w:tc>
        <w:tc>
          <w:tcPr>
            <w:tcW w:w="9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0"/>
                <w:szCs w:val="10"/>
                <w:color w:val="auto"/>
              </w:rPr>
            </w:pPr>
          </w:p>
        </w:tc>
        <w:tc>
          <w:tcPr>
            <w:tcW w:w="9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0"/>
                <w:szCs w:val="10"/>
                <w:color w:val="auto"/>
              </w:rPr>
            </w:pPr>
          </w:p>
        </w:tc>
        <w:tc>
          <w:tcPr>
            <w:tcW w:w="10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0"/>
                <w:szCs w:val="10"/>
                <w:color w:val="auto"/>
              </w:rPr>
            </w:pPr>
          </w:p>
        </w:tc>
        <w:tc>
          <w:tcPr>
            <w:tcW w:w="126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0"/>
                <w:szCs w:val="10"/>
                <w:color w:val="auto"/>
              </w:rPr>
            </w:pPr>
          </w:p>
        </w:tc>
      </w:tr>
      <w:tr>
        <w:trPr>
          <w:trHeight w:val="165"/>
        </w:trPr>
        <w:tc>
          <w:tcPr>
            <w:tcW w:w="23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80" w:type="dxa"/>
            <w:vAlign w:val="bottom"/>
            <w:gridSpan w:val="2"/>
          </w:tcPr>
          <w:p>
            <w:pPr>
              <w:jc w:val="center"/>
              <w:ind w:left="149"/>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200" w:type="dxa"/>
            <w:vAlign w:val="bottom"/>
            <w:gridSpan w:val="2"/>
          </w:tcPr>
          <w:p>
            <w:pPr>
              <w:jc w:val="center"/>
              <w:ind w:left="16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160" w:type="dxa"/>
            <w:vAlign w:val="bottom"/>
            <w:gridSpan w:val="2"/>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60" w:type="dxa"/>
            <w:vAlign w:val="bottom"/>
            <w:gridSpan w:val="2"/>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280" w:type="dxa"/>
            <w:vAlign w:val="bottom"/>
            <w:gridSpan w:val="2"/>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r>
      <w:tr>
        <w:trPr>
          <w:trHeight w:val="172"/>
        </w:trPr>
        <w:tc>
          <w:tcPr>
            <w:tcW w:w="2340" w:type="dxa"/>
            <w:vAlign w:val="bottom"/>
          </w:tcPr>
          <w:p>
            <w:pPr>
              <w:spacing w:after="0"/>
              <w:rPr>
                <w:sz w:val="14"/>
                <w:szCs w:val="14"/>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4"/>
                <w:szCs w:val="14"/>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4"/>
                <w:szCs w:val="14"/>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4"/>
                <w:szCs w:val="14"/>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4"/>
                <w:szCs w:val="14"/>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220" w:type="dxa"/>
            <w:vAlign w:val="bottom"/>
          </w:tcPr>
          <w:p>
            <w:pPr>
              <w:spacing w:after="0"/>
              <w:rPr>
                <w:sz w:val="14"/>
                <w:szCs w:val="14"/>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4"/>
                <w:szCs w:val="14"/>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4"/>
                <w:szCs w:val="14"/>
                <w:color w:val="auto"/>
              </w:rPr>
            </w:pPr>
          </w:p>
        </w:tc>
      </w:tr>
      <w:tr>
        <w:trPr>
          <w:trHeight w:val="119"/>
        </w:trPr>
        <w:tc>
          <w:tcPr>
            <w:tcW w:w="2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8"/>
        </w:trPr>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Net advertising service</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188,981</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159,347</w:t>
            </w:r>
          </w:p>
        </w:tc>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181,129</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25,901</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630,590</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614,330</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87,848</w:t>
            </w:r>
          </w:p>
        </w:tc>
        <w:tc>
          <w:tcPr>
            <w:tcW w:w="100" w:type="dxa"/>
            <w:vAlign w:val="bottom"/>
          </w:tcPr>
          <w:p>
            <w:pPr>
              <w:spacing w:after="0"/>
              <w:rPr>
                <w:sz w:val="12"/>
                <w:szCs w:val="12"/>
                <w:color w:val="auto"/>
              </w:rPr>
            </w:pPr>
          </w:p>
        </w:tc>
      </w:tr>
      <w:tr>
        <w:trPr>
          <w:trHeight w:val="148"/>
        </w:trPr>
        <w:tc>
          <w:tcPr>
            <w:tcW w:w="2340" w:type="dxa"/>
            <w:vAlign w:val="bottom"/>
            <w:tcBorders>
              <w:bottom w:val="single" w:sz="8" w:color="CFF0FC"/>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Paid services</w:t>
            </w: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29,126</w:t>
            </w:r>
          </w:p>
        </w:tc>
        <w:tc>
          <w:tcPr>
            <w:tcW w:w="24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41,561</w:t>
            </w:r>
          </w:p>
        </w:tc>
        <w:tc>
          <w:tcPr>
            <w:tcW w:w="24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41,169</w:t>
            </w:r>
          </w:p>
        </w:tc>
        <w:tc>
          <w:tcPr>
            <w:tcW w:w="22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5,887</w:t>
            </w:r>
          </w:p>
        </w:tc>
        <w:tc>
          <w:tcPr>
            <w:tcW w:w="22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73,105</w:t>
            </w:r>
          </w:p>
        </w:tc>
        <w:tc>
          <w:tcPr>
            <w:tcW w:w="22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151,241</w:t>
            </w:r>
          </w:p>
        </w:tc>
        <w:tc>
          <w:tcPr>
            <w:tcW w:w="200" w:type="dxa"/>
            <w:vAlign w:val="bottom"/>
            <w:tcBorders>
              <w:bottom w:val="single" w:sz="8" w:color="CFF0FC"/>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21,627</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23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revenues</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218,107</w:t>
            </w:r>
          </w:p>
        </w:tc>
        <w:tc>
          <w:tcPr>
            <w:tcW w:w="1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200,908</w:t>
            </w:r>
          </w:p>
        </w:tc>
        <w:tc>
          <w:tcPr>
            <w:tcW w:w="1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222,298</w:t>
            </w:r>
          </w:p>
        </w:tc>
        <w:tc>
          <w:tcPr>
            <w:tcW w:w="1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31,788</w:t>
            </w:r>
          </w:p>
        </w:tc>
        <w:tc>
          <w:tcPr>
            <w:tcW w:w="1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703,695</w:t>
            </w:r>
          </w:p>
        </w:tc>
        <w:tc>
          <w:tcPr>
            <w:tcW w:w="1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765,571</w:t>
            </w:r>
          </w:p>
        </w:tc>
        <w:tc>
          <w:tcPr>
            <w:tcW w:w="20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109,475</w:t>
            </w:r>
          </w:p>
        </w:tc>
        <w:tc>
          <w:tcPr>
            <w:tcW w:w="100" w:type="dxa"/>
            <w:vAlign w:val="bottom"/>
          </w:tcPr>
          <w:p>
            <w:pPr>
              <w:spacing w:after="0"/>
              <w:rPr>
                <w:sz w:val="12"/>
                <w:szCs w:val="12"/>
                <w:color w:val="auto"/>
              </w:rPr>
            </w:pPr>
          </w:p>
        </w:tc>
      </w:tr>
      <w:tr>
        <w:trPr>
          <w:trHeight w:val="148"/>
        </w:trPr>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Cost of revenues</w:t>
            </w: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Net advertising service</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114,968</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99,799</w:t>
            </w:r>
          </w:p>
        </w:tc>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93,470</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13,366</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404,061</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369,218</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52,798</w:t>
            </w:r>
          </w:p>
        </w:tc>
        <w:tc>
          <w:tcPr>
            <w:tcW w:w="100" w:type="dxa"/>
            <w:vAlign w:val="bottom"/>
          </w:tcPr>
          <w:p>
            <w:pPr>
              <w:spacing w:after="0"/>
              <w:rPr>
                <w:sz w:val="12"/>
                <w:szCs w:val="12"/>
                <w:color w:val="auto"/>
              </w:rPr>
            </w:pPr>
          </w:p>
        </w:tc>
      </w:tr>
      <w:tr>
        <w:trPr>
          <w:trHeight w:val="148"/>
        </w:trPr>
        <w:tc>
          <w:tcPr>
            <w:tcW w:w="2340" w:type="dxa"/>
            <w:vAlign w:val="bottom"/>
            <w:tcBorders>
              <w:bottom w:val="single" w:sz="8" w:color="CFF0FC"/>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Paid services</w:t>
            </w: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6,134</w:t>
            </w:r>
          </w:p>
        </w:tc>
        <w:tc>
          <w:tcPr>
            <w:tcW w:w="24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5,421</w:t>
            </w:r>
          </w:p>
        </w:tc>
        <w:tc>
          <w:tcPr>
            <w:tcW w:w="24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5,120</w:t>
            </w:r>
          </w:p>
        </w:tc>
        <w:tc>
          <w:tcPr>
            <w:tcW w:w="22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732</w:t>
            </w:r>
          </w:p>
        </w:tc>
        <w:tc>
          <w:tcPr>
            <w:tcW w:w="22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30,928</w:t>
            </w:r>
          </w:p>
        </w:tc>
        <w:tc>
          <w:tcPr>
            <w:tcW w:w="22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22,204</w:t>
            </w:r>
          </w:p>
        </w:tc>
        <w:tc>
          <w:tcPr>
            <w:tcW w:w="200" w:type="dxa"/>
            <w:vAlign w:val="bottom"/>
            <w:tcBorders>
              <w:bottom w:val="single" w:sz="8" w:color="CFF0FC"/>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3,175</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23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cost of revenues</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121,102</w:t>
            </w:r>
          </w:p>
        </w:tc>
        <w:tc>
          <w:tcPr>
            <w:tcW w:w="1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105,220</w:t>
            </w:r>
          </w:p>
        </w:tc>
        <w:tc>
          <w:tcPr>
            <w:tcW w:w="1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98,590</w:t>
            </w:r>
          </w:p>
        </w:tc>
        <w:tc>
          <w:tcPr>
            <w:tcW w:w="1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14,098</w:t>
            </w:r>
          </w:p>
        </w:tc>
        <w:tc>
          <w:tcPr>
            <w:tcW w:w="1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434,989</w:t>
            </w:r>
          </w:p>
        </w:tc>
        <w:tc>
          <w:tcPr>
            <w:tcW w:w="1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391,422</w:t>
            </w:r>
          </w:p>
        </w:tc>
        <w:tc>
          <w:tcPr>
            <w:tcW w:w="20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55,973</w:t>
            </w:r>
          </w:p>
        </w:tc>
        <w:tc>
          <w:tcPr>
            <w:tcW w:w="100" w:type="dxa"/>
            <w:vAlign w:val="bottom"/>
          </w:tcPr>
          <w:p>
            <w:pPr>
              <w:spacing w:after="0"/>
              <w:rPr>
                <w:sz w:val="12"/>
                <w:szCs w:val="12"/>
                <w:color w:val="auto"/>
              </w:rPr>
            </w:pPr>
          </w:p>
        </w:tc>
      </w:tr>
      <w:tr>
        <w:trPr>
          <w:trHeight w:val="148"/>
        </w:trPr>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Net advertising service</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74,013</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59,548</w:t>
            </w:r>
          </w:p>
        </w:tc>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87,659</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12,535</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226,529</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245,112</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35,050</w:t>
            </w:r>
          </w:p>
        </w:tc>
        <w:tc>
          <w:tcPr>
            <w:tcW w:w="100" w:type="dxa"/>
            <w:vAlign w:val="bottom"/>
          </w:tcPr>
          <w:p>
            <w:pPr>
              <w:spacing w:after="0"/>
              <w:rPr>
                <w:sz w:val="12"/>
                <w:szCs w:val="12"/>
                <w:color w:val="auto"/>
              </w:rPr>
            </w:pPr>
          </w:p>
        </w:tc>
      </w:tr>
      <w:tr>
        <w:trPr>
          <w:trHeight w:val="148"/>
        </w:trPr>
        <w:tc>
          <w:tcPr>
            <w:tcW w:w="2340" w:type="dxa"/>
            <w:vAlign w:val="bottom"/>
            <w:tcBorders>
              <w:bottom w:val="single" w:sz="8" w:color="CFF0FC"/>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Paid services</w:t>
            </w: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22,992</w:t>
            </w:r>
          </w:p>
        </w:tc>
        <w:tc>
          <w:tcPr>
            <w:tcW w:w="24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36,140</w:t>
            </w:r>
          </w:p>
        </w:tc>
        <w:tc>
          <w:tcPr>
            <w:tcW w:w="24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36,049</w:t>
            </w:r>
          </w:p>
        </w:tc>
        <w:tc>
          <w:tcPr>
            <w:tcW w:w="22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5,155</w:t>
            </w:r>
          </w:p>
        </w:tc>
        <w:tc>
          <w:tcPr>
            <w:tcW w:w="22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42,177</w:t>
            </w:r>
          </w:p>
        </w:tc>
        <w:tc>
          <w:tcPr>
            <w:tcW w:w="22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129,037</w:t>
            </w:r>
          </w:p>
        </w:tc>
        <w:tc>
          <w:tcPr>
            <w:tcW w:w="200" w:type="dxa"/>
            <w:vAlign w:val="bottom"/>
            <w:tcBorders>
              <w:bottom w:val="single" w:sz="8" w:color="CFF0FC"/>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18,452</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23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gross profit</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97,005</w:t>
            </w:r>
          </w:p>
        </w:tc>
        <w:tc>
          <w:tcPr>
            <w:tcW w:w="1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95,688</w:t>
            </w:r>
          </w:p>
        </w:tc>
        <w:tc>
          <w:tcPr>
            <w:tcW w:w="1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123,708</w:t>
            </w:r>
          </w:p>
        </w:tc>
        <w:tc>
          <w:tcPr>
            <w:tcW w:w="1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17,690</w:t>
            </w:r>
          </w:p>
        </w:tc>
        <w:tc>
          <w:tcPr>
            <w:tcW w:w="1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268,706</w:t>
            </w:r>
          </w:p>
        </w:tc>
        <w:tc>
          <w:tcPr>
            <w:tcW w:w="1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374,149</w:t>
            </w:r>
          </w:p>
        </w:tc>
        <w:tc>
          <w:tcPr>
            <w:tcW w:w="20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53,502</w:t>
            </w:r>
          </w:p>
        </w:tc>
        <w:tc>
          <w:tcPr>
            <w:tcW w:w="100" w:type="dxa"/>
            <w:vAlign w:val="bottom"/>
          </w:tcPr>
          <w:p>
            <w:pPr>
              <w:spacing w:after="0"/>
              <w:rPr>
                <w:sz w:val="12"/>
                <w:szCs w:val="12"/>
                <w:color w:val="auto"/>
              </w:rPr>
            </w:pPr>
          </w:p>
        </w:tc>
      </w:tr>
      <w:tr>
        <w:trPr>
          <w:trHeight w:val="20"/>
        </w:trPr>
        <w:tc>
          <w:tcPr>
            <w:tcW w:w="2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43"/>
        </w:trPr>
        <w:tc>
          <w:tcPr>
            <w:tcW w:w="2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-1713865</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-1713865</wp:posOffset>
            </wp:positionV>
            <wp:extent cx="768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-1713865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-1713865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-1713865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-1713865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-1328420</wp:posOffset>
            </wp:positionV>
            <wp:extent cx="768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-1328420</wp:posOffset>
            </wp:positionV>
            <wp:extent cx="768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-1328420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-1328420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-1328420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-1328420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-942340</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-942340</wp:posOffset>
            </wp:positionV>
            <wp:extent cx="768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-942340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-942340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-942340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-942340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Information of Cost of Revenues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7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Twelve Months Ended</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5"/>
        </w:trPr>
        <w:tc>
          <w:tcPr>
            <w:tcW w:w="2700" w:type="dxa"/>
            <w:vAlign w:val="bottom"/>
          </w:tcPr>
          <w:p>
            <w:pPr>
              <w:spacing w:after="0"/>
              <w:rPr>
                <w:sz w:val="10"/>
                <w:szCs w:val="10"/>
                <w:color w:val="auto"/>
              </w:rPr>
            </w:pPr>
          </w:p>
        </w:tc>
        <w:tc>
          <w:tcPr>
            <w:tcW w:w="10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0"/>
                <w:szCs w:val="10"/>
                <w:color w:val="auto"/>
              </w:rPr>
            </w:pP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0"/>
                <w:szCs w:val="10"/>
                <w:color w:val="auto"/>
              </w:rPr>
            </w:pPr>
          </w:p>
        </w:tc>
        <w:tc>
          <w:tcPr>
            <w:tcW w:w="9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0"/>
                <w:szCs w:val="10"/>
                <w:color w:val="auto"/>
              </w:rPr>
            </w:pPr>
          </w:p>
        </w:tc>
        <w:tc>
          <w:tcPr>
            <w:tcW w:w="9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0"/>
                <w:szCs w:val="10"/>
                <w:color w:val="auto"/>
              </w:rPr>
            </w:pPr>
          </w:p>
        </w:tc>
        <w:tc>
          <w:tcPr>
            <w:tcW w:w="10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0"/>
                <w:szCs w:val="10"/>
                <w:color w:val="auto"/>
              </w:rPr>
            </w:pPr>
          </w:p>
        </w:tc>
        <w:tc>
          <w:tcPr>
            <w:tcW w:w="1220" w:type="dxa"/>
            <w:vAlign w:val="bottom"/>
            <w:gridSpan w:val="3"/>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jc w:val="center"/>
              <w:ind w:right="29"/>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0"/>
                <w:szCs w:val="10"/>
                <w:color w:val="auto"/>
              </w:rPr>
            </w:pPr>
          </w:p>
        </w:tc>
      </w:tr>
      <w:tr>
        <w:trPr>
          <w:trHeight w:val="165"/>
        </w:trPr>
        <w:tc>
          <w:tcPr>
            <w:tcW w:w="27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20" w:type="dxa"/>
            <w:vAlign w:val="bottom"/>
            <w:gridSpan w:val="2"/>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180" w:type="dxa"/>
            <w:vAlign w:val="bottom"/>
            <w:gridSpan w:val="2"/>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200" w:type="dxa"/>
            <w:vAlign w:val="bottom"/>
            <w:gridSpan w:val="2"/>
          </w:tcPr>
          <w:p>
            <w:pPr>
              <w:jc w:val="center"/>
              <w:ind w:left="149"/>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260" w:type="dxa"/>
            <w:vAlign w:val="bottom"/>
            <w:gridSpan w:val="2"/>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140" w:type="dxa"/>
            <w:vAlign w:val="bottom"/>
            <w:gridSpan w:val="2"/>
          </w:tcPr>
          <w:p>
            <w:pPr>
              <w:jc w:val="center"/>
              <w:ind w:left="15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20" w:type="dxa"/>
            <w:vAlign w:val="bottom"/>
          </w:tcPr>
          <w:p>
            <w:pPr>
              <w:spacing w:after="0"/>
              <w:rPr>
                <w:sz w:val="14"/>
                <w:szCs w:val="14"/>
                <w:color w:val="auto"/>
              </w:rPr>
            </w:pPr>
          </w:p>
        </w:tc>
      </w:tr>
      <w:tr>
        <w:trPr>
          <w:trHeight w:val="172"/>
        </w:trPr>
        <w:tc>
          <w:tcPr>
            <w:tcW w:w="2700" w:type="dxa"/>
            <w:vAlign w:val="bottom"/>
          </w:tcPr>
          <w:p>
            <w:pPr>
              <w:spacing w:after="0"/>
              <w:rPr>
                <w:sz w:val="14"/>
                <w:szCs w:val="14"/>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4"/>
                <w:szCs w:val="14"/>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220" w:type="dxa"/>
            <w:vAlign w:val="bottom"/>
          </w:tcPr>
          <w:p>
            <w:pPr>
              <w:spacing w:after="0"/>
              <w:rPr>
                <w:sz w:val="14"/>
                <w:szCs w:val="14"/>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220" w:type="dxa"/>
            <w:vAlign w:val="bottom"/>
          </w:tcPr>
          <w:p>
            <w:pPr>
              <w:spacing w:after="0"/>
              <w:rPr>
                <w:sz w:val="14"/>
                <w:szCs w:val="14"/>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4"/>
                <w:szCs w:val="14"/>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4"/>
                <w:szCs w:val="14"/>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4"/>
                <w:szCs w:val="14"/>
                <w:color w:val="auto"/>
              </w:rPr>
            </w:pPr>
          </w:p>
        </w:tc>
      </w:tr>
      <w:tr>
        <w:trPr>
          <w:trHeight w:val="119"/>
        </w:trPr>
        <w:tc>
          <w:tcPr>
            <w:tcW w:w="2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8"/>
        </w:trPr>
        <w:tc>
          <w:tcPr>
            <w:tcW w:w="2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Revenue sharing fees</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4,067</w:t>
            </w: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1,336</w:t>
            </w:r>
          </w:p>
        </w:tc>
        <w:tc>
          <w:tcPr>
            <w:tcW w:w="11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1,103</w:t>
            </w: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1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13,160</w:t>
            </w: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6,958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995</w:t>
            </w:r>
          </w:p>
        </w:tc>
        <w:tc>
          <w:tcPr>
            <w:tcW w:w="120" w:type="dxa"/>
            <w:vAlign w:val="bottom"/>
            <w:shd w:val="clear" w:color="auto" w:fill="CFF0FC"/>
          </w:tcPr>
          <w:p>
            <w:pPr>
              <w:spacing w:after="0"/>
              <w:rPr>
                <w:sz w:val="12"/>
                <w:szCs w:val="12"/>
                <w:color w:val="auto"/>
              </w:rPr>
            </w:pPr>
          </w:p>
        </w:tc>
      </w:tr>
      <w:tr>
        <w:trPr>
          <w:trHeight w:val="149"/>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Content and operational costs</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110,197</w:t>
            </w: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101,337</w:t>
            </w:r>
          </w:p>
        </w:tc>
        <w:tc>
          <w:tcPr>
            <w:tcW w:w="1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94,557</w:t>
            </w:r>
          </w:p>
        </w:tc>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13,521</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396,013</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367,140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52,501</w:t>
            </w:r>
          </w:p>
        </w:tc>
        <w:tc>
          <w:tcPr>
            <w:tcW w:w="120" w:type="dxa"/>
            <w:vAlign w:val="bottom"/>
          </w:tcPr>
          <w:p>
            <w:pPr>
              <w:spacing w:after="0"/>
              <w:rPr>
                <w:sz w:val="12"/>
                <w:szCs w:val="12"/>
                <w:color w:val="auto"/>
              </w:rPr>
            </w:pPr>
          </w:p>
        </w:tc>
      </w:tr>
      <w:tr>
        <w:trPr>
          <w:trHeight w:val="148"/>
        </w:trPr>
        <w:tc>
          <w:tcPr>
            <w:tcW w:w="2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Bandwidth costs</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6,838</w:t>
            </w: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2,547</w:t>
            </w:r>
          </w:p>
        </w:tc>
        <w:tc>
          <w:tcPr>
            <w:tcW w:w="11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2,930</w:t>
            </w: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1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25,816</w:t>
            </w: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17,324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2,477</w:t>
            </w:r>
          </w:p>
        </w:tc>
        <w:tc>
          <w:tcPr>
            <w:tcW w:w="120" w:type="dxa"/>
            <w:vAlign w:val="bottom"/>
            <w:shd w:val="clear" w:color="auto" w:fill="CFF0FC"/>
          </w:tcPr>
          <w:p>
            <w:pPr>
              <w:spacing w:after="0"/>
              <w:rPr>
                <w:sz w:val="12"/>
                <w:szCs w:val="12"/>
                <w:color w:val="auto"/>
              </w:rPr>
            </w:pPr>
          </w:p>
        </w:tc>
      </w:tr>
      <w:tr>
        <w:trPr>
          <w:trHeight w:val="142"/>
        </w:trPr>
        <w:tc>
          <w:tcPr>
            <w:tcW w:w="270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cost of revenues</w:t>
            </w: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121,102</w:t>
            </w:r>
          </w:p>
        </w:tc>
        <w:tc>
          <w:tcPr>
            <w:tcW w:w="220" w:type="dxa"/>
            <w:vAlign w:val="bottom"/>
            <w:tcBorders>
              <w:top w:val="single" w:sz="8" w:color="CFF0FC"/>
              <w:bottom w:val="single" w:sz="8" w:color="CFF0FC"/>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105,220</w:t>
            </w:r>
          </w:p>
        </w:tc>
        <w:tc>
          <w:tcPr>
            <w:tcW w:w="220" w:type="dxa"/>
            <w:vAlign w:val="bottom"/>
            <w:tcBorders>
              <w:top w:val="single" w:sz="8" w:color="CFF0FC"/>
              <w:bottom w:val="single" w:sz="8" w:color="CFF0FC"/>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98,590</w:t>
            </w:r>
          </w:p>
        </w:tc>
        <w:tc>
          <w:tcPr>
            <w:tcW w:w="220" w:type="dxa"/>
            <w:vAlign w:val="bottom"/>
            <w:tcBorders>
              <w:top w:val="single" w:sz="8" w:color="CFF0FC"/>
              <w:bottom w:val="single" w:sz="8" w:color="CFF0FC"/>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14,098</w:t>
            </w:r>
          </w:p>
        </w:tc>
        <w:tc>
          <w:tcPr>
            <w:tcW w:w="220" w:type="dxa"/>
            <w:vAlign w:val="bottom"/>
            <w:tcBorders>
              <w:top w:val="single" w:sz="8" w:color="CFF0FC"/>
              <w:bottom w:val="single" w:sz="8" w:color="CFF0FC"/>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434,989</w:t>
            </w:r>
          </w:p>
        </w:tc>
        <w:tc>
          <w:tcPr>
            <w:tcW w:w="220" w:type="dxa"/>
            <w:vAlign w:val="bottom"/>
            <w:tcBorders>
              <w:top w:val="single" w:sz="8" w:color="CFF0FC"/>
              <w:bottom w:val="single" w:sz="8" w:color="CFF0FC"/>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391,422</w:t>
            </w: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55,973</w:t>
            </w:r>
          </w:p>
        </w:tc>
        <w:tc>
          <w:tcPr>
            <w:tcW w:w="120" w:type="dxa"/>
            <w:vAlign w:val="bottom"/>
            <w:tcBorders>
              <w:top w:val="single" w:sz="8" w:color="CFF0FC"/>
            </w:tcBorders>
          </w:tcPr>
          <w:p>
            <w:pPr>
              <w:spacing w:after="0"/>
              <w:rPr>
                <w:sz w:val="12"/>
                <w:szCs w:val="12"/>
                <w:color w:val="auto"/>
              </w:rPr>
            </w:pPr>
          </w:p>
        </w:tc>
      </w:tr>
      <w:tr>
        <w:trPr>
          <w:trHeight w:val="20"/>
        </w:trPr>
        <w:tc>
          <w:tcPr>
            <w:tcW w:w="2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76"/>
        </w:trPr>
        <w:tc>
          <w:tcPr>
            <w:tcW w:w="27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-899795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-899795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-899795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-899795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-899795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-899795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-899795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Reconciliations of Non-GAAP Results of Operations Measures to the Nearest Comparable GAAP Measures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(Amounts in thousands, except for number of ADSs and per ADS data)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60" w:type="dxa"/>
            <w:vAlign w:val="bottom"/>
          </w:tcPr>
          <w:p>
            <w:pPr>
              <w:spacing w:after="0"/>
              <w:rPr>
                <w:sz w:val="15"/>
                <w:szCs w:val="15"/>
                <w:color w:val="auto"/>
              </w:rPr>
            </w:pPr>
          </w:p>
        </w:tc>
        <w:tc>
          <w:tcPr>
            <w:tcW w:w="318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320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310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1040" w:type="dxa"/>
            <w:vAlign w:val="bottom"/>
            <w:tcBorders>
              <w:top w:val="single" w:sz="8" w:color="auto"/>
            </w:tcBorders>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GAAP</w:t>
            </w: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Non-GAAP</w:t>
            </w:r>
          </w:p>
        </w:tc>
        <w:tc>
          <w:tcPr>
            <w:tcW w:w="3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240" w:type="dxa"/>
            <w:vAlign w:val="bottom"/>
          </w:tcPr>
          <w:p>
            <w:pPr>
              <w:spacing w:after="0"/>
              <w:rPr>
                <w:sz w:val="10"/>
                <w:szCs w:val="10"/>
                <w:color w:val="auto"/>
              </w:rPr>
            </w:pPr>
          </w:p>
        </w:tc>
        <w:tc>
          <w:tcPr>
            <w:tcW w:w="1040" w:type="dxa"/>
            <w:vAlign w:val="bottom"/>
            <w:tcBorders>
              <w:top w:val="single" w:sz="8" w:color="auto"/>
            </w:tcBorders>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GAAP</w:t>
            </w:r>
          </w:p>
        </w:tc>
        <w:tc>
          <w:tcPr>
            <w:tcW w:w="880" w:type="dxa"/>
            <w:vAlign w:val="bottom"/>
            <w:tcBorders>
              <w:top w:val="single" w:sz="8" w:color="auto"/>
            </w:tcBorders>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Non-GAAP</w:t>
            </w: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280" w:type="dxa"/>
            <w:vAlign w:val="bottom"/>
          </w:tcPr>
          <w:p>
            <w:pPr>
              <w:spacing w:after="0"/>
              <w:rPr>
                <w:sz w:val="10"/>
                <w:szCs w:val="10"/>
                <w:color w:val="auto"/>
              </w:rPr>
            </w:pPr>
          </w:p>
        </w:tc>
        <w:tc>
          <w:tcPr>
            <w:tcW w:w="1000" w:type="dxa"/>
            <w:vAlign w:val="bottom"/>
            <w:tcBorders>
              <w:top w:val="single" w:sz="8" w:color="auto"/>
            </w:tcBorders>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900" w:type="dxa"/>
            <w:vAlign w:val="bottom"/>
            <w:tcBorders>
              <w:top w:val="single" w:sz="8" w:color="auto"/>
            </w:tcBorders>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Non-GAAP</w:t>
            </w:r>
          </w:p>
        </w:tc>
        <w:tc>
          <w:tcPr>
            <w:tcW w:w="2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040" w:type="dxa"/>
            <w:vAlign w:val="bottom"/>
            <w:gridSpan w:val="2"/>
            <w:vMerge w:val="continue"/>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000" w:type="dxa"/>
            <w:vAlign w:val="bottom"/>
            <w:gridSpan w:val="2"/>
            <w:vMerge w:val="continue"/>
          </w:tcPr>
          <w:p>
            <w:pPr>
              <w:spacing w:after="0"/>
              <w:rPr>
                <w:sz w:val="15"/>
                <w:szCs w:val="15"/>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GAAP</w:t>
            </w:r>
          </w:p>
        </w:tc>
        <w:tc>
          <w:tcPr>
            <w:tcW w:w="0" w:type="dxa"/>
            <w:vAlign w:val="bottom"/>
          </w:tcPr>
          <w:p>
            <w:pPr>
              <w:spacing w:after="0"/>
              <w:rPr>
                <w:sz w:val="1"/>
                <w:szCs w:val="1"/>
                <w:color w:val="auto"/>
              </w:rPr>
            </w:pPr>
          </w:p>
        </w:tc>
      </w:tr>
      <w:tr>
        <w:trPr>
          <w:trHeight w:val="184"/>
        </w:trPr>
        <w:tc>
          <w:tcPr>
            <w:tcW w:w="1760" w:type="dxa"/>
            <w:vAlign w:val="bottom"/>
          </w:tcPr>
          <w:p>
            <w:pPr>
              <w:spacing w:after="0"/>
              <w:rPr>
                <w:sz w:val="15"/>
                <w:szCs w:val="15"/>
                <w:color w:val="auto"/>
              </w:rPr>
            </w:pPr>
          </w:p>
        </w:tc>
        <w:tc>
          <w:tcPr>
            <w:tcW w:w="74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5"/>
                <w:szCs w:val="15"/>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340" w:type="dxa"/>
            <w:vAlign w:val="bottom"/>
          </w:tcPr>
          <w:p>
            <w:pPr>
              <w:spacing w:after="0"/>
              <w:rPr>
                <w:sz w:val="15"/>
                <w:szCs w:val="15"/>
                <w:color w:val="auto"/>
              </w:rPr>
            </w:pPr>
          </w:p>
        </w:tc>
        <w:tc>
          <w:tcPr>
            <w:tcW w:w="76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5"/>
                <w:szCs w:val="15"/>
                <w:color w:val="auto"/>
              </w:rPr>
            </w:pPr>
          </w:p>
        </w:tc>
        <w:tc>
          <w:tcPr>
            <w:tcW w:w="74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5"/>
                <w:szCs w:val="15"/>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5"/>
                <w:szCs w:val="15"/>
                <w:color w:val="auto"/>
              </w:rPr>
            </w:pPr>
          </w:p>
        </w:tc>
        <w:tc>
          <w:tcPr>
            <w:tcW w:w="76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5"/>
                <w:szCs w:val="15"/>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97,005</w:t>
            </w: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90</w:t>
            </w:r>
          </w:p>
        </w:tc>
        <w:tc>
          <w:tcPr>
            <w:tcW w:w="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97,095</w:t>
            </w: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95,688</w:t>
            </w: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95,688</w:t>
            </w: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123,708</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123,708</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Gross margin</w:t>
            </w: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55.6%</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55.6%</w:t>
            </w:r>
          </w:p>
        </w:tc>
        <w:tc>
          <w:tcPr>
            <w:tcW w:w="0" w:type="dxa"/>
            <w:vAlign w:val="bottom"/>
          </w:tcPr>
          <w:p>
            <w:pPr>
              <w:spacing w:after="0"/>
              <w:rPr>
                <w:sz w:val="1"/>
                <w:szCs w:val="1"/>
                <w:color w:val="auto"/>
              </w:rPr>
            </w:pPr>
          </w:p>
        </w:tc>
      </w:tr>
      <w:tr>
        <w:trPr>
          <w:trHeight w:val="124"/>
        </w:trPr>
        <w:tc>
          <w:tcPr>
            <w:tcW w:w="176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Income/(loss) from</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6,709</w:t>
            </w:r>
          </w:p>
        </w:tc>
        <w:tc>
          <w:tcPr>
            <w:tcW w:w="30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94</w:t>
            </w: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6,803</w:t>
            </w:r>
          </w:p>
        </w:tc>
        <w:tc>
          <w:tcPr>
            <w:tcW w:w="24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(13,299)</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FF0FC"/>
          </w:tcPr>
          <w:p>
            <w:pPr>
              <w:spacing w:after="0"/>
              <w:rPr>
                <w:sz w:val="10"/>
                <w:szCs w:val="10"/>
                <w:color w:val="auto"/>
              </w:rPr>
            </w:pP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(13,299)</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24,498</w:t>
            </w:r>
          </w:p>
        </w:tc>
        <w:tc>
          <w:tcPr>
            <w:tcW w:w="24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FF0FC"/>
          </w:tcPr>
          <w:p>
            <w:pPr>
              <w:spacing w:after="0"/>
              <w:rPr>
                <w:sz w:val="10"/>
                <w:szCs w:val="10"/>
                <w:color w:val="auto"/>
              </w:rPr>
            </w:pP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24,498</w:t>
            </w: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740" w:type="dxa"/>
            <w:vAlign w:val="bottom"/>
            <w:vMerge w:val="continue"/>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0" w:type="dxa"/>
            <w:vAlign w:val="bottom"/>
            <w:vMerge w:val="continue"/>
            <w:shd w:val="clear" w:color="auto" w:fill="CFF0FC"/>
          </w:tcPr>
          <w:p>
            <w:pPr>
              <w:spacing w:after="0"/>
              <w:rPr>
                <w:sz w:val="15"/>
                <w:szCs w:val="15"/>
                <w:color w:val="auto"/>
              </w:rPr>
            </w:pPr>
          </w:p>
        </w:tc>
        <w:tc>
          <w:tcPr>
            <w:tcW w:w="340" w:type="dxa"/>
            <w:vAlign w:val="bottom"/>
            <w:vMerge w:val="continue"/>
            <w:shd w:val="clear" w:color="auto" w:fill="CFF0FC"/>
          </w:tcPr>
          <w:p>
            <w:pPr>
              <w:spacing w:after="0"/>
              <w:rPr>
                <w:sz w:val="15"/>
                <w:szCs w:val="15"/>
                <w:color w:val="auto"/>
              </w:rPr>
            </w:pPr>
          </w:p>
        </w:tc>
        <w:tc>
          <w:tcPr>
            <w:tcW w:w="76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gridSpan w:val="2"/>
            <w:vMerge w:val="continue"/>
            <w:shd w:val="clear" w:color="auto" w:fill="CFF0FC"/>
          </w:tcPr>
          <w:p>
            <w:pPr>
              <w:spacing w:after="0"/>
              <w:rPr>
                <w:sz w:val="15"/>
                <w:szCs w:val="15"/>
                <w:color w:val="auto"/>
              </w:rPr>
            </w:pPr>
          </w:p>
        </w:tc>
        <w:tc>
          <w:tcPr>
            <w:tcW w:w="80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1040" w:type="dxa"/>
            <w:vAlign w:val="bottom"/>
            <w:gridSpan w:val="2"/>
            <w:vMerge w:val="continue"/>
            <w:shd w:val="clear" w:color="auto" w:fill="CFF0FC"/>
          </w:tcPr>
          <w:p>
            <w:pPr>
              <w:spacing w:after="0"/>
              <w:rPr>
                <w:sz w:val="15"/>
                <w:szCs w:val="15"/>
                <w:color w:val="auto"/>
              </w:rPr>
            </w:pPr>
          </w:p>
        </w:tc>
        <w:tc>
          <w:tcPr>
            <w:tcW w:w="76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vMerge w:val="continue"/>
            <w:shd w:val="clear" w:color="auto" w:fill="CFF0FC"/>
          </w:tcPr>
          <w:p>
            <w:pPr>
              <w:spacing w:after="0"/>
              <w:rPr>
                <w:sz w:val="15"/>
                <w:szCs w:val="15"/>
                <w:color w:val="auto"/>
              </w:rPr>
            </w:pPr>
          </w:p>
        </w:tc>
        <w:tc>
          <w:tcPr>
            <w:tcW w:w="80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margin</w:t>
            </w: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48"/>
        </w:trPr>
        <w:tc>
          <w:tcPr>
            <w:tcW w:w="17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9,852</w:t>
            </w: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377</w:t>
            </w:r>
          </w:p>
        </w:tc>
        <w:tc>
          <w:tcPr>
            <w:tcW w:w="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1,717</w:t>
            </w:r>
          </w:p>
        </w:tc>
        <w:tc>
          <w:tcPr>
            <w:tcW w:w="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(9,376)</w:t>
            </w: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(13,925)</w:t>
            </w:r>
          </w:p>
        </w:tc>
        <w:tc>
          <w:tcPr>
            <w:tcW w:w="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76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Net (loss)/income</w:t>
            </w: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 Phoenix New</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(3,593)</w:t>
            </w:r>
          </w:p>
        </w:tc>
        <w:tc>
          <w:tcPr>
            <w:tcW w:w="3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11,663</w:t>
            </w:r>
          </w:p>
        </w:tc>
        <w:tc>
          <w:tcPr>
            <w:tcW w:w="3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8,070</w:t>
            </w:r>
          </w:p>
        </w:tc>
        <w:tc>
          <w:tcPr>
            <w:tcW w:w="2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(4,922)</w:t>
            </w:r>
          </w:p>
        </w:tc>
        <w:tc>
          <w:tcPr>
            <w:tcW w:w="3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(9,131)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(14,053)</w:t>
            </w:r>
          </w:p>
        </w:tc>
        <w:tc>
          <w:tcPr>
            <w:tcW w:w="2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45,339</w:t>
            </w:r>
          </w:p>
        </w:tc>
        <w:tc>
          <w:tcPr>
            <w:tcW w:w="2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(13,548)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31,791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60" w:type="dxa"/>
            <w:vAlign w:val="bottom"/>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Media Limited</w:t>
            </w:r>
          </w:p>
        </w:tc>
        <w:tc>
          <w:tcPr>
            <w:tcW w:w="740" w:type="dxa"/>
            <w:vAlign w:val="bottom"/>
            <w:tcBorders>
              <w:bottom w:val="single" w:sz="8" w:color="auto"/>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7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Net margin</w:t>
            </w:r>
          </w:p>
        </w:tc>
        <w:tc>
          <w:tcPr>
            <w:tcW w:w="104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(1.6)%</w:t>
            </w:r>
          </w:p>
        </w:tc>
        <w:tc>
          <w:tcPr>
            <w:tcW w:w="8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3.7%</w:t>
            </w:r>
          </w:p>
        </w:tc>
        <w:tc>
          <w:tcPr>
            <w:tcW w:w="104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(2.4)%</w:t>
            </w: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(7.0)%</w:t>
            </w:r>
          </w:p>
        </w:tc>
        <w:tc>
          <w:tcPr>
            <w:tcW w:w="100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20.4%</w:t>
            </w: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26"/>
        </w:trPr>
        <w:tc>
          <w:tcPr>
            <w:tcW w:w="1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(loss)/income per ADS-</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(0.30)</w:t>
            </w: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240" w:type="dxa"/>
            <w:vAlign w:val="bottom"/>
          </w:tcPr>
          <w:p>
            <w:pPr>
              <w:spacing w:after="0"/>
              <w:rPr>
                <w:sz w:val="10"/>
                <w:szCs w:val="10"/>
                <w:color w:val="auto"/>
              </w:rPr>
            </w:pP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(0.41)</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(1.17)</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basic and diluted</w:t>
            </w:r>
          </w:p>
        </w:tc>
        <w:tc>
          <w:tcPr>
            <w:tcW w:w="104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Weighted average number of</w:t>
            </w:r>
          </w:p>
        </w:tc>
        <w:tc>
          <w:tcPr>
            <w:tcW w:w="7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ADSs used in computing</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12,010,77</w:t>
            </w: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12,010,77</w:t>
            </w:r>
          </w:p>
        </w:tc>
        <w:tc>
          <w:tcPr>
            <w:tcW w:w="24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12,010,77</w:t>
            </w: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12,010,77</w:t>
            </w:r>
          </w:p>
        </w:tc>
        <w:tc>
          <w:tcPr>
            <w:tcW w:w="2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12,010,77</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basic and diluted net</w:t>
            </w:r>
          </w:p>
        </w:tc>
        <w:tc>
          <w:tcPr>
            <w:tcW w:w="740" w:type="dxa"/>
            <w:vAlign w:val="bottom"/>
            <w:vMerge w:val="continue"/>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12,010,776</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(loss)/income per ADS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from equity investments, including impairment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changes in investments,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Reconciliations of Non-GAAP Results of Operations Measures to the Nearest Comparable GAAP Measures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(Amounts in thousands, except for number of ADSs and per ADS data)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3860" w:type="dxa"/>
            <w:vAlign w:val="bottom"/>
            <w:tcBorders>
              <w:bottom w:val="single" w:sz="8" w:color="auto"/>
            </w:tcBorders>
            <w:gridSpan w:val="6"/>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Twelve Months Ended December 31, 2024</w:t>
            </w:r>
          </w:p>
        </w:tc>
        <w:tc>
          <w:tcPr>
            <w:tcW w:w="340" w:type="dxa"/>
            <w:vAlign w:val="bottom"/>
          </w:tcPr>
          <w:p>
            <w:pPr>
              <w:spacing w:after="0"/>
              <w:rPr>
                <w:sz w:val="15"/>
                <w:szCs w:val="15"/>
                <w:color w:val="auto"/>
              </w:rPr>
            </w:pPr>
          </w:p>
        </w:tc>
        <w:tc>
          <w:tcPr>
            <w:tcW w:w="324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Twelve Months Ended December 31, 2025</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940" w:type="dxa"/>
            <w:vAlign w:val="bottom"/>
          </w:tcPr>
          <w:p>
            <w:pPr>
              <w:spacing w:after="0"/>
              <w:rPr>
                <w:sz w:val="23"/>
                <w:szCs w:val="23"/>
                <w:color w:val="auto"/>
              </w:rPr>
            </w:pPr>
          </w:p>
        </w:tc>
        <w:tc>
          <w:tcPr>
            <w:tcW w:w="10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300" w:type="dxa"/>
            <w:vAlign w:val="bottom"/>
          </w:tcPr>
          <w:p>
            <w:pPr>
              <w:spacing w:after="0"/>
              <w:rPr>
                <w:sz w:val="23"/>
                <w:szCs w:val="23"/>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1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Pr>
          <w:p>
            <w:pPr>
              <w:spacing w:after="0"/>
              <w:rPr>
                <w:sz w:val="15"/>
                <w:szCs w:val="15"/>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120" w:type="dxa"/>
            <w:vAlign w:val="bottom"/>
            <w:gridSpan w:val="2"/>
            <w:vMerge w:val="continue"/>
          </w:tcPr>
          <w:p>
            <w:pPr>
              <w:spacing w:after="0"/>
              <w:rPr>
                <w:sz w:val="15"/>
                <w:szCs w:val="15"/>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GAAP</w:t>
            </w:r>
          </w:p>
        </w:tc>
        <w:tc>
          <w:tcPr>
            <w:tcW w:w="0" w:type="dxa"/>
            <w:vAlign w:val="bottom"/>
          </w:tcPr>
          <w:p>
            <w:pPr>
              <w:spacing w:after="0"/>
              <w:rPr>
                <w:sz w:val="1"/>
                <w:szCs w:val="1"/>
                <w:color w:val="auto"/>
              </w:rPr>
            </w:pPr>
          </w:p>
        </w:tc>
      </w:tr>
      <w:tr>
        <w:trPr>
          <w:trHeight w:val="184"/>
        </w:trPr>
        <w:tc>
          <w:tcPr>
            <w:tcW w:w="2940" w:type="dxa"/>
            <w:vAlign w:val="bottom"/>
          </w:tcPr>
          <w:p>
            <w:pPr>
              <w:spacing w:after="0"/>
              <w:rPr>
                <w:sz w:val="15"/>
                <w:szCs w:val="15"/>
                <w:color w:val="auto"/>
              </w:rPr>
            </w:pPr>
          </w:p>
        </w:tc>
        <w:tc>
          <w:tcPr>
            <w:tcW w:w="76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5"/>
                <w:szCs w:val="15"/>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340" w:type="dxa"/>
            <w:vAlign w:val="bottom"/>
          </w:tcPr>
          <w:p>
            <w:pPr>
              <w:spacing w:after="0"/>
              <w:rPr>
                <w:sz w:val="15"/>
                <w:szCs w:val="15"/>
                <w:color w:val="auto"/>
              </w:rPr>
            </w:pPr>
          </w:p>
        </w:tc>
        <w:tc>
          <w:tcPr>
            <w:tcW w:w="8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5"/>
                <w:szCs w:val="15"/>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268,706</w:t>
            </w:r>
          </w:p>
        </w:tc>
        <w:tc>
          <w:tcPr>
            <w:tcW w:w="3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798</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269,504</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374,149</w:t>
            </w:r>
          </w:p>
        </w:tc>
        <w:tc>
          <w:tcPr>
            <w:tcW w:w="28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374,166</w:t>
            </w: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Gross margin</w:t>
            </w: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38.2%</w:t>
            </w: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48.9%</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48.9%</w:t>
            </w:r>
          </w:p>
        </w:tc>
        <w:tc>
          <w:tcPr>
            <w:tcW w:w="0" w:type="dxa"/>
            <w:vAlign w:val="bottom"/>
          </w:tcPr>
          <w:p>
            <w:pPr>
              <w:spacing w:after="0"/>
              <w:rPr>
                <w:sz w:val="1"/>
                <w:szCs w:val="1"/>
                <w:color w:val="auto"/>
              </w:rPr>
            </w:pPr>
          </w:p>
        </w:tc>
      </w:tr>
      <w:tr>
        <w:trPr>
          <w:trHeight w:val="148"/>
        </w:trPr>
        <w:tc>
          <w:tcPr>
            <w:tcW w:w="2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106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(64,721)</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1,542</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52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(63,179)</w:t>
            </w: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(34,377)</w:t>
            </w: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(34,360)</w:t>
            </w:r>
          </w:p>
        </w:tc>
        <w:tc>
          <w:tcPr>
            <w:tcW w:w="0" w:type="dxa"/>
            <w:vAlign w:val="bottom"/>
          </w:tcPr>
          <w:p>
            <w:pPr>
              <w:spacing w:after="0"/>
              <w:rPr>
                <w:sz w:val="1"/>
                <w:szCs w:val="1"/>
                <w:color w:val="auto"/>
              </w:rPr>
            </w:pPr>
          </w:p>
        </w:tc>
      </w:tr>
      <w:tr>
        <w:trPr>
          <w:trHeight w:val="148"/>
        </w:trPr>
        <w:tc>
          <w:tcPr>
            <w:tcW w:w="2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margin</w:t>
            </w: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8"/>
        </w:trPr>
        <w:tc>
          <w:tcPr>
            <w:tcW w:w="29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1,542</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1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15,964</w:t>
            </w:r>
          </w:p>
        </w:tc>
        <w:tc>
          <w:tcPr>
            <w:tcW w:w="120" w:type="dxa"/>
            <w:vAlign w:val="bottom"/>
          </w:tcPr>
          <w:p>
            <w:pPr>
              <w:spacing w:after="0"/>
              <w:rPr>
                <w:sz w:val="12"/>
                <w:szCs w:val="12"/>
                <w:color w:val="auto"/>
              </w:rPr>
            </w:pPr>
          </w:p>
        </w:tc>
        <w:tc>
          <w:tcPr>
            <w:tcW w:w="3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3,924</w:t>
            </w:r>
          </w:p>
        </w:tc>
        <w:tc>
          <w:tcPr>
            <w:tcW w:w="120" w:type="dxa"/>
            <w:vAlign w:val="bottom"/>
          </w:tcPr>
          <w:p>
            <w:pPr>
              <w:spacing w:after="0"/>
              <w:rPr>
                <w:sz w:val="12"/>
                <w:szCs w:val="12"/>
                <w:color w:val="auto"/>
              </w:rPr>
            </w:pPr>
          </w:p>
        </w:tc>
        <w:tc>
          <w:tcPr>
            <w:tcW w:w="3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(604)</w:t>
            </w:r>
          </w:p>
        </w:tc>
        <w:tc>
          <w:tcPr>
            <w:tcW w:w="3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1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(23,784)</w:t>
            </w:r>
          </w:p>
        </w:tc>
        <w:tc>
          <w:tcPr>
            <w:tcW w:w="3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9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Net (loss)/income attributable to Phoenix New</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(53,554)</w:t>
            </w:r>
          </w:p>
        </w:tc>
        <w:tc>
          <w:tcPr>
            <w:tcW w:w="30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16,902</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(36,652)</w:t>
            </w:r>
          </w:p>
        </w:tc>
        <w:tc>
          <w:tcPr>
            <w:tcW w:w="3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336</w:t>
            </w:r>
          </w:p>
        </w:tc>
        <w:tc>
          <w:tcPr>
            <w:tcW w:w="280" w:type="dxa"/>
            <w:vAlign w:val="bottom"/>
          </w:tcPr>
          <w:p>
            <w:pPr>
              <w:spacing w:after="0"/>
              <w:rPr>
                <w:sz w:val="10"/>
                <w:szCs w:val="10"/>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(19,843)</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(19,507)</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940" w:type="dxa"/>
            <w:vAlign w:val="bottom"/>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Media Limited</w:t>
            </w:r>
          </w:p>
        </w:tc>
        <w:tc>
          <w:tcPr>
            <w:tcW w:w="760" w:type="dxa"/>
            <w:vAlign w:val="bottom"/>
            <w:tcBorders>
              <w:bottom w:val="single" w:sz="8" w:color="auto"/>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Net margin</w:t>
            </w:r>
          </w:p>
        </w:tc>
        <w:tc>
          <w:tcPr>
            <w:tcW w:w="106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(7.6)%</w:t>
            </w: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52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4"/>
                <w:szCs w:val="14"/>
                <w:color w:val="auto"/>
              </w:rPr>
              <w:t>(5.2)%</w:t>
            </w:r>
          </w:p>
        </w:tc>
        <w:tc>
          <w:tcPr>
            <w:tcW w:w="112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4"/>
                <w:szCs w:val="14"/>
                <w:color w:val="auto"/>
              </w:rPr>
              <w:t>0.0%</w:t>
            </w:r>
          </w:p>
        </w:tc>
        <w:tc>
          <w:tcPr>
            <w:tcW w:w="1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8"/>
        </w:trPr>
        <w:tc>
          <w:tcPr>
            <w:tcW w:w="2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(loss)/income per ADS-diluted</w:t>
            </w: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(4.46)</w:t>
            </w: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(3.05)</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26"/>
        </w:trPr>
        <w:tc>
          <w:tcPr>
            <w:tcW w:w="29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Weighted average number of ADSs used in</w:t>
            </w:r>
          </w:p>
        </w:tc>
        <w:tc>
          <w:tcPr>
            <w:tcW w:w="7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12,016,39</w:t>
            </w:r>
          </w:p>
        </w:tc>
        <w:tc>
          <w:tcPr>
            <w:tcW w:w="30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12,016,392</w:t>
            </w:r>
          </w:p>
        </w:tc>
        <w:tc>
          <w:tcPr>
            <w:tcW w:w="34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12,010,776</w:t>
            </w:r>
          </w:p>
        </w:tc>
        <w:tc>
          <w:tcPr>
            <w:tcW w:w="280" w:type="dxa"/>
            <w:vAlign w:val="bottom"/>
            <w:shd w:val="clear" w:color="auto" w:fill="CFF0FC"/>
          </w:tcPr>
          <w:p>
            <w:pPr>
              <w:spacing w:after="0"/>
              <w:rPr>
                <w:sz w:val="10"/>
                <w:szCs w:val="10"/>
                <w:color w:val="auto"/>
              </w:rPr>
            </w:pPr>
          </w:p>
        </w:tc>
        <w:tc>
          <w:tcPr>
            <w:tcW w:w="1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12,010,776</w:t>
            </w:r>
          </w:p>
        </w:tc>
        <w:tc>
          <w:tcPr>
            <w:tcW w:w="1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computing diluted net (loss)/income per ADS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from equity investments, including impairment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changes in investments,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2026-03-10T16:12:58Z</dcterms:created>
  <dcterms:modified xsi:type="dcterms:W3CDTF">2026-03-10T16:12:58Z</dcterms:modified>
</cp:coreProperties>
</file>