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Lu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Phoenix New Media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Sinolight Plaza, Floor 16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 4 Qiyang Road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Wangjing, Chaoyang District, Beijing, 100102</w:t>
      </w:r>
    </w:p>
    <w:p>
      <w:pPr>
        <w:ind w:left="74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Phoenix New Media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001-35158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Edward Lu: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October 13, 2023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September 29,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Organization and Principal Activities, page F-10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320" w:type="dxa"/>
            <w:vAlign w:val="bottom"/>
          </w:tcPr>
          <w:p>
            <w:pPr>
              <w:jc w:val="right"/>
              <w:ind w:right="4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2, including your representation that the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s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board of directors consulted with the Company</w:t>
            </w: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U.S.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and we reissue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part. Please confirm whether you have received an opinion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by counsel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7060" w:type="dxa"/>
            <w:vAlign w:val="bottom"/>
            <w:gridSpan w:val="2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regarding your reliance on the exemption from the definition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40" w:type="dxa"/>
            <w:vAlign w:val="bottom"/>
            <w:gridSpan w:val="2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provided by Section 3(b)(1) under the Investment Company Act of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Act   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Edward Lu</w:t>
            </w:r>
          </w:p>
        </w:tc>
        <w:tc>
          <w:tcPr>
            <w:tcW w:w="4680" w:type="dxa"/>
            <w:vAlign w:val="bottom"/>
          </w:tcPr>
          <w:p>
            <w:pPr>
              <w:ind w:left="3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1940 (the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LastNameEdward Lu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Phoenix New  Media Ltd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October 30,NamePhoenix</w:t>
            </w:r>
          </w:p>
        </w:tc>
        <w:tc>
          <w:tcPr>
            <w:tcW w:w="4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New Media Ltd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4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Page 2 30, 2023 Page 2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(i) provide a detailed description of the material terms of the instruments you refer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2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as</w:t>
            </w:r>
          </w:p>
        </w:tc>
        <w:tc>
          <w:tcPr>
            <w:tcW w:w="17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Demand deposits</w:t>
            </w:r>
          </w:p>
        </w:tc>
        <w:tc>
          <w:tcPr>
            <w:tcW w:w="4320" w:type="dxa"/>
            <w:vAlign w:val="bottom"/>
            <w:gridSpan w:val="2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with term-based interest to incentivize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longer-term deposits,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specifically, such terms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together with your analysis regarding why,</w:t>
            </w: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indicate that such a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time deposit) that should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product is a demand deposit (rather than a</w:t>
            </w: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 treated as a cash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in money market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item; (ii) provide a description of the</w:t>
            </w: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funds with daily</w:t>
            </w:r>
          </w:p>
        </w:tc>
        <w:tc>
          <w:tcPr>
            <w:tcW w:w="61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whether such funds are registered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redemptions,</w:t>
            </w:r>
          </w:p>
        </w:tc>
        <w:tc>
          <w:tcPr>
            <w:tcW w:w="6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Commission and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extent not, provide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4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subject to Rule 2a-7 under the Act, and to</w:t>
            </w: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detailed legal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supporting your proposed treatment of the money market funds as cash items;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56"/>
        <w:spacing w:after="0" w:line="238" w:lineRule="auto"/>
        <w:tabs>
          <w:tab w:leader="none" w:pos="157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your detailed legal analysis supporting your proposed treatment of your</w:t>
      </w:r>
    </w:p>
    <w:p>
      <w:pPr>
        <w:ind w:left="1280"/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investments in bank products with monthly redemptions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as cash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the length of time you have held investment securities in amounts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greater than 40% of your non-cash assets, including how this affected your</w:t>
      </w:r>
    </w:p>
    <w:p>
      <w:pPr>
        <w:ind w:left="960"/>
        <w:spacing w:after="0"/>
        <w:tabs>
          <w:tab w:leader="none" w:pos="3680" w:val="left"/>
          <w:tab w:leader="none" w:pos="4200" w:val="left"/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of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historical development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under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Tonopah test.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(i) provide the approximate percentage of your non-cash assets that would be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composed of investment securities, if all of the items described in comment 2 above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be treated as investment securities, and (ii) explain whether, if that were the case,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would still be able to conclude that the Company is able to rely on the exemption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3(b)(1).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from the definition of an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company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provided at section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We note that, as described in the Company   s correspondence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  <w:tc>
          <w:tcPr>
            <w:tcW w:w="7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staff, the Company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non-cash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has concluded that approximately 73% of the Company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assets are composed of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6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investment securities. Please revise the proposed risk disclosure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 disclose the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6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approximate percentage of the Company   s non-cash assets composed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6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as of the most recent fiscal quarter ended and (ii) 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fully describe the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6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consequences to the Company if it were deemed to be an unregistered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6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company. Please ensure that the Company addresses, for example,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that the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6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would be subject to penalties and that the Company could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unable to enforce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certain contracts.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intend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  <w:gridSpan w:val="5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supplement the proposed risk factors entitled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conduct our business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describe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activities to maintain compliance with the 1940 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Company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plans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6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with respect to moving out of its positions in investment securities,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described on page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6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 of the Company   s letter to the staff dated September 8,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within the paragraph</w:t>
            </w:r>
          </w:p>
        </w:tc>
        <w:tc>
          <w:tcPr>
            <w:tcW w:w="4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Going forward, the Company represents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beginning</w:t>
            </w:r>
          </w:p>
        </w:tc>
        <w:tc>
          <w:tcPr>
            <w:tcW w:w="4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Edward Lu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LastNameEdward Lu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Phoenix New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Media Ltd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October 30,NamePhoenix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New Media Ltd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30, 2023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Melissa Walsh at 202-551-3224 or Stephen Krikorian at 202-551-3488 if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Yi Gao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(%1)"/>
      <w:numFmt w:val="lowerRoman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2024-03-18T00:15:35Z</dcterms:created>
  <dcterms:modified xsi:type="dcterms:W3CDTF">2024-03-18T00:15:35Z</dcterms:modified>
</cp:coreProperties>
</file>