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165735</wp:posOffset>
            </wp:positionV>
            <wp:extent cx="1826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20-F</w:t>
      </w:r>
    </w:p>
    <w:p>
      <w:pPr>
        <w:spacing w:after="0" w:line="161" w:lineRule="exact"/>
        <w:rPr>
          <w:sz w:val="24"/>
          <w:szCs w:val="24"/>
          <w:color w:val="auto"/>
        </w:rPr>
      </w:pPr>
    </w:p>
    <w:p>
      <w:pPr>
        <w:ind w:left="640" w:right="40" w:hanging="342"/>
        <w:spacing w:after="0" w:line="262" w:lineRule="auto"/>
        <w:tabs>
          <w:tab w:leader="none" w:pos="64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REGISTRATION STATEMENT PURSUANT TO SECTION 12(b) OR 12(g) OF THE SECURITIES EXCHANGE ACT OF 1934</w:t>
      </w:r>
    </w:p>
    <w:p>
      <w:pPr>
        <w:spacing w:after="0" w:line="17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233" w:lineRule="exact"/>
        <w:rPr>
          <w:sz w:val="24"/>
          <w:szCs w:val="24"/>
          <w:color w:val="auto"/>
        </w:rPr>
      </w:pPr>
    </w:p>
    <w:p>
      <w:pPr>
        <w:ind w:left="640" w:right="120" w:hanging="342"/>
        <w:spacing w:after="0" w:line="262" w:lineRule="auto"/>
        <w:tabs>
          <w:tab w:leader="none" w:pos="64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 For the fiscal year ended December 31, 2016.</w:t>
      </w:r>
    </w:p>
    <w:p>
      <w:pPr>
        <w:spacing w:after="0" w:line="17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233" w:lineRule="exact"/>
        <w:rPr>
          <w:sz w:val="24"/>
          <w:szCs w:val="24"/>
          <w:color w:val="auto"/>
        </w:rPr>
      </w:pPr>
    </w:p>
    <w:p>
      <w:pPr>
        <w:ind w:left="640" w:right="160" w:hanging="342"/>
        <w:spacing w:after="0" w:line="262" w:lineRule="auto"/>
        <w:tabs>
          <w:tab w:leader="none" w:pos="6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7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233" w:lineRule="exact"/>
        <w:rPr>
          <w:sz w:val="24"/>
          <w:szCs w:val="24"/>
          <w:color w:val="auto"/>
        </w:rPr>
      </w:pPr>
    </w:p>
    <w:p>
      <w:pPr>
        <w:ind w:left="640" w:hanging="342"/>
        <w:spacing w:after="0" w:line="262" w:lineRule="auto"/>
        <w:tabs>
          <w:tab w:leader="none" w:pos="64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SHELL COMPANY REPORT PURSUANT TO SECTION 13 OR 15(d) OF THE SECURITIES EXCHANGE ACT OF 1934.</w:t>
      </w:r>
    </w:p>
    <w:p>
      <w:pPr>
        <w:spacing w:after="0" w:line="92" w:lineRule="exact"/>
        <w:rPr>
          <w:sz w:val="24"/>
          <w:szCs w:val="24"/>
          <w:color w:val="auto"/>
        </w:rPr>
      </w:pPr>
    </w:p>
    <w:p>
      <w:pPr>
        <w:ind w:left="3420"/>
        <w:spacing w:after="0"/>
        <w:tabs>
          <w:tab w:leader="none" w:pos="67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 001-35158</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Phoenix New Media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1691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-130810</wp:posOffset>
            </wp:positionV>
            <wp:extent cx="71691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Sinolight Plaza, Floor 16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 4 Qiyang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Wangjing, Chaoyang District,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Beijing 100102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-130810</wp:posOffset>
            </wp:positionV>
            <wp:extent cx="7169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Contact Person: Ms. Betty Yip Ho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(86 10) 6067-6869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Sinolight Plaza, Floor 16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 4 Qiyang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Wangjing, Chaoyang District,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Beijing 100102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ind w:right="2180" w:firstLine="2183"/>
        <w:spacing w:after="0" w:line="420" w:lineRule="auto"/>
        <w:tabs>
          <w:tab w:leader="none" w:pos="231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Telephone, E-mail and/or Facsimile number and Address of Company Contact Person) Securities registered or to be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-459105</wp:posOffset>
            </wp:positionV>
            <wp:extent cx="71691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tbl>
      <w:tblPr>
        <w:tblLayout w:type="fixed"/>
        <w:tblInd w:w="1720" w:type="dxa"/>
        <w:tblCellMar>
          <w:top w:w="0" w:type="dxa"/>
          <w:left w:w="0" w:type="dxa"/>
          <w:bottom w:w="0" w:type="dxa"/>
          <w:right w:w="0" w:type="dxa"/>
        </w:tblCellMar>
      </w:tblPr>
      <w:tr>
        <w:trPr>
          <w:trHeight w:val="234"/>
        </w:trPr>
        <w:tc>
          <w:tcPr>
            <w:tcW w:w="4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1"/>
        </w:trPr>
        <w:tc>
          <w:tcPr>
            <w:tcW w:w="38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American Depositary Shares, each representing eight</w:t>
            </w:r>
          </w:p>
        </w:tc>
        <w:tc>
          <w:tcPr>
            <w:tcW w:w="220" w:type="dxa"/>
            <w:vAlign w:val="bottom"/>
          </w:tcPr>
          <w:p>
            <w:pPr>
              <w:spacing w:after="0"/>
              <w:rPr>
                <w:sz w:val="16"/>
                <w:szCs w:val="16"/>
                <w:color w:val="auto"/>
              </w:rPr>
            </w:pPr>
          </w:p>
        </w:tc>
        <w:tc>
          <w:tcPr>
            <w:tcW w:w="38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New York Stock Exchange, Inc.</w:t>
            </w:r>
          </w:p>
        </w:tc>
      </w:tr>
      <w:tr>
        <w:trPr>
          <w:trHeight w:val="216"/>
        </w:trPr>
        <w:tc>
          <w:tcPr>
            <w:tcW w:w="4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Class A ordinary shares</w:t>
            </w:r>
          </w:p>
        </w:tc>
        <w:tc>
          <w:tcPr>
            <w:tcW w:w="3880" w:type="dxa"/>
            <w:vAlign w:val="bottom"/>
          </w:tcPr>
          <w:p>
            <w:pPr>
              <w:spacing w:after="0"/>
              <w:rPr>
                <w:sz w:val="18"/>
                <w:szCs w:val="18"/>
                <w:color w:val="auto"/>
              </w:rPr>
            </w:pPr>
          </w:p>
        </w:tc>
      </w:tr>
      <w:tr>
        <w:trPr>
          <w:trHeight w:val="234"/>
        </w:trPr>
        <w:tc>
          <w:tcPr>
            <w:tcW w:w="4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Class A ordinary shares, par value $0.01 per share*</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 Inc.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0" w:lineRule="exact"/>
        <w:rPr>
          <w:sz w:val="24"/>
          <w:szCs w:val="24"/>
          <w:color w:val="auto"/>
        </w:rPr>
      </w:pPr>
    </w:p>
    <w:p>
      <w:pPr>
        <w:ind w:left="660" w:right="160" w:hanging="652"/>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for trading, but only in connection with the registration of American Depositary Shares representing such Class A ordinary shares pursuant to the requirements of the Securities and Exchange Commission.</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12(g) of the Act:</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320"/>
          </w:cols>
          <w:pgMar w:left="240" w:top="229"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Securities for which there is a reporting obligation pursuant to Section 15(d) of the Act:</w:t>
      </w:r>
    </w:p>
    <w:p>
      <w:pPr>
        <w:spacing w:after="0" w:line="22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2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Indicate the number of outstanding shares of each of the issuer’s classes of capital or common stock as of the close of the period covered by the annual report.</w:t>
      </w:r>
    </w:p>
    <w:p>
      <w:pPr>
        <w:spacing w:after="0" w:line="23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254,909,790 Class A ordinary shares were outstanding as of December 31, 2016</w:t>
      </w:r>
    </w:p>
    <w:p>
      <w:pPr>
        <w:spacing w:after="0" w:line="3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317,325,360 Class B ordinary shares were outstanding as of December 31, 2016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7"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o Yes  x No</w:t>
      </w:r>
    </w:p>
    <w:p>
      <w:pPr>
        <w:spacing w:after="0" w:line="207" w:lineRule="exact"/>
        <w:rPr>
          <w:sz w:val="20"/>
          <w:szCs w:val="20"/>
          <w:color w:val="auto"/>
        </w:rPr>
      </w:pPr>
    </w:p>
    <w:p>
      <w:pPr>
        <w:jc w:val="both"/>
        <w:ind w:right="500"/>
        <w:spacing w:after="0" w:line="261" w:lineRule="auto"/>
        <w:rPr>
          <w:sz w:val="20"/>
          <w:szCs w:val="20"/>
          <w:color w:val="auto"/>
        </w:rPr>
      </w:pPr>
      <w:r>
        <w:rPr>
          <w:rFonts w:ascii="Times New Roman" w:cs="Times New Roman" w:eastAsia="Times New Roman" w:hAnsi="Times New Roman"/>
          <w:sz w:val="18"/>
          <w:szCs w:val="18"/>
          <w:color w:val="auto"/>
        </w:rPr>
        <w:t>If this report is an annual or transition report, indicate by check mark if the registrant is not required to file reports pursuant to Section 13 or 15(d) of the Securities Exchange Act of 1934.</w:t>
      </w:r>
    </w:p>
    <w:p>
      <w:pPr>
        <w:ind w:left="10540"/>
        <w:spacing w:after="0"/>
        <w:rPr>
          <w:sz w:val="20"/>
          <w:szCs w:val="20"/>
          <w:color w:val="auto"/>
        </w:rPr>
      </w:pPr>
      <w:r>
        <w:rPr>
          <w:rFonts w:ascii="Times New Roman" w:cs="Times New Roman" w:eastAsia="Times New Roman" w:hAnsi="Times New Roman"/>
          <w:sz w:val="18"/>
          <w:szCs w:val="18"/>
          <w:color w:val="auto"/>
        </w:rPr>
        <w:t>o Yes  x No</w:t>
      </w:r>
    </w:p>
    <w:p>
      <w:pPr>
        <w:spacing w:after="0" w:line="20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Note — Checking the box above will not relieve any registrant required to file reports pursuant to Section 13 or 15(d) of the Securities Exchange Act of 1934 from their obligations under those Sections.</w:t>
      </w:r>
    </w:p>
    <w:p>
      <w:pPr>
        <w:spacing w:after="0" w:line="162" w:lineRule="exact"/>
        <w:rPr>
          <w:sz w:val="20"/>
          <w:szCs w:val="20"/>
          <w:color w:val="auto"/>
        </w:rPr>
      </w:pPr>
    </w:p>
    <w:p>
      <w:pPr>
        <w:jc w:val="both"/>
        <w:ind w:right="5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registration was required to file such reports), and (2) has been subject to such filing requirements for the past 90 days.</w:t>
      </w:r>
    </w:p>
    <w:p>
      <w:pPr>
        <w:spacing w:after="0" w:line="2"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x Yes  o No</w:t>
      </w:r>
    </w:p>
    <w:p>
      <w:pPr>
        <w:spacing w:after="0" w:line="207"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x Yes  o No</w:t>
      </w:r>
    </w:p>
    <w:p>
      <w:pPr>
        <w:spacing w:after="0" w:line="20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162" w:lineRule="exact"/>
        <w:rPr>
          <w:sz w:val="20"/>
          <w:szCs w:val="20"/>
          <w:color w:val="auto"/>
        </w:rPr>
      </w:pPr>
    </w:p>
    <w:p>
      <w:pPr>
        <w:ind w:left="640"/>
        <w:spacing w:after="0"/>
        <w:tabs>
          <w:tab w:leader="none" w:pos="3620" w:val="left"/>
          <w:tab w:leader="none" w:pos="6260" w:val="left"/>
          <w:tab w:leader="none" w:pos="8840" w:val="left"/>
        </w:tabs>
        <w:rPr>
          <w:sz w:val="20"/>
          <w:szCs w:val="20"/>
          <w:color w:val="auto"/>
        </w:rPr>
      </w:pPr>
      <w:r>
        <w:rPr>
          <w:rFonts w:ascii="Times New Roman" w:cs="Times New Roman" w:eastAsia="Times New Roman" w:hAnsi="Times New Roman"/>
          <w:sz w:val="18"/>
          <w:szCs w:val="18"/>
          <w:color w:val="auto"/>
        </w:rPr>
        <w:t>Large accelerated filer o</w:t>
      </w:r>
      <w:r>
        <w:rPr>
          <w:sz w:val="20"/>
          <w:szCs w:val="20"/>
          <w:color w:val="auto"/>
        </w:rPr>
        <w:tab/>
      </w:r>
      <w:r>
        <w:rPr>
          <w:rFonts w:ascii="Times New Roman" w:cs="Times New Roman" w:eastAsia="Times New Roman" w:hAnsi="Times New Roman"/>
          <w:sz w:val="18"/>
          <w:szCs w:val="18"/>
          <w:color w:val="auto"/>
        </w:rPr>
        <w:t>Accelerated filer x</w:t>
      </w:r>
      <w:r>
        <w:rPr>
          <w:sz w:val="20"/>
          <w:szCs w:val="20"/>
          <w:color w:val="auto"/>
        </w:rPr>
        <w:tab/>
      </w:r>
      <w:r>
        <w:rPr>
          <w:rFonts w:ascii="Times New Roman" w:cs="Times New Roman" w:eastAsia="Times New Roman" w:hAnsi="Times New Roman"/>
          <w:sz w:val="18"/>
          <w:szCs w:val="18"/>
          <w:color w:val="auto"/>
        </w:rPr>
        <w:t>Non-accelerated filer o</w:t>
      </w:r>
      <w:r>
        <w:rPr>
          <w:sz w:val="20"/>
          <w:szCs w:val="20"/>
          <w:color w:val="auto"/>
        </w:rPr>
        <w:tab/>
      </w:r>
      <w:r>
        <w:rPr>
          <w:rFonts w:ascii="Times New Roman" w:cs="Times New Roman" w:eastAsia="Times New Roman" w:hAnsi="Times New Roman"/>
          <w:sz w:val="17"/>
          <w:szCs w:val="17"/>
          <w:color w:val="auto"/>
        </w:rPr>
        <w:t>Emerging growth company o</w:t>
      </w:r>
    </w:p>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w:t>
      </w:r>
    </w:p>
    <w:p>
      <w:pPr>
        <w:spacing w:after="0" w:line="207" w:lineRule="exact"/>
        <w:tabs>
          <w:tab w:leader="none" w:pos="1820" w:val="left"/>
        </w:tabs>
        <w:rPr>
          <w:sz w:val="20"/>
          <w:szCs w:val="20"/>
          <w:color w:val="auto"/>
        </w:rPr>
      </w:pPr>
      <w:r>
        <w:rPr>
          <w:rFonts w:ascii="Times New Roman" w:cs="Times New Roman" w:eastAsia="Times New Roman" w:hAnsi="Times New Roman"/>
          <w:sz w:val="18"/>
          <w:szCs w:val="18"/>
          <w:color w:val="auto"/>
        </w:rPr>
        <w:t>Exchange Act.</w:t>
      </w:r>
      <w:r>
        <w:rPr>
          <w:sz w:val="20"/>
          <w:szCs w:val="20"/>
          <w:color w:val="auto"/>
        </w:rPr>
        <w:tab/>
      </w:r>
      <w:r>
        <w:rPr>
          <w:rFonts w:ascii="MS PGothic" w:cs="MS PGothic" w:eastAsia="MS PGothic" w:hAnsi="MS PGothic"/>
          <w:sz w:val="16"/>
          <w:szCs w:val="16"/>
          <w:color w:val="auto"/>
        </w:rPr>
        <w:t>☐</w:t>
      </w:r>
    </w:p>
    <w:p>
      <w:pPr>
        <w:spacing w:after="0" w:line="212" w:lineRule="exact"/>
        <w:rPr>
          <w:sz w:val="20"/>
          <w:szCs w:val="20"/>
          <w:color w:val="auto"/>
        </w:rPr>
      </w:pPr>
    </w:p>
    <w:p>
      <w:pPr>
        <w:ind w:right="660" w:firstLine="8"/>
        <w:spacing w:after="0" w:line="282" w:lineRule="auto"/>
        <w:tabs>
          <w:tab w:leader="none" w:pos="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1460"/>
          </w:cols>
          <w:pgMar w:left="240" w:top="121" w:right="199" w:bottom="0" w:gutter="0" w:footer="0" w:header="0"/>
        </w:sectPr>
      </w:pP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U.S. GAAP x</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7"/>
          <w:szCs w:val="17"/>
          <w:color w:val="auto"/>
        </w:rPr>
        <w:t>International Financial Reporting Standards as issued</w:t>
      </w:r>
    </w:p>
    <w:p>
      <w:pPr>
        <w:spacing w:after="0" w:line="39"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by the International Accounting Standards Board 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o</w:t>
      </w:r>
    </w:p>
    <w:p>
      <w:pPr>
        <w:spacing w:after="0" w:line="445" w:lineRule="exact"/>
        <w:rPr>
          <w:sz w:val="20"/>
          <w:szCs w:val="20"/>
          <w:color w:val="auto"/>
        </w:rPr>
      </w:pPr>
    </w:p>
    <w:p>
      <w:pPr>
        <w:sectPr>
          <w:pgSz w:w="11900" w:h="16838" w:orient="portrait"/>
          <w:cols w:equalWidth="0" w:num="3">
            <w:col w:w="3080" w:space="720"/>
            <w:col w:w="5080" w:space="720"/>
            <w:col w:w="1860"/>
          </w:cols>
          <w:pgMar w:left="240" w:top="121" w:right="199" w:bottom="0" w:gutter="0" w:footer="0" w:header="0"/>
          <w:type w:val="continuous"/>
        </w:sectPr>
      </w:pPr>
    </w:p>
    <w:p>
      <w:pPr>
        <w:spacing w:after="0" w:line="7" w:lineRule="exact"/>
        <w:rPr>
          <w:sz w:val="20"/>
          <w:szCs w:val="20"/>
          <w:color w:val="auto"/>
        </w:rPr>
      </w:pPr>
    </w:p>
    <w:p>
      <w:pPr>
        <w:ind w:left="9900" w:right="40" w:hanging="9897"/>
        <w:spacing w:after="0" w:line="282" w:lineRule="auto"/>
        <w:rPr>
          <w:sz w:val="20"/>
          <w:szCs w:val="20"/>
          <w:color w:val="auto"/>
        </w:rPr>
      </w:pPr>
      <w:r>
        <w:rPr>
          <w:rFonts w:ascii="Times New Roman" w:cs="Times New Roman" w:eastAsia="Times New Roman" w:hAnsi="Times New Roman"/>
          <w:sz w:val="18"/>
          <w:szCs w:val="18"/>
          <w:color w:val="auto"/>
        </w:rPr>
        <w:t>If “Other” has been checked in response to the previous question, indicate by check mark which financial statement item the registrant has elected to follow. o Item 17 o Item 18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this is an annual report, indicate by check mark whether the registrant is a shell company (as defined in Rule 12b-2 of the Exchange Act).</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o Yes  x No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ONLY TO ISSUERS INVOLVED IN BANKRUPTCY PROCEEDINGS DURING THE PAST FIVE YEARS)</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filed all documents and reports required to be filed by Section 12, 13 or 15(d) of the Securities Exchange Act of 1934 subsequent to the distribution of securities under a plan confirmed by a court.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 Yes</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o No</w:t>
            </w:r>
          </w:p>
        </w:tc>
      </w:tr>
      <w:tr>
        <w:trPr>
          <w:trHeight w:val="348"/>
        </w:trPr>
        <w:tc>
          <w:tcPr>
            <w:tcW w:w="1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39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r>
        <w:trPr>
          <w:trHeight w:val="523"/>
        </w:trPr>
        <w:tc>
          <w:tcPr>
            <w:tcW w:w="11060" w:type="dxa"/>
            <w:vAlign w:val="bottom"/>
            <w:gridSpan w:val="8"/>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220" w:type="dxa"/>
            <w:vAlign w:val="bottom"/>
          </w:tcPr>
          <w:p>
            <w:pPr>
              <w:spacing w:after="0"/>
              <w:rPr>
                <w:sz w:val="24"/>
                <w:szCs w:val="24"/>
                <w:color w:val="auto"/>
              </w:rPr>
            </w:pPr>
          </w:p>
        </w:tc>
        <w:tc>
          <w:tcPr>
            <w:tcW w:w="8560" w:type="dxa"/>
            <w:vAlign w:val="bottom"/>
            <w:gridSpan w:val="4"/>
          </w:tcPr>
          <w:p>
            <w:pPr>
              <w:jc w:val="center"/>
              <w:ind w:right="2059"/>
              <w:spacing w:after="0"/>
              <w:rPr>
                <w:sz w:val="20"/>
                <w:szCs w:val="20"/>
                <w:color w:val="auto"/>
              </w:rPr>
            </w:pPr>
            <w:r>
              <w:rPr>
                <w:rFonts w:ascii="Times New Roman" w:cs="Times New Roman" w:eastAsia="Times New Roman" w:hAnsi="Times New Roman"/>
                <w:sz w:val="18"/>
                <w:szCs w:val="18"/>
                <w:b w:val="1"/>
                <w:bCs w:val="1"/>
                <w:color w:val="auto"/>
                <w:w w:val="99"/>
              </w:rPr>
              <w:t>PHOENIX NEW MEDIA LIMITED</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0"/>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560" w:type="dxa"/>
            <w:vAlign w:val="bottom"/>
            <w:gridSpan w:val="4"/>
          </w:tcPr>
          <w:p>
            <w:pPr>
              <w:jc w:val="center"/>
              <w:ind w:right="2059"/>
              <w:spacing w:after="0"/>
              <w:rPr>
                <w:sz w:val="20"/>
                <w:szCs w:val="20"/>
                <w:color w:val="auto"/>
              </w:rPr>
            </w:pPr>
            <w:r>
              <w:rPr>
                <w:rFonts w:ascii="Times New Roman" w:cs="Times New Roman" w:eastAsia="Times New Roman" w:hAnsi="Times New Roman"/>
                <w:sz w:val="18"/>
                <w:szCs w:val="18"/>
                <w:b w:val="1"/>
                <w:bCs w:val="1"/>
                <w:color w:val="auto"/>
                <w:w w:val="99"/>
              </w:rPr>
              <w:t>FORM 20-F ANNUAL REPORT</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560" w:type="dxa"/>
            <w:vAlign w:val="bottom"/>
            <w:gridSpan w:val="4"/>
          </w:tcPr>
          <w:p>
            <w:pPr>
              <w:jc w:val="center"/>
              <w:ind w:right="2059"/>
              <w:spacing w:after="0"/>
              <w:rPr>
                <w:sz w:val="20"/>
                <w:szCs w:val="20"/>
                <w:color w:val="auto"/>
              </w:rPr>
            </w:pPr>
            <w:r>
              <w:rPr>
                <w:rFonts w:ascii="Times New Roman" w:cs="Times New Roman" w:eastAsia="Times New Roman" w:hAnsi="Times New Roman"/>
                <w:sz w:val="18"/>
                <w:szCs w:val="18"/>
                <w:b w:val="1"/>
                <w:bCs w:val="1"/>
                <w:color w:val="auto"/>
              </w:rPr>
              <w:t>FISCAL YEAR ENDED DECEMBER 31, 2016</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180" w:type="dxa"/>
            <w:vAlign w:val="bottom"/>
            <w:gridSpan w:val="3"/>
          </w:tcPr>
          <w:p>
            <w:pPr>
              <w:jc w:val="center"/>
              <w:ind w:right="4419"/>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3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11060" w:type="dxa"/>
            <w:vAlign w:val="bottom"/>
            <w:gridSpan w:val="8"/>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PART I</w:t>
              </w:r>
            </w:hyperlink>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2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ITEM 1. IDENTITY OF DIRECTORS, SENIOR MANAGEMENT AND ADVISERS</w:t>
              </w:r>
            </w:hyperlink>
          </w:p>
        </w:tc>
        <w:tc>
          <w:tcPr>
            <w:tcW w:w="4600" w:type="dxa"/>
            <w:vAlign w:val="bottom"/>
            <w:gridSpan w:val="2"/>
          </w:tcPr>
          <w:p>
            <w:pPr>
              <w:spacing w:after="0"/>
              <w:rPr>
                <w:sz w:val="17"/>
                <w:szCs w:val="17"/>
                <w:color w:val="auto"/>
              </w:rPr>
            </w:pPr>
          </w:p>
        </w:tc>
        <w:tc>
          <w:tcPr>
            <w:tcW w:w="4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80" w:type="dxa"/>
            <w:vAlign w:val="bottom"/>
          </w:tcPr>
          <w:p>
            <w:pPr>
              <w:spacing w:after="0"/>
              <w:rPr>
                <w:sz w:val="17"/>
                <w:szCs w:val="17"/>
                <w:color w:val="auto"/>
              </w:rPr>
            </w:pPr>
          </w:p>
        </w:tc>
        <w:tc>
          <w:tcPr>
            <w:tcW w:w="47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ITEM 2. OFFER STATISTICS AND EXPECTED TIMETABLE</w:t>
              </w:r>
            </w:hyperlink>
          </w:p>
        </w:tc>
        <w:tc>
          <w:tcPr>
            <w:tcW w:w="6180" w:type="dxa"/>
            <w:vAlign w:val="bottom"/>
            <w:gridSpan w:val="3"/>
          </w:tcPr>
          <w:p>
            <w:pPr>
              <w:spacing w:after="0"/>
              <w:rPr>
                <w:sz w:val="17"/>
                <w:szCs w:val="17"/>
                <w:color w:val="auto"/>
              </w:rPr>
            </w:pPr>
          </w:p>
        </w:tc>
        <w:tc>
          <w:tcPr>
            <w:tcW w:w="4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80" w:type="dxa"/>
            <w:vAlign w:val="bottom"/>
          </w:tcPr>
          <w:p>
            <w:pPr>
              <w:spacing w:after="0"/>
              <w:rPr>
                <w:sz w:val="17"/>
                <w:szCs w:val="17"/>
                <w:color w:val="auto"/>
              </w:rPr>
            </w:pPr>
          </w:p>
        </w:tc>
        <w:tc>
          <w:tcPr>
            <w:tcW w:w="10880" w:type="dxa"/>
            <w:vAlign w:val="bottom"/>
            <w:gridSpan w:val="7"/>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ITEM 3. KEY INFORMATION</w:t>
              </w:r>
            </w:hyperlink>
          </w:p>
        </w:tc>
        <w:tc>
          <w:tcPr>
            <w:tcW w:w="4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-2256790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-2256790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type w:val="continuous"/>
        </w:sectPr>
      </w:pPr>
    </w:p>
    <w:bookmarkStart w:id="2" w:name="page3"/>
    <w:bookmarkEnd w:id="2"/>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9800" w:type="dxa"/>
            <w:vAlign w:val="bottom"/>
            <w:gridSpan w:val="26"/>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4. INFORMATION ON THE COMPANY</w:t>
              </w:r>
            </w:hyperlink>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9800" w:type="dxa"/>
            <w:vAlign w:val="bottom"/>
            <w:gridSpan w:val="26"/>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ITEM 4A. UNRESOLVED STAFF COMMENTS</w:t>
              </w:r>
            </w:hyperlink>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3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ITEM 5. OPERATING AND FINANCIAL REVIEW AND PROSPECTS</w:t>
              </w:r>
            </w:hyperlink>
          </w:p>
        </w:tc>
        <w:tc>
          <w:tcPr>
            <w:tcW w:w="4460" w:type="dxa"/>
            <w:vAlign w:val="bottom"/>
            <w:gridSpan w:val="9"/>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196"/>
        </w:trPr>
        <w:tc>
          <w:tcPr>
            <w:tcW w:w="180" w:type="dxa"/>
            <w:vAlign w:val="bottom"/>
          </w:tcPr>
          <w:p>
            <w:pPr>
              <w:spacing w:after="0"/>
              <w:rPr>
                <w:sz w:val="17"/>
                <w:szCs w:val="17"/>
                <w:color w:val="auto"/>
              </w:rPr>
            </w:pPr>
          </w:p>
        </w:tc>
        <w:tc>
          <w:tcPr>
            <w:tcW w:w="53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76">
              <w:r>
                <w:rPr>
                  <w:rFonts w:ascii="Times New Roman" w:cs="Times New Roman" w:eastAsia="Times New Roman" w:hAnsi="Times New Roman"/>
                  <w:sz w:val="18"/>
                  <w:szCs w:val="18"/>
                  <w:color w:val="0000EE"/>
                  <w:w w:val="99"/>
                </w:rPr>
                <w:t>ITEM 6. DIRECTORS, SENIOR MANAGEMENT AND EMPLOYEES</w:t>
              </w:r>
            </w:hyperlink>
          </w:p>
        </w:tc>
        <w:tc>
          <w:tcPr>
            <w:tcW w:w="4500" w:type="dxa"/>
            <w:vAlign w:val="bottom"/>
            <w:gridSpan w:val="10"/>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r>
      <w:tr>
        <w:trPr>
          <w:trHeight w:val="196"/>
        </w:trPr>
        <w:tc>
          <w:tcPr>
            <w:tcW w:w="180" w:type="dxa"/>
            <w:vAlign w:val="bottom"/>
          </w:tcPr>
          <w:p>
            <w:pPr>
              <w:spacing w:after="0"/>
              <w:rPr>
                <w:sz w:val="17"/>
                <w:szCs w:val="17"/>
                <w:color w:val="auto"/>
              </w:rPr>
            </w:pPr>
          </w:p>
        </w:tc>
        <w:tc>
          <w:tcPr>
            <w:tcW w:w="60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w:anchor="page82">
              <w:r>
                <w:rPr>
                  <w:rFonts w:ascii="Times New Roman" w:cs="Times New Roman" w:eastAsia="Times New Roman" w:hAnsi="Times New Roman"/>
                  <w:sz w:val="18"/>
                  <w:szCs w:val="18"/>
                  <w:color w:val="0000EE"/>
                  <w:w w:val="99"/>
                </w:rPr>
                <w:t>ITEM 7. MAJOR SHAREHOLDERS AND RELATED PARTY TRANSACTIONS</w:t>
              </w:r>
            </w:hyperlink>
          </w:p>
        </w:tc>
        <w:tc>
          <w:tcPr>
            <w:tcW w:w="3740" w:type="dxa"/>
            <w:vAlign w:val="bottom"/>
            <w:gridSpan w:val="6"/>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r>
      <w:tr>
        <w:trPr>
          <w:trHeight w:val="196"/>
        </w:trPr>
        <w:tc>
          <w:tcPr>
            <w:tcW w:w="180" w:type="dxa"/>
            <w:vAlign w:val="bottom"/>
          </w:tcPr>
          <w:p>
            <w:pPr>
              <w:spacing w:after="0"/>
              <w:rPr>
                <w:sz w:val="17"/>
                <w:szCs w:val="17"/>
                <w:color w:val="auto"/>
              </w:rPr>
            </w:pPr>
          </w:p>
        </w:tc>
        <w:tc>
          <w:tcPr>
            <w:tcW w:w="29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84">
              <w:r>
                <w:rPr>
                  <w:rFonts w:ascii="Times New Roman" w:cs="Times New Roman" w:eastAsia="Times New Roman" w:hAnsi="Times New Roman"/>
                  <w:sz w:val="18"/>
                  <w:szCs w:val="18"/>
                  <w:color w:val="0000EE"/>
                  <w:w w:val="99"/>
                </w:rPr>
                <w:t>ITEM 8. FINANCIAL INFORMATION</w:t>
              </w:r>
            </w:hyperlink>
          </w:p>
        </w:tc>
        <w:tc>
          <w:tcPr>
            <w:tcW w:w="6840" w:type="dxa"/>
            <w:vAlign w:val="bottom"/>
            <w:gridSpan w:val="18"/>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r>
      <w:tr>
        <w:trPr>
          <w:trHeight w:val="196"/>
        </w:trPr>
        <w:tc>
          <w:tcPr>
            <w:tcW w:w="180" w:type="dxa"/>
            <w:vAlign w:val="bottom"/>
          </w:tcPr>
          <w:p>
            <w:pPr>
              <w:spacing w:after="0"/>
              <w:rPr>
                <w:sz w:val="17"/>
                <w:szCs w:val="17"/>
                <w:color w:val="auto"/>
              </w:rPr>
            </w:pPr>
          </w:p>
        </w:tc>
        <w:tc>
          <w:tcPr>
            <w:tcW w:w="9800" w:type="dxa"/>
            <w:vAlign w:val="bottom"/>
            <w:gridSpan w:val="26"/>
          </w:tcPr>
          <w:p>
            <w:pPr>
              <w:spacing w:after="0" w:line="196" w:lineRule="exact"/>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ITEM 9. THE OFFER AND LISTING</w:t>
              </w:r>
            </w:hyperlink>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115</w:t>
            </w: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9800" w:type="dxa"/>
            <w:vAlign w:val="bottom"/>
            <w:gridSpan w:val="26"/>
          </w:tcPr>
          <w:p>
            <w:pPr>
              <w:spacing w:after="0" w:line="196" w:lineRule="exact"/>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ITEM 10. ADDITIONAL INFORMATION</w:t>
              </w:r>
            </w:hyperlink>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9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8"/>
              </w:rPr>
            </w:pPr>
            <w:hyperlink w:anchor="page90">
              <w:r>
                <w:rPr>
                  <w:rFonts w:ascii="Times New Roman" w:cs="Times New Roman" w:eastAsia="Times New Roman" w:hAnsi="Times New Roman"/>
                  <w:sz w:val="18"/>
                  <w:szCs w:val="18"/>
                  <w:color w:val="0000EE"/>
                  <w:w w:val="98"/>
                </w:rPr>
                <w:t>ITEM 11. QUANTITATIVE AND QUALITATIVE DISCLOSURES ABOUT MARKET RISK</w:t>
              </w:r>
            </w:hyperlink>
          </w:p>
        </w:tc>
        <w:tc>
          <w:tcPr>
            <w:tcW w:w="2900" w:type="dxa"/>
            <w:vAlign w:val="bottom"/>
            <w:gridSpan w:val="4"/>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r>
      <w:tr>
        <w:trPr>
          <w:trHeight w:val="196"/>
        </w:trPr>
        <w:tc>
          <w:tcPr>
            <w:tcW w:w="180" w:type="dxa"/>
            <w:vAlign w:val="bottom"/>
          </w:tcPr>
          <w:p>
            <w:pPr>
              <w:spacing w:after="0"/>
              <w:rPr>
                <w:sz w:val="17"/>
                <w:szCs w:val="17"/>
                <w:color w:val="auto"/>
              </w:rPr>
            </w:pPr>
          </w:p>
        </w:tc>
        <w:tc>
          <w:tcPr>
            <w:tcW w:w="9800" w:type="dxa"/>
            <w:vAlign w:val="bottom"/>
            <w:gridSpan w:val="26"/>
          </w:tcPr>
          <w:p>
            <w:pPr>
              <w:spacing w:after="0" w:line="196" w:lineRule="exact"/>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ITEM 12. DESCRIPTION OF SECURITIES OTHER THAN EQUITY SECURITIES</w:t>
              </w:r>
            </w:hyperlink>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9980" w:type="dxa"/>
            <w:vAlign w:val="bottom"/>
            <w:gridSpan w:val="27"/>
          </w:tcPr>
          <w:p>
            <w:pPr>
              <w:spacing w:after="0" w:line="196" w:lineRule="exact"/>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PART II</w:t>
              </w:r>
            </w:hyperlink>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7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w:anchor="page93">
              <w:r>
                <w:rPr>
                  <w:rFonts w:ascii="Times New Roman" w:cs="Times New Roman" w:eastAsia="Times New Roman" w:hAnsi="Times New Roman"/>
                  <w:sz w:val="18"/>
                  <w:szCs w:val="18"/>
                  <w:color w:val="0000EE"/>
                  <w:w w:val="99"/>
                </w:rPr>
                <w:t>ITEM 13. DEFAULTS, DIVIDEND ARREARAGES AND DELINQUENCIES</w:t>
              </w:r>
            </w:hyperlink>
          </w:p>
        </w:tc>
        <w:tc>
          <w:tcPr>
            <w:tcW w:w="4020" w:type="dxa"/>
            <w:vAlign w:val="bottom"/>
            <w:gridSpan w:val="7"/>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r>
      <w:tr>
        <w:trPr>
          <w:trHeight w:val="196"/>
        </w:trPr>
        <w:tc>
          <w:tcPr>
            <w:tcW w:w="180" w:type="dxa"/>
            <w:vAlign w:val="bottom"/>
          </w:tcPr>
          <w:p>
            <w:pPr>
              <w:spacing w:after="0"/>
              <w:rPr>
                <w:sz w:val="17"/>
                <w:szCs w:val="17"/>
                <w:color w:val="auto"/>
              </w:rPr>
            </w:pPr>
          </w:p>
        </w:tc>
        <w:tc>
          <w:tcPr>
            <w:tcW w:w="9800" w:type="dxa"/>
            <w:vAlign w:val="bottom"/>
            <w:gridSpan w:val="26"/>
          </w:tcPr>
          <w:p>
            <w:pPr>
              <w:spacing w:after="0" w:line="196" w:lineRule="exact"/>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ITEM 14. MATERIAL MODIFICATIONS TO THE RIGHTS OF SECURITY HOLDERS AND USE OF PROCEEDS</w:t>
              </w:r>
            </w:hyperlink>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r>
      <w:tr>
        <w:trPr>
          <w:trHeight w:val="196"/>
        </w:trPr>
        <w:tc>
          <w:tcPr>
            <w:tcW w:w="180" w:type="dxa"/>
            <w:vAlign w:val="bottom"/>
          </w:tcPr>
          <w:p>
            <w:pPr>
              <w:spacing w:after="0"/>
              <w:rPr>
                <w:sz w:val="17"/>
                <w:szCs w:val="17"/>
                <w:color w:val="auto"/>
              </w:rPr>
            </w:pPr>
          </w:p>
        </w:tc>
        <w:tc>
          <w:tcPr>
            <w:tcW w:w="862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ITEM 15. CONTROLS AND PROCEDURES</w:t>
              </w:r>
            </w:hyperlink>
          </w:p>
        </w:tc>
        <w:tc>
          <w:tcPr>
            <w:tcW w:w="118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r>
      <w:tr>
        <w:trPr>
          <w:trHeight w:val="20"/>
        </w:trPr>
        <w:tc>
          <w:tcPr>
            <w:tcW w:w="1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3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93">
              <w:r>
                <w:rPr>
                  <w:rFonts w:ascii="Times New Roman" w:cs="Times New Roman" w:eastAsia="Times New Roman" w:hAnsi="Times New Roman"/>
                  <w:sz w:val="18"/>
                  <w:szCs w:val="18"/>
                  <w:color w:val="0000EE"/>
                  <w:w w:val="99"/>
                </w:rPr>
                <w:t>ITEM 16A. AUDIT COMMITTEE FINANCIAL EXPERT</w:t>
              </w:r>
            </w:hyperlink>
          </w:p>
        </w:tc>
        <w:tc>
          <w:tcPr>
            <w:tcW w:w="5500" w:type="dxa"/>
            <w:vAlign w:val="bottom"/>
            <w:gridSpan w:val="12"/>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r>
      <w:tr>
        <w:trPr>
          <w:trHeight w:val="196"/>
        </w:trPr>
        <w:tc>
          <w:tcPr>
            <w:tcW w:w="180" w:type="dxa"/>
            <w:vAlign w:val="bottom"/>
          </w:tcPr>
          <w:p>
            <w:pPr>
              <w:spacing w:after="0"/>
              <w:rPr>
                <w:sz w:val="17"/>
                <w:szCs w:val="17"/>
                <w:color w:val="auto"/>
              </w:rPr>
            </w:pPr>
          </w:p>
        </w:tc>
        <w:tc>
          <w:tcPr>
            <w:tcW w:w="9800" w:type="dxa"/>
            <w:vAlign w:val="bottom"/>
            <w:gridSpan w:val="26"/>
          </w:tcPr>
          <w:p>
            <w:pPr>
              <w:spacing w:after="0" w:line="196" w:lineRule="exact"/>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ITEM 16B. CODE OF ETHICS</w:t>
              </w:r>
            </w:hyperlink>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r>
      <w:tr>
        <w:trPr>
          <w:trHeight w:val="20"/>
        </w:trPr>
        <w:tc>
          <w:tcPr>
            <w:tcW w:w="1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9800" w:type="dxa"/>
            <w:vAlign w:val="bottom"/>
            <w:gridSpan w:val="26"/>
          </w:tcPr>
          <w:p>
            <w:pPr>
              <w:spacing w:after="0" w:line="196" w:lineRule="exact"/>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ITEM 16C. PRINCIPAL ACCOUNTANT FEES AND SERVICES</w:t>
              </w:r>
            </w:hyperlink>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r>
      <w:tr>
        <w:trPr>
          <w:trHeight w:val="20"/>
        </w:trPr>
        <w:tc>
          <w:tcPr>
            <w:tcW w:w="1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0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w:anchor="page94">
              <w:r>
                <w:rPr>
                  <w:rFonts w:ascii="Times New Roman" w:cs="Times New Roman" w:eastAsia="Times New Roman" w:hAnsi="Times New Roman"/>
                  <w:sz w:val="18"/>
                  <w:szCs w:val="18"/>
                  <w:color w:val="0000EE"/>
                  <w:w w:val="99"/>
                </w:rPr>
                <w:t>ITEM 16D. EXEMPTIONS FROM THE LISTING STANDARDS FOR AUDIT COMMITTEES</w:t>
              </w:r>
            </w:hyperlink>
          </w:p>
        </w:tc>
        <w:tc>
          <w:tcPr>
            <w:tcW w:w="2740" w:type="dxa"/>
            <w:vAlign w:val="bottom"/>
            <w:gridSpan w:val="3"/>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r>
      <w:tr>
        <w:trPr>
          <w:trHeight w:val="196"/>
        </w:trPr>
        <w:tc>
          <w:tcPr>
            <w:tcW w:w="180" w:type="dxa"/>
            <w:vAlign w:val="bottom"/>
          </w:tcPr>
          <w:p>
            <w:pPr>
              <w:spacing w:after="0"/>
              <w:rPr>
                <w:sz w:val="17"/>
                <w:szCs w:val="17"/>
                <w:color w:val="auto"/>
              </w:rPr>
            </w:pPr>
          </w:p>
        </w:tc>
        <w:tc>
          <w:tcPr>
            <w:tcW w:w="9800" w:type="dxa"/>
            <w:vAlign w:val="bottom"/>
            <w:gridSpan w:val="26"/>
          </w:tcPr>
          <w:p>
            <w:pPr>
              <w:spacing w:after="0" w:line="196" w:lineRule="exact"/>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ITEM 16E. PURCHASE OF EQUITY SECURITIES BY THE ISSUER AND AFFILIATED PURCHASERS</w:t>
              </w:r>
            </w:hyperlink>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r>
      <w:tr>
        <w:trPr>
          <w:trHeight w:val="196"/>
        </w:trPr>
        <w:tc>
          <w:tcPr>
            <w:tcW w:w="180" w:type="dxa"/>
            <w:vAlign w:val="bottom"/>
          </w:tcPr>
          <w:p>
            <w:pPr>
              <w:spacing w:after="0"/>
              <w:rPr>
                <w:sz w:val="17"/>
                <w:szCs w:val="17"/>
                <w:color w:val="auto"/>
              </w:rPr>
            </w:pPr>
          </w:p>
        </w:tc>
        <w:tc>
          <w:tcPr>
            <w:tcW w:w="554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94">
              <w:r>
                <w:rPr>
                  <w:rFonts w:ascii="Times New Roman" w:cs="Times New Roman" w:eastAsia="Times New Roman" w:hAnsi="Times New Roman"/>
                  <w:sz w:val="18"/>
                  <w:szCs w:val="18"/>
                  <w:color w:val="0000EE"/>
                  <w:w w:val="99"/>
                </w:rPr>
                <w:t>ITEM 16F. CHANGE IN REGISTRANT’S CERTIFYING ACCOUNTANT</w:t>
              </w:r>
            </w:hyperlink>
          </w:p>
        </w:tc>
        <w:tc>
          <w:tcPr>
            <w:tcW w:w="2380" w:type="dxa"/>
            <w:vAlign w:val="bottom"/>
            <w:tcBorders>
              <w:top w:val="single" w:sz="8" w:color="0000EE"/>
            </w:tcBorders>
            <w:gridSpan w:val="6"/>
          </w:tcPr>
          <w:p>
            <w:pPr>
              <w:spacing w:after="0"/>
              <w:rPr>
                <w:sz w:val="17"/>
                <w:szCs w:val="17"/>
                <w:color w:val="auto"/>
              </w:rPr>
            </w:pPr>
          </w:p>
        </w:tc>
        <w:tc>
          <w:tcPr>
            <w:tcW w:w="1880" w:type="dxa"/>
            <w:vAlign w:val="bottom"/>
            <w:gridSpan w:val="2"/>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r>
      <w:tr>
        <w:trPr>
          <w:trHeight w:val="196"/>
        </w:trPr>
        <w:tc>
          <w:tcPr>
            <w:tcW w:w="180" w:type="dxa"/>
            <w:vAlign w:val="bottom"/>
          </w:tcPr>
          <w:p>
            <w:pPr>
              <w:spacing w:after="0"/>
              <w:rPr>
                <w:sz w:val="17"/>
                <w:szCs w:val="17"/>
                <w:color w:val="auto"/>
              </w:rPr>
            </w:pPr>
          </w:p>
        </w:tc>
        <w:tc>
          <w:tcPr>
            <w:tcW w:w="9800" w:type="dxa"/>
            <w:vAlign w:val="bottom"/>
            <w:gridSpan w:val="26"/>
          </w:tcPr>
          <w:p>
            <w:pPr>
              <w:spacing w:after="0" w:line="196" w:lineRule="exact"/>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ITEM 16G. CORPORATE GOVERNANCE</w:t>
              </w:r>
            </w:hyperlink>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r>
      <w:tr>
        <w:trPr>
          <w:trHeight w:val="196"/>
        </w:trPr>
        <w:tc>
          <w:tcPr>
            <w:tcW w:w="18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95">
              <w:r>
                <w:rPr>
                  <w:rFonts w:ascii="Times New Roman" w:cs="Times New Roman" w:eastAsia="Times New Roman" w:hAnsi="Times New Roman"/>
                  <w:sz w:val="18"/>
                  <w:szCs w:val="18"/>
                  <w:color w:val="0000EE"/>
                  <w:w w:val="99"/>
                </w:rPr>
                <w:t>ITEM 16H. MINE SAFETY</w:t>
              </w:r>
            </w:hyperlink>
          </w:p>
        </w:tc>
        <w:tc>
          <w:tcPr>
            <w:tcW w:w="1140" w:type="dxa"/>
            <w:vAlign w:val="bottom"/>
            <w:tcBorders>
              <w:top w:val="single" w:sz="8" w:color="0000EE"/>
            </w:tcBorders>
            <w:gridSpan w:val="7"/>
          </w:tcPr>
          <w:p>
            <w:pPr>
              <w:spacing w:after="0"/>
              <w:rPr>
                <w:sz w:val="17"/>
                <w:szCs w:val="17"/>
                <w:color w:val="auto"/>
              </w:rPr>
            </w:pPr>
          </w:p>
        </w:tc>
        <w:tc>
          <w:tcPr>
            <w:tcW w:w="6580" w:type="dxa"/>
            <w:vAlign w:val="bottom"/>
            <w:gridSpan w:val="16"/>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r>
      <w:tr>
        <w:trPr>
          <w:trHeight w:val="196"/>
        </w:trPr>
        <w:tc>
          <w:tcPr>
            <w:tcW w:w="9980" w:type="dxa"/>
            <w:vAlign w:val="bottom"/>
            <w:gridSpan w:val="27"/>
          </w:tcPr>
          <w:p>
            <w:pPr>
              <w:spacing w:after="0" w:line="196" w:lineRule="exact"/>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PART III</w:t>
              </w:r>
            </w:hyperlink>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r>
      <w:tr>
        <w:trPr>
          <w:trHeight w:val="20"/>
        </w:trPr>
        <w:tc>
          <w:tcPr>
            <w:tcW w:w="1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60" w:type="dxa"/>
            <w:vAlign w:val="bottom"/>
            <w:gridSpan w:val="1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9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95">
              <w:r>
                <w:rPr>
                  <w:rFonts w:ascii="Times New Roman" w:cs="Times New Roman" w:eastAsia="Times New Roman" w:hAnsi="Times New Roman"/>
                  <w:sz w:val="18"/>
                  <w:szCs w:val="18"/>
                  <w:color w:val="0000EE"/>
                  <w:w w:val="99"/>
                </w:rPr>
                <w:t>ITEM 17. FINANCIAL STATEMENTS</w:t>
              </w:r>
            </w:hyperlink>
          </w:p>
        </w:tc>
        <w:tc>
          <w:tcPr>
            <w:tcW w:w="6860" w:type="dxa"/>
            <w:vAlign w:val="bottom"/>
            <w:gridSpan w:val="19"/>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r>
      <w:tr>
        <w:trPr>
          <w:trHeight w:val="196"/>
        </w:trPr>
        <w:tc>
          <w:tcPr>
            <w:tcW w:w="180" w:type="dxa"/>
            <w:vAlign w:val="bottom"/>
          </w:tcPr>
          <w:p>
            <w:pPr>
              <w:spacing w:after="0"/>
              <w:rPr>
                <w:sz w:val="17"/>
                <w:szCs w:val="17"/>
                <w:color w:val="auto"/>
              </w:rPr>
            </w:pPr>
          </w:p>
        </w:tc>
        <w:tc>
          <w:tcPr>
            <w:tcW w:w="29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w:anchor="page95">
              <w:r>
                <w:rPr>
                  <w:rFonts w:ascii="Times New Roman" w:cs="Times New Roman" w:eastAsia="Times New Roman" w:hAnsi="Times New Roman"/>
                  <w:sz w:val="18"/>
                  <w:szCs w:val="18"/>
                  <w:color w:val="0000EE"/>
                  <w:w w:val="98"/>
                </w:rPr>
                <w:t>ITEM 18. FINANCIAL STATEMENTS</w:t>
              </w:r>
            </w:hyperlink>
          </w:p>
        </w:tc>
        <w:tc>
          <w:tcPr>
            <w:tcW w:w="6880" w:type="dxa"/>
            <w:vAlign w:val="bottom"/>
            <w:gridSpan w:val="20"/>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r>
      <w:tr>
        <w:trPr>
          <w:trHeight w:val="196"/>
        </w:trPr>
        <w:tc>
          <w:tcPr>
            <w:tcW w:w="180" w:type="dxa"/>
            <w:vAlign w:val="bottom"/>
          </w:tcPr>
          <w:p>
            <w:pPr>
              <w:spacing w:after="0"/>
              <w:rPr>
                <w:sz w:val="17"/>
                <w:szCs w:val="17"/>
                <w:color w:val="auto"/>
              </w:rPr>
            </w:pPr>
          </w:p>
        </w:tc>
        <w:tc>
          <w:tcPr>
            <w:tcW w:w="9800" w:type="dxa"/>
            <w:vAlign w:val="bottom"/>
            <w:gridSpan w:val="26"/>
          </w:tcPr>
          <w:p>
            <w:pPr>
              <w:spacing w:after="0" w:line="196" w:lineRule="exact"/>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ITEM 19. EXHIBIT INDEX</w:t>
              </w:r>
            </w:hyperlink>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Conventions that Apply to this Annual Report on Form 20-F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annual report, unless otherwise indicated:</w:t>
      </w:r>
    </w:p>
    <w:p>
      <w:pPr>
        <w:spacing w:after="0" w:line="225" w:lineRule="exact"/>
        <w:rPr>
          <w:sz w:val="20"/>
          <w:szCs w:val="20"/>
          <w:color w:val="auto"/>
        </w:rPr>
      </w:pPr>
    </w:p>
    <w:p>
      <w:pPr>
        <w:ind w:left="660" w:right="540" w:hanging="212"/>
        <w:spacing w:after="0" w:line="282" w:lineRule="auto"/>
        <w:tabs>
          <w:tab w:leader="none" w:pos="6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our American depositary shares, each of which represents eight Class A ordinary shares and “ADRs” refers to the American depositary receipts that may evidence our ADSs;</w:t>
      </w:r>
    </w:p>
    <w:p>
      <w:pPr>
        <w:spacing w:after="0" w:line="161" w:lineRule="exact"/>
        <w:rPr>
          <w:rFonts w:ascii="Times New Roman" w:cs="Times New Roman" w:eastAsia="Times New Roman" w:hAnsi="Times New Roman"/>
          <w:sz w:val="18"/>
          <w:szCs w:val="18"/>
          <w:color w:val="auto"/>
        </w:rPr>
      </w:pPr>
    </w:p>
    <w:p>
      <w:pPr>
        <w:ind w:left="660" w:right="40" w:hanging="212"/>
        <w:spacing w:after="0" w:line="255" w:lineRule="auto"/>
        <w:tabs>
          <w:tab w:leader="none" w:pos="6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“affiliated consolidated entities” refer to Yifeng Lianhe (Beijing) Technology Co., Ltd., and Beijing Tianying Jiuzhou Network Technology Co., Ltd., each of which is a PRC domestic company. Substantially all of our operations in China are conducted by our affiliated consolidated entities, in which we do not own any equity interest, through our contractual arrangements. We operated an insignificant portion of our operations through one other PRC domestic company, Beijing Chenhuan Technology Co., Ltd., in which we do not own any equity interest, through contractual arrangements. We treat all of these three PRC domestic companies as variable interest entities and have consolidated their financial results in our financial statements in accordance with generally accepted accounting principles in the United States, or U.S. GAAP, but Beijing Chenhuan Technology Co., Ltd. does not constitute one of our “significant subsidiaries” as of the date of this annual report. As such, unless otherwise specified herein, references to “affiliated consolidated entities” in this annual report include Yifeng Lianhe and Tianying Jiuzhou only;</w:t>
      </w:r>
    </w:p>
    <w:p>
      <w:pPr>
        <w:spacing w:after="0" w:line="185" w:lineRule="exact"/>
        <w:rPr>
          <w:rFonts w:ascii="Times New Roman" w:cs="Times New Roman" w:eastAsia="Times New Roman" w:hAnsi="Times New Roman"/>
          <w:sz w:val="18"/>
          <w:szCs w:val="18"/>
          <w:color w:val="auto"/>
        </w:rPr>
      </w:pPr>
    </w:p>
    <w:p>
      <w:pPr>
        <w:ind w:left="660" w:right="440" w:hanging="212"/>
        <w:spacing w:after="0" w:line="282" w:lineRule="auto"/>
        <w:tabs>
          <w:tab w:leader="none" w:pos="6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“PRC” refers to the People’s Republic of China, excluding, for the purposes of this annual report on Form 20-F only, Taiwan, Hong Kong and Macau;</w:t>
      </w:r>
    </w:p>
    <w:p>
      <w:pPr>
        <w:spacing w:after="0" w:line="161" w:lineRule="exact"/>
        <w:rPr>
          <w:rFonts w:ascii="Times New Roman" w:cs="Times New Roman" w:eastAsia="Times New Roman" w:hAnsi="Times New Roman"/>
          <w:sz w:val="18"/>
          <w:szCs w:val="18"/>
          <w:color w:val="auto"/>
        </w:rPr>
      </w:pPr>
    </w:p>
    <w:p>
      <w:pPr>
        <w:ind w:left="680" w:hanging="232"/>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refer to our Class A ordinary shares, par value US$0.01 per share;</w:t>
      </w:r>
    </w:p>
    <w:p>
      <w:pPr>
        <w:spacing w:after="0" w:line="225" w:lineRule="exact"/>
        <w:rPr>
          <w:rFonts w:ascii="Times New Roman" w:cs="Times New Roman" w:eastAsia="Times New Roman" w:hAnsi="Times New Roman"/>
          <w:sz w:val="18"/>
          <w:szCs w:val="18"/>
          <w:color w:val="auto"/>
        </w:rPr>
      </w:pPr>
    </w:p>
    <w:p>
      <w:pPr>
        <w:ind w:left="660" w:right="520" w:hanging="212"/>
        <w:spacing w:after="0" w:line="282" w:lineRule="auto"/>
        <w:tabs>
          <w:tab w:leader="none" w:pos="6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refer to our Class B ordinary shares, par value US$0.01 per share, each of which shall be entitled to 1.3 votes on all matters subject to shareholders’ vote;</w:t>
      </w:r>
    </w:p>
    <w:p>
      <w:pPr>
        <w:spacing w:after="0" w:line="161" w:lineRule="exact"/>
        <w:rPr>
          <w:rFonts w:ascii="Times New Roman" w:cs="Times New Roman" w:eastAsia="Times New Roman" w:hAnsi="Times New Roman"/>
          <w:sz w:val="18"/>
          <w:szCs w:val="18"/>
          <w:color w:val="auto"/>
        </w:rPr>
      </w:pPr>
    </w:p>
    <w:p>
      <w:pPr>
        <w:ind w:left="680" w:hanging="232"/>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“Fenghuang On-line” refers to Fenghuang On-line (Beijing) Information Technology Co., Ltd., a wholly foreign-owned PRC entity;</w:t>
      </w:r>
    </w:p>
    <w:p>
      <w:pPr>
        <w:spacing w:after="0" w:line="225" w:lineRule="exact"/>
        <w:rPr>
          <w:rFonts w:ascii="Times New Roman" w:cs="Times New Roman" w:eastAsia="Times New Roman" w:hAnsi="Times New Roman"/>
          <w:sz w:val="18"/>
          <w:szCs w:val="18"/>
          <w:color w:val="auto"/>
        </w:rPr>
      </w:pPr>
    </w:p>
    <w:p>
      <w:pPr>
        <w:ind w:left="680" w:hanging="232"/>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refer to our Class A ordinary shares and Class B ordinary shares, collectively;</w:t>
      </w:r>
    </w:p>
    <w:p>
      <w:pPr>
        <w:spacing w:after="0" w:line="225" w:lineRule="exact"/>
        <w:rPr>
          <w:rFonts w:ascii="Times New Roman" w:cs="Times New Roman" w:eastAsia="Times New Roman" w:hAnsi="Times New Roman"/>
          <w:sz w:val="18"/>
          <w:szCs w:val="18"/>
          <w:color w:val="auto"/>
        </w:rPr>
      </w:pPr>
    </w:p>
    <w:p>
      <w:pPr>
        <w:ind w:left="680" w:hanging="232"/>
        <w:spacing w:after="0"/>
        <w:tabs>
          <w:tab w:leader="none" w:pos="6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“Phoenix TV” refers to Phoenix Satellite Television Holdings Limited;</w:t>
      </w:r>
    </w:p>
    <w:p>
      <w:pPr>
        <w:spacing w:after="0" w:line="225" w:lineRule="exact"/>
        <w:rPr>
          <w:rFonts w:ascii="Times New Roman" w:cs="Times New Roman" w:eastAsia="Times New Roman" w:hAnsi="Times New Roman"/>
          <w:sz w:val="18"/>
          <w:szCs w:val="18"/>
          <w:b w:val="1"/>
          <w:bCs w:val="1"/>
          <w:color w:val="auto"/>
        </w:rPr>
      </w:pPr>
    </w:p>
    <w:p>
      <w:pPr>
        <w:ind w:left="660" w:right="40" w:hanging="212"/>
        <w:spacing w:after="0" w:line="282" w:lineRule="auto"/>
        <w:tabs>
          <w:tab w:leader="none" w:pos="66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“Phoenix TV (BVI)” refers to Phoenix Satellite Television (B.V.I) Holding Limited, a wholly owned direct subsidiary of Phoenix TV, which directly owned 55.5% of our share capital as of March 31, 2017.</w:t>
      </w:r>
    </w:p>
    <w:p>
      <w:pPr>
        <w:spacing w:after="0" w:line="161" w:lineRule="exact"/>
        <w:rPr>
          <w:rFonts w:ascii="Times New Roman" w:cs="Times New Roman" w:eastAsia="Times New Roman" w:hAnsi="Times New Roman"/>
          <w:sz w:val="18"/>
          <w:szCs w:val="18"/>
          <w:b w:val="1"/>
          <w:bCs w:val="1"/>
          <w:color w:val="auto"/>
        </w:rPr>
      </w:pPr>
    </w:p>
    <w:p>
      <w:pPr>
        <w:ind w:left="680" w:hanging="232"/>
        <w:spacing w:after="0"/>
        <w:tabs>
          <w:tab w:leader="none" w:pos="6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“Phoenix TV Group” refers to Phoenix TV and its subsidiaries, not including our company.</w:t>
      </w:r>
    </w:p>
    <w:p>
      <w:pPr>
        <w:spacing w:after="0" w:line="225" w:lineRule="exact"/>
        <w:rPr>
          <w:rFonts w:ascii="Times New Roman" w:cs="Times New Roman" w:eastAsia="Times New Roman" w:hAnsi="Times New Roman"/>
          <w:sz w:val="18"/>
          <w:szCs w:val="18"/>
          <w:b w:val="1"/>
          <w:bCs w:val="1"/>
          <w:color w:val="auto"/>
        </w:rPr>
      </w:pPr>
    </w:p>
    <w:p>
      <w:pPr>
        <w:ind w:left="680" w:hanging="232"/>
        <w:spacing w:after="0"/>
        <w:tabs>
          <w:tab w:leader="none" w:pos="6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“PRC subsidiaries” refer to Fenghuang On-line (Beijing) Information Technology Co., Ltd., Beijing Fenghuang Yutian Software Technology</w:t>
      </w:r>
    </w:p>
    <w:p>
      <w:pPr>
        <w:spacing w:after="0" w:line="27" w:lineRule="exact"/>
        <w:rPr>
          <w:rFonts w:ascii="Times New Roman" w:cs="Times New Roman" w:eastAsia="Times New Roman" w:hAnsi="Times New Roman"/>
          <w:sz w:val="18"/>
          <w:szCs w:val="18"/>
          <w:b w:val="1"/>
          <w:bCs w:val="1"/>
          <w:color w:val="auto"/>
        </w:rPr>
      </w:pPr>
    </w:p>
    <w:p>
      <w:pPr>
        <w:ind w:left="660" w:right="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 Ltd., Fenghuang Feiyang (Beijing) New Media Information Technology Co., Ltd., Beijing Fenghuang Borui Software Technology Co., Ltd. and any other companies established in the PRC in which we hold direct or indirect certain equity interests and whose financial results are consolidated into our financial statements in accordance with U.S. GAAP; and unless otherwise specified herein, references to “PRC subsidiaries” in this annual report do not include the companies established in the PRC in which we do not hold directly or indirectly any equity interest but whose financial results are consolidated into our financial statements as variable interest entities in accordance with U.S. GAAP.</w:t>
      </w:r>
    </w:p>
    <w:p>
      <w:pPr>
        <w:spacing w:after="0" w:line="187" w:lineRule="exact"/>
        <w:rPr>
          <w:rFonts w:ascii="Times New Roman" w:cs="Times New Roman" w:eastAsia="Times New Roman" w:hAnsi="Times New Roman"/>
          <w:sz w:val="18"/>
          <w:szCs w:val="18"/>
          <w:b w:val="1"/>
          <w:bCs w:val="1"/>
          <w:color w:val="auto"/>
        </w:rPr>
      </w:pPr>
    </w:p>
    <w:p>
      <w:pPr>
        <w:ind w:left="660" w:right="520" w:hanging="212"/>
        <w:spacing w:after="0" w:line="282" w:lineRule="auto"/>
        <w:tabs>
          <w:tab w:leader="none" w:pos="66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“RMB” or “Renminbi” refers to the legal currency of China; “$”, “dollars”, “US$” and “U.S. dollars” refer to the legal currency of the United States;</w:t>
      </w:r>
    </w:p>
    <w:p>
      <w:pPr>
        <w:sectPr>
          <w:pgSz w:w="11900" w:h="16866" w:orient="portrait"/>
          <w:cols w:equalWidth="0" w:num="1">
            <w:col w:w="11420"/>
          </w:cols>
          <w:pgMar w:left="240" w:top="108" w:right="239" w:bottom="0" w:gutter="0" w:footer="0" w:header="0"/>
        </w:sectPr>
      </w:pPr>
    </w:p>
    <w:bookmarkStart w:id="3" w:name="page4"/>
    <w:bookmarkEnd w:id="3"/>
    <w:p>
      <w:pPr>
        <w:spacing w:after="0" w:line="62" w:lineRule="exact"/>
        <w:rPr>
          <w:sz w:val="20"/>
          <w:szCs w:val="20"/>
          <w:color w:val="auto"/>
        </w:rPr>
      </w:pPr>
    </w:p>
    <w:p>
      <w:pPr>
        <w:ind w:left="660" w:right="840" w:hanging="212"/>
        <w:spacing w:after="0" w:line="282" w:lineRule="auto"/>
        <w:tabs>
          <w:tab w:leader="none" w:pos="66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“Tianying Jiuzhou” refers to Beijing Tianying Jiuzhou Network Technology Co., Ltd., a PRC domestic company and one of our affiliated consolidated entities;</w:t>
      </w:r>
    </w:p>
    <w:p>
      <w:pPr>
        <w:spacing w:after="0" w:line="161" w:lineRule="exact"/>
        <w:rPr>
          <w:rFonts w:ascii="Times New Roman" w:cs="Times New Roman" w:eastAsia="Times New Roman" w:hAnsi="Times New Roman"/>
          <w:sz w:val="18"/>
          <w:szCs w:val="18"/>
          <w:b w:val="1"/>
          <w:bCs w:val="1"/>
          <w:color w:val="auto"/>
        </w:rPr>
      </w:pPr>
    </w:p>
    <w:p>
      <w:pPr>
        <w:ind w:left="660" w:right="140" w:hanging="212"/>
        <w:spacing w:after="0" w:line="282" w:lineRule="auto"/>
        <w:tabs>
          <w:tab w:leader="none" w:pos="66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“us”,”our company”, “our” and “Phoenix New Media” refer to Phoenix New Media Limited, a Cayman Islands company and its predecessor entities and subsidiaries, and, unless the context otherwise requires, our affiliated consolidated entities and their subsidiaries in China; and</w:t>
      </w:r>
    </w:p>
    <w:p>
      <w:pPr>
        <w:spacing w:after="0" w:line="161" w:lineRule="exact"/>
        <w:rPr>
          <w:rFonts w:ascii="Times New Roman" w:cs="Times New Roman" w:eastAsia="Times New Roman" w:hAnsi="Times New Roman"/>
          <w:sz w:val="18"/>
          <w:szCs w:val="18"/>
          <w:b w:val="1"/>
          <w:bCs w:val="1"/>
          <w:color w:val="auto"/>
        </w:rPr>
      </w:pPr>
    </w:p>
    <w:p>
      <w:pPr>
        <w:ind w:left="680" w:hanging="232"/>
        <w:spacing w:after="0"/>
        <w:tabs>
          <w:tab w:leader="none" w:pos="6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“Yifeng Lianhe” refers to Yifeng Lianhe (Beijing) Technology Co., Ltd., a PRC domestic company and one of our affiliated consolidated entities.</w:t>
      </w:r>
    </w:p>
    <w:p>
      <w:pPr>
        <w:spacing w:after="0" w:line="225"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This annual report contains statistical data that we obtained from various government and private publications, as well as a database issued by Shanghai iResearch Co., Ltd, a third-party PRC consulting and market research firm focused on Internet media markets. We have not independently verified the data in these reports and database. Statistical data in these publications also include projections based on a number of assumptions. If any one of the assumptions underlying the statistical data turns out to be incorrect, actual results may differ from the projections based on these assumptions.</w:t>
      </w:r>
    </w:p>
    <w:p>
      <w:pPr>
        <w:spacing w:after="0" w:line="180"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This annual report on Form 20-F includes our audited consolidated financial statements for the years ended December 31, 2014, 2015 and 2016, and as of December 31, 2015 and 2016.</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ADSs are listed on the New York Stock Exchange under the symbol “FENG.”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6840" w:type="dxa"/>
            <w:vAlign w:val="bottom"/>
          </w:tcPr>
          <w:p>
            <w:pPr>
              <w:spacing w:after="0"/>
              <w:rPr>
                <w:sz w:val="17"/>
                <w:szCs w:val="17"/>
                <w:color w:val="auto"/>
              </w:rPr>
            </w:pPr>
          </w:p>
        </w:tc>
      </w:tr>
      <w:tr>
        <w:trPr>
          <w:trHeight w:val="385"/>
        </w:trPr>
        <w:tc>
          <w:tcPr>
            <w:tcW w:w="12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20" w:type="dxa"/>
            <w:vAlign w:val="bottom"/>
          </w:tcPr>
          <w:p>
            <w:pPr>
              <w:spacing w:after="0"/>
              <w:rPr>
                <w:sz w:val="24"/>
                <w:szCs w:val="24"/>
                <w:color w:val="auto"/>
              </w:rPr>
            </w:pPr>
          </w:p>
        </w:tc>
        <w:tc>
          <w:tcPr>
            <w:tcW w:w="6840" w:type="dxa"/>
            <w:vAlign w:val="bottom"/>
          </w:tcPr>
          <w:p>
            <w:pPr>
              <w:spacing w:after="0"/>
              <w:rPr>
                <w:sz w:val="24"/>
                <w:szCs w:val="24"/>
                <w:color w:val="auto"/>
              </w:rPr>
            </w:pPr>
          </w:p>
        </w:tc>
      </w:tr>
      <w:tr>
        <w:trPr>
          <w:trHeight w:val="365"/>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84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w w:val="99"/>
              </w:rPr>
              <w:t>IDENTITY OF DIRECTORS, SENIOR MANAGEMENT AND ADVISERS</w:t>
            </w:r>
          </w:p>
        </w:tc>
      </w:tr>
      <w:tr>
        <w:trPr>
          <w:trHeight w:val="365"/>
        </w:trPr>
        <w:tc>
          <w:tcPr>
            <w:tcW w:w="1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Not required.</w:t>
            </w:r>
          </w:p>
        </w:tc>
        <w:tc>
          <w:tcPr>
            <w:tcW w:w="6840" w:type="dxa"/>
            <w:vAlign w:val="bottom"/>
          </w:tcPr>
          <w:p>
            <w:pPr>
              <w:spacing w:after="0"/>
              <w:rPr>
                <w:sz w:val="24"/>
                <w:szCs w:val="24"/>
                <w:color w:val="auto"/>
              </w:rPr>
            </w:pPr>
          </w:p>
        </w:tc>
      </w:tr>
      <w:tr>
        <w:trPr>
          <w:trHeight w:val="365"/>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84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OFFER STATISTICS AND EXPECTED TIMETABLE</w:t>
            </w:r>
          </w:p>
        </w:tc>
      </w:tr>
      <w:tr>
        <w:trPr>
          <w:trHeight w:val="365"/>
        </w:trPr>
        <w:tc>
          <w:tcPr>
            <w:tcW w:w="1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Not required.</w:t>
            </w:r>
          </w:p>
        </w:tc>
        <w:tc>
          <w:tcPr>
            <w:tcW w:w="6840" w:type="dxa"/>
            <w:vAlign w:val="bottom"/>
          </w:tcPr>
          <w:p>
            <w:pPr>
              <w:spacing w:after="0"/>
              <w:rPr>
                <w:sz w:val="24"/>
                <w:szCs w:val="24"/>
                <w:color w:val="auto"/>
              </w:rPr>
            </w:pPr>
          </w:p>
        </w:tc>
      </w:tr>
      <w:tr>
        <w:trPr>
          <w:trHeight w:val="365"/>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684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KEY INFORMATION</w:t>
            </w:r>
          </w:p>
        </w:tc>
      </w:tr>
      <w:tr>
        <w:trPr>
          <w:trHeight w:val="365"/>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68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Selected Financial Data</w:t>
            </w:r>
          </w:p>
        </w:tc>
      </w:tr>
    </w:tbl>
    <w:p>
      <w:pPr>
        <w:spacing w:after="0" w:line="130"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The selected consolidated financial data shown below should be read in conjunction with “Item 5. Operating and Financial Review and Prospects,” and the financial statements and the notes to those statements included elsewhere in this annual report on Form 20-F. The selected consolidated statements of comprehensive income data for the years ended December 31, 2014, 2015 and 2016 and the selected consolidated balance sheet data as of December 31, 2015 and 2016 have been derived from our audited consolidated financial statements, which are included elsewhere in this annual report on Form 20-F. The selected consolidated statements of comprehensive income data for the years ended December 31, 2012 and 2013 and the selected balance sheet data as of December 31, 2012, 2013 and 2014 have been derived from our audited financial statements not included in this annual report on Form 20-F. The historical results are not necessarily indicative of results to be expected in any future period.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14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20" w:type="dxa"/>
            <w:vAlign w:val="bottom"/>
          </w:tcPr>
          <w:p>
            <w:pPr>
              <w:spacing w:after="0"/>
              <w:rPr>
                <w:sz w:val="12"/>
                <w:szCs w:val="12"/>
                <w:color w:val="auto"/>
              </w:rPr>
            </w:pPr>
          </w:p>
        </w:tc>
        <w:tc>
          <w:tcPr>
            <w:tcW w:w="116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Pr>
          <w:p>
            <w:pPr>
              <w:spacing w:after="0"/>
              <w:rPr>
                <w:sz w:val="12"/>
                <w:szCs w:val="12"/>
                <w:color w:val="auto"/>
              </w:rPr>
            </w:pPr>
          </w:p>
        </w:tc>
        <w:tc>
          <w:tcPr>
            <w:tcW w:w="116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Pr>
          <w:p>
            <w:pPr>
              <w:spacing w:after="0"/>
              <w:rPr>
                <w:sz w:val="12"/>
                <w:szCs w:val="12"/>
                <w:color w:val="auto"/>
              </w:rPr>
            </w:pPr>
          </w:p>
        </w:tc>
        <w:tc>
          <w:tcPr>
            <w:tcW w:w="116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Pr>
          <w:p>
            <w:pPr>
              <w:spacing w:after="0"/>
              <w:rPr>
                <w:sz w:val="12"/>
                <w:szCs w:val="12"/>
                <w:color w:val="auto"/>
              </w:rPr>
            </w:pPr>
          </w:p>
        </w:tc>
        <w:tc>
          <w:tcPr>
            <w:tcW w:w="1600" w:type="dxa"/>
            <w:vAlign w:val="bottom"/>
            <w:tcBorders>
              <w:bottom w:val="single" w:sz="8" w:color="auto"/>
            </w:tcBorders>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1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3"/>
          </w:tcPr>
          <w:p>
            <w:pPr>
              <w:jc w:val="right"/>
              <w:ind w:right="8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90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720" w:type="dxa"/>
            <w:vAlign w:val="bottom"/>
            <w:gridSpan w:val="9"/>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number of shares and per share (or ADS) data)</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3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Consolidated Statements of</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Comprehensive Income Data</w:t>
            </w: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advertising revenues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610,160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863,737</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1,190,158</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1,226,516</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1,232,210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177,475</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Paid services revenues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500,844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560,738</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447,702</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382,680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212,697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30,635</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1,111,004</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1,424,475</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1,637,860</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1,609,196</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1,444,907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 (1)</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(631,299)</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(696,355)</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(781,632)</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(829,386)</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(726,807)</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(104,682)</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479,705</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728,120</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856,228</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779,810</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 (1) :</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(197,038)</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(273,399)</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(330,777)</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(346,133)</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(339,171)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(48,851)</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(106,736)</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(97,849)</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(137,818)</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(183,989)</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(181,677)</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(26,167)</w:t>
            </w: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Technology and product development</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(91,292)</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(108,683)</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(149,996)</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(170,714)</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(161,880)</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(23,316)</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(395,066)</w:t>
            </w:r>
          </w:p>
        </w:tc>
        <w:tc>
          <w:tcPr>
            <w:tcW w:w="22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(479,931)</w:t>
            </w:r>
          </w:p>
        </w:tc>
        <w:tc>
          <w:tcPr>
            <w:tcW w:w="22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(618,591)</w:t>
            </w:r>
          </w:p>
        </w:tc>
        <w:tc>
          <w:tcPr>
            <w:tcW w:w="22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(700,836)</w:t>
            </w:r>
          </w:p>
        </w:tc>
        <w:tc>
          <w:tcPr>
            <w:tcW w:w="20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(682,728)</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(98,334)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84,639</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248,189</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237,637</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78,974</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39,697</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67,422</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72,859</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18,928</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56,937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8,200</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124,336</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315,611</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310,496</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97,902</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(16,977)</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(37,588)</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(48,377)</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(25,517)</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(14,089)</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107,359</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278,023</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262,119</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72,385</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noncontrolling</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2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972</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2,391</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174"/>
        </w:trPr>
        <w:tc>
          <w:tcPr>
            <w:tcW w:w="334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income attributable to Phoenix New</w:t>
            </w: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Media Limited</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107,359</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279,554</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263,091</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73,584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80,611</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11,609</w:t>
            </w:r>
          </w:p>
        </w:tc>
        <w:tc>
          <w:tcPr>
            <w:tcW w:w="0" w:type="dxa"/>
            <w:vAlign w:val="bottom"/>
          </w:tcPr>
          <w:p>
            <w:pPr>
              <w:spacing w:after="0"/>
              <w:rPr>
                <w:sz w:val="1"/>
                <w:szCs w:val="1"/>
                <w:color w:val="auto"/>
              </w:rPr>
            </w:pPr>
          </w:p>
        </w:tc>
      </w:tr>
      <w:tr>
        <w:trPr>
          <w:trHeight w:val="194"/>
        </w:trPr>
        <w:tc>
          <w:tcPr>
            <w:tcW w:w="33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attributable to ordinary</w:t>
            </w: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107,359</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279,554</w:t>
            </w:r>
          </w:p>
        </w:tc>
        <w:tc>
          <w:tcPr>
            <w:tcW w:w="220" w:type="dxa"/>
            <w:vAlign w:val="bottom"/>
          </w:tcPr>
          <w:p>
            <w:pPr>
              <w:spacing w:after="0"/>
              <w:rPr>
                <w:sz w:val="16"/>
                <w:szCs w:val="16"/>
                <w:color w:val="auto"/>
              </w:rPr>
            </w:pPr>
          </w:p>
        </w:tc>
        <w:tc>
          <w:tcPr>
            <w:tcW w:w="13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263,091</w:t>
            </w:r>
          </w:p>
        </w:tc>
        <w:tc>
          <w:tcPr>
            <w:tcW w:w="13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73,584</w:t>
            </w: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80,611</w:t>
            </w:r>
          </w:p>
        </w:tc>
        <w:tc>
          <w:tcPr>
            <w:tcW w:w="240" w:type="dxa"/>
            <w:vAlign w:val="bottom"/>
          </w:tcPr>
          <w:p>
            <w:pPr>
              <w:spacing w:after="0"/>
              <w:rPr>
                <w:sz w:val="16"/>
                <w:szCs w:val="16"/>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11,609</w:t>
            </w:r>
          </w:p>
        </w:tc>
        <w:tc>
          <w:tcPr>
            <w:tcW w:w="0" w:type="dxa"/>
            <w:vAlign w:val="bottom"/>
          </w:tcPr>
          <w:p>
            <w:pPr>
              <w:spacing w:after="0"/>
              <w:rPr>
                <w:sz w:val="1"/>
                <w:szCs w:val="1"/>
                <w:color w:val="auto"/>
              </w:rPr>
            </w:pPr>
          </w:p>
        </w:tc>
      </w:tr>
      <w:tr>
        <w:trPr>
          <w:trHeight w:val="265"/>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360" w:type="dxa"/>
            <w:vAlign w:val="bottom"/>
            <w:gridSpan w:val="2"/>
            <w:vMerge w:val="continue"/>
          </w:tcPr>
          <w:p>
            <w:pPr>
              <w:spacing w:after="0"/>
              <w:rPr>
                <w:sz w:val="23"/>
                <w:szCs w:val="23"/>
                <w:color w:val="auto"/>
              </w:rPr>
            </w:pPr>
          </w:p>
        </w:tc>
        <w:tc>
          <w:tcPr>
            <w:tcW w:w="1160" w:type="dxa"/>
            <w:vAlign w:val="bottom"/>
            <w:vMerge w:val="continue"/>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gridSpan w:val="2"/>
            <w:vMerge w:val="continue"/>
          </w:tcPr>
          <w:p>
            <w:pPr>
              <w:spacing w:after="0"/>
              <w:rPr>
                <w:sz w:val="23"/>
                <w:szCs w:val="23"/>
                <w:color w:val="auto"/>
              </w:rPr>
            </w:pPr>
          </w:p>
        </w:tc>
        <w:tc>
          <w:tcPr>
            <w:tcW w:w="1360" w:type="dxa"/>
            <w:vAlign w:val="bottom"/>
            <w:gridSpan w:val="2"/>
            <w:vMerge w:val="continue"/>
          </w:tcPr>
          <w:p>
            <w:pPr>
              <w:spacing w:after="0"/>
              <w:rPr>
                <w:sz w:val="23"/>
                <w:szCs w:val="23"/>
                <w:color w:val="auto"/>
              </w:rPr>
            </w:pPr>
          </w:p>
        </w:tc>
        <w:tc>
          <w:tcPr>
            <w:tcW w:w="1360" w:type="dxa"/>
            <w:vAlign w:val="bottom"/>
            <w:gridSpan w:val="2"/>
            <w:vMerge w:val="continue"/>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33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107,359</w:t>
            </w:r>
          </w:p>
        </w:tc>
        <w:tc>
          <w:tcPr>
            <w:tcW w:w="2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278,023</w:t>
            </w:r>
          </w:p>
        </w:tc>
        <w:tc>
          <w:tcPr>
            <w:tcW w:w="2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262,119</w:t>
            </w:r>
          </w:p>
        </w:tc>
        <w:tc>
          <w:tcPr>
            <w:tcW w:w="2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72,385</w:t>
            </w:r>
          </w:p>
        </w:tc>
        <w:tc>
          <w:tcPr>
            <w:tcW w:w="2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78,220</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11,265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 net of tax:</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remeasurement for available-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for-sale investments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40,283</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15,869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247,336</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35,624</w:t>
            </w:r>
          </w:p>
        </w:tc>
        <w:tc>
          <w:tcPr>
            <w:tcW w:w="0" w:type="dxa"/>
            <w:vAlign w:val="bottom"/>
          </w:tcPr>
          <w:p>
            <w:pPr>
              <w:spacing w:after="0"/>
              <w:rPr>
                <w:sz w:val="1"/>
                <w:szCs w:val="1"/>
                <w:color w:val="auto"/>
              </w:rPr>
            </w:pPr>
          </w:p>
        </w:tc>
      </w:tr>
      <w:tr>
        <w:trPr>
          <w:trHeight w:val="151"/>
        </w:trPr>
        <w:tc>
          <w:tcPr>
            <w:tcW w:w="3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37"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(loss)/income, net of</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(1,979)</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(23,179)</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4,503</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22,813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27,669</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foreign currency translation</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1140" w:type="dxa"/>
            <w:vAlign w:val="bottom"/>
            <w:tcBorders>
              <w:bottom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105,380</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254,844</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306,905</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111,067</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Comprehensive loss attributable to</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2,391</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Comprehensive income attributable to</w:t>
            </w: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340" w:type="dxa"/>
            <w:vAlign w:val="bottom"/>
            <w:gridSpan w:val="3"/>
            <w:vMerge w:val="continue"/>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105,380</w:t>
            </w:r>
          </w:p>
        </w:tc>
        <w:tc>
          <w:tcPr>
            <w:tcW w:w="220" w:type="dxa"/>
            <w:vAlign w:val="bottom"/>
            <w:vMerge w:val="restart"/>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256,375</w:t>
            </w:r>
          </w:p>
        </w:tc>
        <w:tc>
          <w:tcPr>
            <w:tcW w:w="2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307,877</w:t>
            </w:r>
          </w:p>
        </w:tc>
        <w:tc>
          <w:tcPr>
            <w:tcW w:w="220" w:type="dxa"/>
            <w:vAlign w:val="bottom"/>
            <w:vMerge w:val="restart"/>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112,266</w:t>
            </w:r>
          </w:p>
        </w:tc>
        <w:tc>
          <w:tcPr>
            <w:tcW w:w="200" w:type="dxa"/>
            <w:vAlign w:val="bottom"/>
            <w:vMerge w:val="restart"/>
          </w:tcPr>
          <w:p>
            <w:pPr>
              <w:spacing w:after="0"/>
              <w:rPr>
                <w:sz w:val="15"/>
                <w:szCs w:val="15"/>
                <w:color w:val="auto"/>
              </w:rPr>
            </w:pP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355,616</w:t>
            </w:r>
          </w:p>
        </w:tc>
        <w:tc>
          <w:tcPr>
            <w:tcW w:w="140" w:type="dxa"/>
            <w:vAlign w:val="bottom"/>
          </w:tcPr>
          <w:p>
            <w:pPr>
              <w:spacing w:after="0"/>
              <w:rPr>
                <w:sz w:val="15"/>
                <w:szCs w:val="15"/>
                <w:color w:val="auto"/>
              </w:rPr>
            </w:pPr>
          </w:p>
        </w:tc>
        <w:tc>
          <w:tcPr>
            <w:tcW w:w="11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51,218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3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Phoenix New Media Limited</w:t>
            </w:r>
          </w:p>
        </w:tc>
        <w:tc>
          <w:tcPr>
            <w:tcW w:w="1140" w:type="dxa"/>
            <w:vAlign w:val="bottom"/>
            <w:vMerge w:val="continue"/>
          </w:tcPr>
          <w:p>
            <w:pPr>
              <w:spacing w:after="0"/>
              <w:rPr>
                <w:sz w:val="23"/>
                <w:szCs w:val="23"/>
                <w:color w:val="auto"/>
              </w:rPr>
            </w:pPr>
          </w:p>
        </w:tc>
        <w:tc>
          <w:tcPr>
            <w:tcW w:w="220" w:type="dxa"/>
            <w:vAlign w:val="bottom"/>
            <w:vMerge w:val="continue"/>
          </w:tcPr>
          <w:p>
            <w:pPr>
              <w:spacing w:after="0"/>
              <w:rPr>
                <w:sz w:val="23"/>
                <w:szCs w:val="23"/>
                <w:color w:val="auto"/>
              </w:rPr>
            </w:pPr>
          </w:p>
        </w:tc>
        <w:tc>
          <w:tcPr>
            <w:tcW w:w="1160" w:type="dxa"/>
            <w:vAlign w:val="bottom"/>
            <w:vMerge w:val="continue"/>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vMerge w:val="continue"/>
          </w:tcPr>
          <w:p>
            <w:pPr>
              <w:spacing w:after="0"/>
              <w:rPr>
                <w:sz w:val="23"/>
                <w:szCs w:val="23"/>
                <w:color w:val="auto"/>
              </w:rPr>
            </w:pPr>
          </w:p>
        </w:tc>
        <w:tc>
          <w:tcPr>
            <w:tcW w:w="220" w:type="dxa"/>
            <w:vAlign w:val="bottom"/>
            <w:vMerge w:val="continue"/>
          </w:tcPr>
          <w:p>
            <w:pPr>
              <w:spacing w:after="0"/>
              <w:rPr>
                <w:sz w:val="23"/>
                <w:szCs w:val="23"/>
                <w:color w:val="auto"/>
              </w:rPr>
            </w:pPr>
          </w:p>
        </w:tc>
        <w:tc>
          <w:tcPr>
            <w:tcW w:w="1160" w:type="dxa"/>
            <w:vAlign w:val="bottom"/>
            <w:vMerge w:val="continue"/>
          </w:tcPr>
          <w:p>
            <w:pPr>
              <w:spacing w:after="0"/>
              <w:rPr>
                <w:sz w:val="23"/>
                <w:szCs w:val="23"/>
                <w:color w:val="auto"/>
              </w:rPr>
            </w:pPr>
          </w:p>
        </w:tc>
        <w:tc>
          <w:tcPr>
            <w:tcW w:w="200" w:type="dxa"/>
            <w:vAlign w:val="bottom"/>
            <w:vMerge w:val="continue"/>
          </w:tcPr>
          <w:p>
            <w:pPr>
              <w:spacing w:after="0"/>
              <w:rPr>
                <w:sz w:val="23"/>
                <w:szCs w:val="23"/>
                <w:color w:val="auto"/>
              </w:rPr>
            </w:pPr>
          </w:p>
        </w:tc>
        <w:tc>
          <w:tcPr>
            <w:tcW w:w="1360" w:type="dxa"/>
            <w:vAlign w:val="bottom"/>
            <w:gridSpan w:val="2"/>
            <w:vMerge w:val="continue"/>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vMerge w:val="continue"/>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7"/>
        </w:trPr>
        <w:tc>
          <w:tcPr>
            <w:tcW w:w="3340" w:type="dxa"/>
            <w:vAlign w:val="bottom"/>
            <w:tcBorders>
              <w:top w:val="single" w:sz="8" w:color="CCEEFF"/>
            </w:tcBorders>
            <w:gridSpan w:val="3"/>
            <w:shd w:val="clear" w:color="auto" w:fill="CCEEFF"/>
          </w:tcPr>
          <w:p>
            <w:pPr>
              <w:spacing w:after="0" w:line="147" w:lineRule="exact"/>
              <w:rPr>
                <w:sz w:val="20"/>
                <w:szCs w:val="20"/>
                <w:color w:val="auto"/>
              </w:rPr>
            </w:pPr>
            <w:r>
              <w:rPr>
                <w:rFonts w:ascii="Times New Roman" w:cs="Times New Roman" w:eastAsia="Times New Roman" w:hAnsi="Times New Roman"/>
                <w:sz w:val="17"/>
                <w:szCs w:val="17"/>
                <w:b w:val="1"/>
                <w:bCs w:val="1"/>
                <w:color w:val="auto"/>
              </w:rPr>
              <w:t>Net income attributable to ordinary</w:t>
            </w:r>
          </w:p>
        </w:tc>
        <w:tc>
          <w:tcPr>
            <w:tcW w:w="11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33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107,359</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279,554</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263,091</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73,584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80,611</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11,609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Net income per Class A and Class B</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ordinary share:</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0.17</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0.46</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0.44</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0.17</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0.45</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0.43</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per ADS (1 ADS represents 8</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ordinary shares):</w:t>
            </w: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3.69</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3.59</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Class A and</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Class B ordinary shares used in</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computing net income per share:</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624,010,270</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605,988,397</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597,616,623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571,247,723</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573,521,536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573,521,536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643,748,146</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622,420,459</w:t>
            </w:r>
          </w:p>
        </w:tc>
        <w:tc>
          <w:tcPr>
            <w:tcW w:w="2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614,620,110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580,785,256</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577,037,906</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577,037,906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280" w:type="dxa"/>
            <w:vAlign w:val="bottom"/>
            <w:tcBorders>
              <w:bottom w:val="single" w:sz="8" w:color="808080"/>
            </w:tcBorders>
          </w:tcPr>
          <w:p>
            <w:pPr>
              <w:spacing w:after="0"/>
              <w:rPr>
                <w:sz w:val="20"/>
                <w:szCs w:val="20"/>
                <w:color w:val="auto"/>
              </w:rPr>
            </w:pPr>
          </w:p>
        </w:tc>
        <w:tc>
          <w:tcPr>
            <w:tcW w:w="1600" w:type="dxa"/>
            <w:vAlign w:val="bottom"/>
            <w:tcBorders>
              <w:bottom w:val="single" w:sz="8" w:color="808080"/>
            </w:tcBorders>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 Includes share-based compensation as follows: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gridSpan w:val="2"/>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340" w:type="dxa"/>
            <w:vAlign w:val="bottom"/>
            <w:gridSpan w:val="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80" w:type="dxa"/>
            <w:vAlign w:val="bottom"/>
            <w:tcBorders>
              <w:top w:val="single" w:sz="8" w:color="0000EE"/>
            </w:tcBorders>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20" w:type="dxa"/>
            <w:vAlign w:val="bottom"/>
          </w:tcPr>
          <w:p>
            <w:pPr>
              <w:spacing w:after="0"/>
              <w:rPr>
                <w:sz w:val="12"/>
                <w:szCs w:val="12"/>
                <w:color w:val="auto"/>
              </w:rPr>
            </w:pPr>
          </w:p>
        </w:tc>
        <w:tc>
          <w:tcPr>
            <w:tcW w:w="116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Pr>
          <w:p>
            <w:pPr>
              <w:spacing w:after="0"/>
              <w:rPr>
                <w:sz w:val="12"/>
                <w:szCs w:val="12"/>
                <w:color w:val="auto"/>
              </w:rPr>
            </w:pPr>
          </w:p>
        </w:tc>
        <w:tc>
          <w:tcPr>
            <w:tcW w:w="116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Pr>
          <w:p>
            <w:pPr>
              <w:spacing w:after="0"/>
              <w:rPr>
                <w:sz w:val="12"/>
                <w:szCs w:val="12"/>
                <w:color w:val="auto"/>
              </w:rPr>
            </w:pPr>
          </w:p>
        </w:tc>
        <w:tc>
          <w:tcPr>
            <w:tcW w:w="116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Pr>
          <w:p>
            <w:pPr>
              <w:spacing w:after="0"/>
              <w:rPr>
                <w:sz w:val="12"/>
                <w:szCs w:val="12"/>
                <w:color w:val="auto"/>
              </w:rPr>
            </w:pPr>
          </w:p>
        </w:tc>
        <w:tc>
          <w:tcPr>
            <w:tcW w:w="1500" w:type="dxa"/>
            <w:vAlign w:val="bottom"/>
            <w:tcBorders>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jc w:val="right"/>
              <w:ind w:right="7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40" w:type="dxa"/>
            <w:vAlign w:val="bottom"/>
            <w:gridSpan w:val="4"/>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share-based compensation:</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Cost of revenues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7,293</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16,295</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6,335</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(4,367)</w:t>
            </w: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10,200</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3,043</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(2,842)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20,927</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21,836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11,025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40" w:type="dxa"/>
            <w:vAlign w:val="bottom"/>
            <w:gridSpan w:val="3"/>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Technology and product development</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expenses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5,759</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3,140</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(1,926)</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340" w:type="dxa"/>
            <w:vAlign w:val="bottom"/>
            <w:gridSpan w:val="3"/>
          </w:tcPr>
          <w:p>
            <w:pPr>
              <w:spacing w:after="0" w:line="178" w:lineRule="exact"/>
              <w:rPr>
                <w:sz w:val="20"/>
                <w:szCs w:val="20"/>
                <w:color w:val="auto"/>
              </w:rPr>
            </w:pPr>
            <w:r>
              <w:rPr>
                <w:rFonts w:ascii="Times New Roman" w:cs="Times New Roman" w:eastAsia="Times New Roman" w:hAnsi="Times New Roman"/>
                <w:sz w:val="18"/>
                <w:szCs w:val="18"/>
                <w:color w:val="auto"/>
              </w:rPr>
              <w:t>Total share-based compensation included</w:t>
            </w:r>
          </w:p>
        </w:tc>
        <w:tc>
          <w:tcPr>
            <w:tcW w:w="1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 cost of revenues and operating</w:t>
            </w: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6,759</w:t>
            </w:r>
          </w:p>
        </w:tc>
        <w:tc>
          <w:tcPr>
            <w:tcW w:w="13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16,723</w:t>
            </w:r>
          </w:p>
        </w:tc>
        <w:tc>
          <w:tcPr>
            <w:tcW w:w="13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53,181</w:t>
            </w:r>
          </w:p>
        </w:tc>
        <w:tc>
          <w:tcPr>
            <w:tcW w:w="13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34,354</w:t>
            </w: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1,890</w:t>
            </w:r>
          </w:p>
        </w:tc>
        <w:tc>
          <w:tcPr>
            <w:tcW w:w="140" w:type="dxa"/>
            <w:vAlign w:val="bottom"/>
          </w:tcPr>
          <w:p>
            <w:pPr>
              <w:spacing w:after="0"/>
              <w:rPr>
                <w:sz w:val="18"/>
                <w:szCs w:val="18"/>
                <w:color w:val="auto"/>
              </w:rPr>
            </w:pPr>
          </w:p>
        </w:tc>
        <w:tc>
          <w:tcPr>
            <w:tcW w:w="11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360" w:type="dxa"/>
            <w:vAlign w:val="bottom"/>
            <w:gridSpan w:val="2"/>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-2550795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-2550795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0" w:right="199" w:bottom="0" w:gutter="0" w:footer="0" w:header="0"/>
        </w:sectPr>
      </w:pPr>
    </w:p>
    <w:p>
      <w:pPr>
        <w:spacing w:after="0" w:line="33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4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Consolidated Balance Sheet Data </w:t>
      </w:r>
      <w:r>
        <w:rPr>
          <w:rFonts w:ascii="Times New Roman" w:cs="Times New Roman" w:eastAsia="Times New Roman" w:hAnsi="Times New Roman"/>
          <w:sz w:val="18"/>
          <w:szCs w:val="18"/>
          <w:color w:val="auto"/>
        </w:rPr>
        <w:t>Cash and cash equivalents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Term deposits and short term investments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shareholders’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gross profit (2)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income from operations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adjusted net income</w:t>
      </w:r>
    </w:p>
    <w:p>
      <w:pPr>
        <w:spacing w:after="0" w:line="9" w:lineRule="exact"/>
        <w:rPr>
          <w:sz w:val="20"/>
          <w:szCs w:val="20"/>
          <w:color w:val="auto"/>
        </w:rPr>
      </w:pPr>
    </w:p>
    <w:p>
      <w:pPr>
        <w:ind w:left="180" w:right="280"/>
        <w:spacing w:after="0" w:line="261" w:lineRule="auto"/>
        <w:rPr>
          <w:sz w:val="20"/>
          <w:szCs w:val="20"/>
          <w:color w:val="auto"/>
        </w:rPr>
      </w:pPr>
      <w:r>
        <w:rPr>
          <w:rFonts w:ascii="Times New Roman" w:cs="Times New Roman" w:eastAsia="Times New Roman" w:hAnsi="Times New Roman"/>
          <w:sz w:val="18"/>
          <w:szCs w:val="18"/>
          <w:color w:val="auto"/>
        </w:rPr>
        <w:t>attributable to Phoenix New Media Limited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1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ind w:right="27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200" w:type="dxa"/>
            <w:vAlign w:val="bottom"/>
            <w:tcBorders>
              <w:top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90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1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77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90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r>
      <w:tr>
        <w:trPr>
          <w:trHeight w:val="184"/>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gridSpan w:val="3"/>
          </w:tcPr>
          <w:p>
            <w:pPr>
              <w:jc w:val="center"/>
              <w:ind w:left="65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72"/>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916,169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845,138</w:t>
            </w:r>
          </w:p>
        </w:tc>
        <w:tc>
          <w:tcPr>
            <w:tcW w:w="22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1,285,847</w:t>
            </w:r>
          </w:p>
        </w:tc>
        <w:tc>
          <w:tcPr>
            <w:tcW w:w="36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310,669</w:t>
            </w:r>
          </w:p>
        </w:tc>
        <w:tc>
          <w:tcPr>
            <w:tcW w:w="160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202,694</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29,194</w:t>
            </w:r>
          </w:p>
        </w:tc>
      </w:tr>
      <w:tr>
        <w:trPr>
          <w:trHeight w:val="216"/>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235,000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556,672</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40,000</w:t>
            </w:r>
          </w:p>
        </w:tc>
        <w:tc>
          <w:tcPr>
            <w:tcW w:w="3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769,681</w:t>
            </w:r>
          </w:p>
        </w:tc>
        <w:tc>
          <w:tcPr>
            <w:tcW w:w="160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781,298</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112,530</w:t>
            </w:r>
          </w:p>
        </w:tc>
      </w:tr>
      <w:tr>
        <w:trPr>
          <w:trHeight w:val="216"/>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280,987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353,379</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493,569</w:t>
            </w:r>
          </w:p>
        </w:tc>
        <w:tc>
          <w:tcPr>
            <w:tcW w:w="3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506,351</w:t>
            </w:r>
          </w:p>
        </w:tc>
        <w:tc>
          <w:tcPr>
            <w:tcW w:w="160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405,033</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58,337</w:t>
            </w:r>
          </w:p>
        </w:tc>
      </w:tr>
      <w:tr>
        <w:trPr>
          <w:trHeight w:val="216"/>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1,556,028</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1,941,037</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2,062,908</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1,930,915</w:t>
            </w:r>
          </w:p>
        </w:tc>
        <w:tc>
          <w:tcPr>
            <w:tcW w:w="200" w:type="dxa"/>
            <w:vAlign w:val="bottom"/>
          </w:tcPr>
          <w:p>
            <w:pPr>
              <w:spacing w:after="0"/>
              <w:rPr>
                <w:sz w:val="18"/>
                <w:szCs w:val="18"/>
                <w:color w:val="auto"/>
              </w:rPr>
            </w:pPr>
          </w:p>
        </w:tc>
        <w:tc>
          <w:tcPr>
            <w:tcW w:w="160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2,122,692</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305,731</w:t>
            </w:r>
          </w:p>
        </w:tc>
      </w:tr>
      <w:tr>
        <w:trPr>
          <w:trHeight w:val="216"/>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1,681,167</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2,056,760</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2,326,830</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2,567,206</w:t>
            </w:r>
          </w:p>
        </w:tc>
        <w:tc>
          <w:tcPr>
            <w:tcW w:w="200" w:type="dxa"/>
            <w:vAlign w:val="bottom"/>
          </w:tcPr>
          <w:p>
            <w:pPr>
              <w:spacing w:after="0"/>
              <w:rPr>
                <w:sz w:val="18"/>
                <w:szCs w:val="18"/>
                <w:color w:val="auto"/>
              </w:rPr>
            </w:pPr>
          </w:p>
        </w:tc>
        <w:tc>
          <w:tcPr>
            <w:tcW w:w="160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3,168,542</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456,365</w:t>
            </w:r>
          </w:p>
        </w:tc>
      </w:tr>
      <w:tr>
        <w:trPr>
          <w:trHeight w:val="216"/>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306,831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469,494</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591,993</w:t>
            </w:r>
          </w:p>
        </w:tc>
        <w:tc>
          <w:tcPr>
            <w:tcW w:w="3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742,840</w:t>
            </w:r>
          </w:p>
        </w:tc>
        <w:tc>
          <w:tcPr>
            <w:tcW w:w="160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983,079</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141,592</w:t>
            </w:r>
          </w:p>
        </w:tc>
      </w:tr>
      <w:tr>
        <w:trPr>
          <w:trHeight w:val="216"/>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314,827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481,725</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610,172</w:t>
            </w:r>
          </w:p>
        </w:tc>
        <w:tc>
          <w:tcPr>
            <w:tcW w:w="3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762,520</w:t>
            </w:r>
          </w:p>
        </w:tc>
        <w:tc>
          <w:tcPr>
            <w:tcW w:w="160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1,006,114</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144,910</w:t>
            </w:r>
          </w:p>
        </w:tc>
      </w:tr>
      <w:tr>
        <w:trPr>
          <w:trHeight w:val="234"/>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1,366,340</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1,575,035</w:t>
            </w:r>
          </w:p>
        </w:tc>
        <w:tc>
          <w:tcPr>
            <w:tcW w:w="2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1,716,658</w:t>
            </w: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1,804,686</w:t>
            </w:r>
          </w:p>
        </w:tc>
        <w:tc>
          <w:tcPr>
            <w:tcW w:w="200" w:type="dxa"/>
            <w:vAlign w:val="bottom"/>
          </w:tcPr>
          <w:p>
            <w:pPr>
              <w:spacing w:after="0"/>
              <w:rPr>
                <w:sz w:val="20"/>
                <w:szCs w:val="20"/>
                <w:color w:val="auto"/>
              </w:rPr>
            </w:pPr>
          </w:p>
        </w:tc>
        <w:tc>
          <w:tcPr>
            <w:tcW w:w="160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2,162,428</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311,455</w:t>
            </w:r>
          </w:p>
        </w:tc>
      </w:tr>
      <w:tr>
        <w:trPr>
          <w:trHeight w:val="365"/>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11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22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22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27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200" w:type="dxa"/>
            <w:vAlign w:val="bottom"/>
          </w:tcPr>
          <w:p>
            <w:pPr>
              <w:spacing w:after="0"/>
              <w:rPr>
                <w:sz w:val="12"/>
                <w:szCs w:val="12"/>
                <w:color w:val="auto"/>
              </w:rPr>
            </w:pPr>
          </w:p>
        </w:tc>
        <w:tc>
          <w:tcPr>
            <w:tcW w:w="160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9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1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77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90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r>
      <w:tr>
        <w:trPr>
          <w:trHeight w:val="124"/>
        </w:trPr>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40" w:type="dxa"/>
            <w:vAlign w:val="bottom"/>
            <w:gridSpan w:val="3"/>
          </w:tcPr>
          <w:p>
            <w:pPr>
              <w:jc w:val="center"/>
              <w:ind w:left="657"/>
              <w:spacing w:after="0" w:line="124"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6"/>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480,663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735,413</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872,523</w:t>
            </w:r>
          </w:p>
        </w:tc>
        <w:tc>
          <w:tcPr>
            <w:tcW w:w="3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786,145</w:t>
            </w:r>
          </w:p>
        </w:tc>
        <w:tc>
          <w:tcPr>
            <w:tcW w:w="160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713,733</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102,799</w:t>
            </w:r>
          </w:p>
        </w:tc>
      </w:tr>
      <w:tr>
        <w:trPr>
          <w:trHeight w:val="234"/>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91,398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264,912</w:t>
            </w:r>
          </w:p>
        </w:tc>
        <w:tc>
          <w:tcPr>
            <w:tcW w:w="2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290,818</w:t>
            </w:r>
          </w:p>
        </w:tc>
        <w:tc>
          <w:tcPr>
            <w:tcW w:w="3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113,328</w:t>
            </w:r>
          </w:p>
        </w:tc>
        <w:tc>
          <w:tcPr>
            <w:tcW w:w="160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37,262</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5,367</w:t>
            </w:r>
          </w:p>
        </w:tc>
      </w:tr>
      <w:tr>
        <w:trPr>
          <w:trHeight w:val="648"/>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114,118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296,277</w:t>
            </w:r>
          </w:p>
        </w:tc>
        <w:tc>
          <w:tcPr>
            <w:tcW w:w="22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305,150</w:t>
            </w:r>
          </w:p>
        </w:tc>
        <w:tc>
          <w:tcPr>
            <w:tcW w:w="36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145,156</w:t>
            </w:r>
          </w:p>
        </w:tc>
        <w:tc>
          <w:tcPr>
            <w:tcW w:w="160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84,277</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-2460625</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-2186305</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-1911985</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-1637030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-1362710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-685165</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-410845</wp:posOffset>
            </wp:positionV>
            <wp:extent cx="7246620" cy="411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3000" w:space="340"/>
            <w:col w:w="8120"/>
          </w:cols>
          <w:pgMar w:left="240" w:top="130" w:right="199" w:bottom="0" w:gutter="0" w:footer="0" w:header="0"/>
          <w:type w:val="continuous"/>
        </w:sect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Notes:</w:t>
      </w:r>
    </w:p>
    <w:p>
      <w:pPr>
        <w:sectPr>
          <w:pgSz w:w="11900" w:h="16838" w:orient="portrait"/>
          <w:cols w:equalWidth="0" w:num="1">
            <w:col w:w="11460"/>
          </w:cols>
          <w:pgMar w:left="240" w:top="130" w:right="199" w:bottom="0" w:gutter="0" w:footer="0" w:header="0"/>
          <w:type w:val="continuous"/>
        </w:sectPr>
      </w:pPr>
    </w:p>
    <w:bookmarkStart w:id="5" w:name="page6"/>
    <w:bookmarkEnd w:id="5"/>
    <w:p>
      <w:pPr>
        <w:spacing w:after="0" w:line="62" w:lineRule="exact"/>
        <w:rPr>
          <w:sz w:val="20"/>
          <w:szCs w:val="20"/>
          <w:color w:val="auto"/>
        </w:rPr>
      </w:pPr>
    </w:p>
    <w:p>
      <w:pPr>
        <w:ind w:right="700" w:firstLine="49"/>
        <w:spacing w:after="0" w:line="282" w:lineRule="auto"/>
        <w:tabs>
          <w:tab w:leader="none" w:pos="34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gross profit and non-GAAP income from operations are both non-GAAP financial measures. Non-GAAP gross profit is gross profit excluding share-based compensation. Non-GAAP income from operations is income from operations excluding share-based compensation.</w:t>
      </w:r>
    </w:p>
    <w:p>
      <w:pPr>
        <w:spacing w:after="0" w:line="161" w:lineRule="exact"/>
        <w:rPr>
          <w:rFonts w:ascii="Times New Roman" w:cs="Times New Roman" w:eastAsia="Times New Roman" w:hAnsi="Times New Roman"/>
          <w:sz w:val="18"/>
          <w:szCs w:val="18"/>
          <w:color w:val="auto"/>
        </w:rPr>
      </w:pPr>
    </w:p>
    <w:p>
      <w:pPr>
        <w:ind w:right="620" w:firstLine="49"/>
        <w:spacing w:after="0" w:line="266" w:lineRule="auto"/>
        <w:tabs>
          <w:tab w:leader="none" w:pos="34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non-GAAP adjusted net income attributable to Phoenix New Media Limited as net income attributable to Phoenix New Media Limited excluding share-based compensation, loss from equity investments including impairments, gain on disposal of subsidiaries and acquisition of equity investments, and gain on disposal of an equity investment and acquisition of available-for-sale investments.</w:t>
      </w:r>
    </w:p>
    <w:p>
      <w:pPr>
        <w:spacing w:after="0" w:line="176" w:lineRule="exact"/>
        <w:rPr>
          <w:sz w:val="20"/>
          <w:szCs w:val="20"/>
          <w:color w:val="auto"/>
        </w:rPr>
      </w:pPr>
    </w:p>
    <w:p>
      <w:pPr>
        <w:ind w:right="40" w:firstLine="450"/>
        <w:spacing w:after="0" w:line="252" w:lineRule="auto"/>
        <w:rPr>
          <w:sz w:val="20"/>
          <w:szCs w:val="20"/>
          <w:color w:val="auto"/>
        </w:rPr>
      </w:pPr>
      <w:r>
        <w:rPr>
          <w:rFonts w:ascii="Times New Roman" w:cs="Times New Roman" w:eastAsia="Times New Roman" w:hAnsi="Times New Roman"/>
          <w:sz w:val="18"/>
          <w:szCs w:val="18"/>
          <w:color w:val="auto"/>
        </w:rPr>
        <w:t>We believe the separate analysis and exclusion of the following non-GAAP to GAAP reconciling items add clarity to the constituent parts of our performances. We review non-GAAP gross profit, non-GAAP income from operations and non-GAAP adjusted net income attributable to Phoenix New Media Limited together with gross profit, income from operations and net income attributable to Phoenix New Media Limited to obtain a better understanding of our operating performance. We use these non-GAAP financial measures for planning and forecasting and measuring results against the forecast. Using these non-GAAP financial measures to evaluate our business allows us and our investors to assess our relative performance against our competitors and ultimately monitor our capacity to generate returns for our investors. We also believe it is useful supplemental information for investors and analysts to assess our operating performance without the effect of items like share-based compensation, loss from equity investments including impairments, which have been and will continue to be significant recurring items, and without the effect of gain on disposal of subsidiaries and acquisition of equity investments, and gain on disposal of an equity investment and acquisition of available-for-sale investments, which have been significant and one-time items. However, the use of non-GAAP gross profit, non-GAAP income from operations and non-GAAP adjusted net income attributable to Phoenix New Media Limited has material limitations as an analytical tool. One of the limitations of using non-GAAP gross profit, non-GAAP income from operations and non-GAAP adjusted net income attributable to Phoenix New Media Limited is that they do not include all items that impact our gross profit, income from operations and net income attributable to Phoenix New Media Limited for the period. In addition, because non-GAAP gross profit, non-GAAP income from operations and non-GAAP adjusted net income attributable to Phoenix New Media Limited are not calculated in the same manner by all companies, they may not be comparable to other similar titled measures used by other companies. In light of the foregoing limitations, you should not consider non-GAAP gross profit, non-GAAP income from operations and non-GAAP adjusted net income attributable to Phoenix New Media Limited in isolation from or as an alternative to gross profit, income from operations and net income attributable to Phoenix New Media Limited prepared in accordance with U.S. GAAP.</w:t>
      </w:r>
    </w:p>
    <w:p>
      <w:pPr>
        <w:spacing w:after="0" w:line="1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Non-GAAP to GAAP reconciling items have no income tax effect.</w:t>
      </w:r>
    </w:p>
    <w:p>
      <w:pPr>
        <w:spacing w:after="0" w:line="225" w:lineRule="exact"/>
        <w:rPr>
          <w:sz w:val="20"/>
          <w:szCs w:val="20"/>
          <w:color w:val="auto"/>
        </w:rPr>
      </w:pPr>
    </w:p>
    <w:p>
      <w:pPr>
        <w:ind w:right="200" w:firstLine="450"/>
        <w:spacing w:after="0" w:line="282" w:lineRule="auto"/>
        <w:rPr>
          <w:sz w:val="20"/>
          <w:szCs w:val="20"/>
          <w:color w:val="auto"/>
        </w:rPr>
      </w:pPr>
      <w:r>
        <w:rPr>
          <w:rFonts w:ascii="Times New Roman" w:cs="Times New Roman" w:eastAsia="Times New Roman" w:hAnsi="Times New Roman"/>
          <w:sz w:val="18"/>
          <w:szCs w:val="18"/>
          <w:color w:val="auto"/>
        </w:rPr>
        <w:t>Our non-GAAP gross profit, non-GAAP income from operations and non-GAAP adjusted net income attributable to Phoenix New Media Limited are calculated as follows for the years presented: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4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20" w:type="dxa"/>
            <w:vAlign w:val="bottom"/>
          </w:tcPr>
          <w:p>
            <w:pPr>
              <w:spacing w:after="0"/>
              <w:rPr>
                <w:sz w:val="12"/>
                <w:szCs w:val="12"/>
                <w:color w:val="auto"/>
              </w:rPr>
            </w:pPr>
          </w:p>
        </w:tc>
        <w:tc>
          <w:tcPr>
            <w:tcW w:w="116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Pr>
          <w:p>
            <w:pPr>
              <w:spacing w:after="0"/>
              <w:rPr>
                <w:sz w:val="12"/>
                <w:szCs w:val="12"/>
                <w:color w:val="auto"/>
              </w:rPr>
            </w:pPr>
          </w:p>
        </w:tc>
        <w:tc>
          <w:tcPr>
            <w:tcW w:w="116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Pr>
          <w:p>
            <w:pPr>
              <w:spacing w:after="0"/>
              <w:rPr>
                <w:sz w:val="12"/>
                <w:szCs w:val="12"/>
                <w:color w:val="auto"/>
              </w:rPr>
            </w:pPr>
          </w:p>
        </w:tc>
        <w:tc>
          <w:tcPr>
            <w:tcW w:w="1600" w:type="dxa"/>
            <w:vAlign w:val="bottom"/>
            <w:tcBorders>
              <w:bottom w:val="single" w:sz="8" w:color="auto"/>
            </w:tcBorders>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4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3"/>
          </w:tcPr>
          <w:p>
            <w:pPr>
              <w:jc w:val="right"/>
              <w:ind w:right="8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90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3"/>
          </w:tcPr>
          <w:p>
            <w:pPr>
              <w:jc w:val="center"/>
              <w:ind w:left="65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479,705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728,120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856,228</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779,810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718,100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103,428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Excluding:</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958</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7,293</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16,295</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6,335</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(4,367)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480,663</w:t>
            </w:r>
          </w:p>
        </w:tc>
        <w:tc>
          <w:tcPr>
            <w:tcW w:w="220" w:type="dxa"/>
            <w:vAlign w:val="bottom"/>
            <w:tcBorders>
              <w:bottom w:val="single" w:sz="8" w:color="CCEEFF"/>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735,413</w:t>
            </w:r>
          </w:p>
        </w:tc>
        <w:tc>
          <w:tcPr>
            <w:tcW w:w="220" w:type="dxa"/>
            <w:vAlign w:val="bottom"/>
            <w:tcBorders>
              <w:bottom w:val="single" w:sz="8" w:color="CCEEFF"/>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872,523</w:t>
            </w:r>
          </w:p>
        </w:tc>
        <w:tc>
          <w:tcPr>
            <w:tcW w:w="2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786,145</w:t>
            </w:r>
          </w:p>
        </w:tc>
        <w:tc>
          <w:tcPr>
            <w:tcW w:w="20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713,733</w:t>
            </w:r>
          </w:p>
        </w:tc>
        <w:tc>
          <w:tcPr>
            <w:tcW w:w="2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102,799</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84,639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248,189</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237,637</w:t>
            </w:r>
          </w:p>
        </w:tc>
        <w:tc>
          <w:tcPr>
            <w:tcW w:w="3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78,974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35,372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Excluding:</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6,759</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16,723</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53,181</w:t>
            </w:r>
          </w:p>
        </w:tc>
        <w:tc>
          <w:tcPr>
            <w:tcW w:w="3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34,354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income from operations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91,398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264,912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290,818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113,328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Phoenix New</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Media Limited</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107,359</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279,554</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263,091</w:t>
            </w:r>
          </w:p>
        </w:tc>
        <w:tc>
          <w:tcPr>
            <w:tcW w:w="3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73,584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80,611</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11,609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Excluding:</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6,759</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16,723</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53,181</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34,354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from equity investments including</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18,538</w:t>
            </w:r>
          </w:p>
        </w:tc>
        <w:tc>
          <w:tcPr>
            <w:tcW w:w="3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41,861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1,776</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Gain on disposal of subsidiaries and</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of equity investments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(29,660)</w:t>
            </w:r>
          </w:p>
        </w:tc>
        <w:tc>
          <w:tcPr>
            <w:tcW w:w="3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Gain on disposal of an equity</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and acquisition of</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(4,643)</w:t>
            </w:r>
          </w:p>
        </w:tc>
        <w:tc>
          <w:tcPr>
            <w:tcW w:w="16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2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Non-GAAP adjusted net income</w:t>
            </w: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attributable to Phoenix New Media</w:t>
            </w:r>
          </w:p>
        </w:tc>
        <w:tc>
          <w:tcPr>
            <w:tcW w:w="13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114,118</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296,277</w:t>
            </w:r>
          </w:p>
        </w:tc>
        <w:tc>
          <w:tcPr>
            <w:tcW w:w="220" w:type="dxa"/>
            <w:vAlign w:val="bottom"/>
            <w:shd w:val="clear" w:color="auto" w:fill="CCEEFF"/>
          </w:tcPr>
          <w:p>
            <w:pPr>
              <w:spacing w:after="0"/>
              <w:rPr>
                <w:sz w:val="18"/>
                <w:szCs w:val="18"/>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305,150</w:t>
            </w:r>
          </w:p>
        </w:tc>
        <w:tc>
          <w:tcPr>
            <w:tcW w:w="36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145,156</w:t>
            </w:r>
          </w:p>
        </w:tc>
        <w:tc>
          <w:tcPr>
            <w:tcW w:w="13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84,277</w:t>
            </w:r>
          </w:p>
        </w:tc>
        <w:tc>
          <w:tcPr>
            <w:tcW w:w="24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Limited</w:t>
            </w:r>
          </w:p>
        </w:tc>
        <w:tc>
          <w:tcPr>
            <w:tcW w:w="1360" w:type="dxa"/>
            <w:vAlign w:val="bottom"/>
            <w:gridSpan w:val="2"/>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3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Translation and Exchange Rates</w:t>
      </w:r>
    </w:p>
    <w:p>
      <w:pPr>
        <w:spacing w:after="0" w:line="229" w:lineRule="exact"/>
        <w:rPr>
          <w:sz w:val="20"/>
          <w:szCs w:val="20"/>
          <w:color w:val="auto"/>
        </w:rPr>
      </w:pPr>
    </w:p>
    <w:p>
      <w:pPr>
        <w:ind w:right="140" w:firstLine="441"/>
        <w:spacing w:after="0" w:line="261" w:lineRule="auto"/>
        <w:rPr>
          <w:sz w:val="20"/>
          <w:szCs w:val="20"/>
          <w:color w:val="auto"/>
        </w:rPr>
      </w:pPr>
      <w:r>
        <w:rPr>
          <w:rFonts w:ascii="Times New Roman" w:cs="Times New Roman" w:eastAsia="Times New Roman" w:hAnsi="Times New Roman"/>
          <w:sz w:val="18"/>
          <w:szCs w:val="18"/>
          <w:color w:val="auto"/>
        </w:rPr>
        <w:t>We have translated certain Renminbi, or RMB, amounts included in this annual report on Form 20-F into U.S. dollars for the convenience of the readers. The rate we used for the translations was RMB6.9430 = US$1.00, which was the noon buying rate on December 30, 2016 in New York for cable transfers in Renminbi as set forth in the H.10 weekly statistical release of the Federal Reserve Board. The translation does not mean that RMB could actually be converted into U.S. dollars at that rate. The following table shows the noon buying rate for RMB express in RMB per US$1.00.</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b w:val="1"/>
                <w:bCs w:val="1"/>
                <w:color w:val="auto"/>
              </w:rPr>
              <w:t>Noon Buying Rate</w:t>
            </w:r>
          </w:p>
        </w:tc>
        <w:tc>
          <w:tcPr>
            <w:tcW w:w="1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0" w:type="dxa"/>
            <w:vAlign w:val="bottom"/>
            <w:gridSpan w:val="2"/>
            <w:vMerge w:val="continue"/>
          </w:tcPr>
          <w:p>
            <w:pPr>
              <w:spacing w:after="0"/>
              <w:rPr>
                <w:sz w:val="12"/>
                <w:szCs w:val="12"/>
                <w:color w:val="auto"/>
              </w:rPr>
            </w:pPr>
          </w:p>
        </w:tc>
        <w:tc>
          <w:tcPr>
            <w:tcW w:w="1720" w:type="dxa"/>
            <w:vAlign w:val="bottom"/>
          </w:tcPr>
          <w:p>
            <w:pPr>
              <w:jc w:val="right"/>
              <w:ind w:right="596"/>
              <w:spacing w:after="0" w:line="142" w:lineRule="exact"/>
              <w:rPr>
                <w:sz w:val="20"/>
                <w:szCs w:val="20"/>
                <w:color w:val="auto"/>
              </w:rPr>
            </w:pPr>
            <w:r>
              <w:rPr>
                <w:rFonts w:ascii="Times New Roman" w:cs="Times New Roman" w:eastAsia="Times New Roman" w:hAnsi="Times New Roman"/>
                <w:sz w:val="14"/>
                <w:szCs w:val="14"/>
                <w:b w:val="1"/>
                <w:bCs w:val="1"/>
                <w:color w:val="auto"/>
              </w:rPr>
              <w:t>Period End</w:t>
            </w:r>
          </w:p>
        </w:tc>
        <w:tc>
          <w:tcPr>
            <w:tcW w:w="2080" w:type="dxa"/>
            <w:vAlign w:val="bottom"/>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80" w:type="dxa"/>
            <w:vAlign w:val="bottom"/>
          </w:tcPr>
          <w:p>
            <w:pPr>
              <w:jc w:val="right"/>
              <w:ind w:right="876"/>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1240" w:type="dxa"/>
            <w:vAlign w:val="bottom"/>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tcPr>
          <w:p>
            <w:pPr>
              <w:ind w:left="820"/>
              <w:spacing w:after="0" w:line="142" w:lineRule="exact"/>
              <w:rPr>
                <w:sz w:val="20"/>
                <w:szCs w:val="20"/>
                <w:color w:val="auto"/>
              </w:rPr>
            </w:pPr>
            <w:r>
              <w:rPr>
                <w:rFonts w:ascii="Times New Roman" w:cs="Times New Roman" w:eastAsia="Times New Roman" w:hAnsi="Times New Roman"/>
                <w:sz w:val="14"/>
                <w:szCs w:val="14"/>
                <w:b w:val="1"/>
                <w:bCs w:val="1"/>
                <w:color w:val="auto"/>
              </w:rPr>
              <w:t>(RMB per US$1.00)</w:t>
            </w:r>
          </w:p>
        </w:tc>
        <w:tc>
          <w:tcPr>
            <w:tcW w:w="12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2012</w:t>
            </w: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6.2301</w:t>
            </w:r>
          </w:p>
        </w:tc>
        <w:tc>
          <w:tcPr>
            <w:tcW w:w="20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6.2990</w:t>
            </w:r>
          </w:p>
        </w:tc>
        <w:tc>
          <w:tcPr>
            <w:tcW w:w="12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6.3879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6.2221</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2013</w:t>
            </w:r>
          </w:p>
        </w:tc>
        <w:tc>
          <w:tcPr>
            <w:tcW w:w="300" w:type="dxa"/>
            <w:vAlign w:val="bottom"/>
          </w:tcPr>
          <w:p>
            <w:pPr>
              <w:spacing w:after="0"/>
              <w:rPr>
                <w:sz w:val="18"/>
                <w:szCs w:val="18"/>
                <w:color w:val="auto"/>
              </w:rPr>
            </w:pPr>
          </w:p>
        </w:tc>
        <w:tc>
          <w:tcPr>
            <w:tcW w:w="172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6.0537</w:t>
            </w:r>
          </w:p>
        </w:tc>
        <w:tc>
          <w:tcPr>
            <w:tcW w:w="2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6.1412</w:t>
            </w:r>
          </w:p>
        </w:tc>
        <w:tc>
          <w:tcPr>
            <w:tcW w:w="128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rPr>
              <w:t>6.2438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6.0537</w:t>
            </w:r>
          </w:p>
        </w:tc>
        <w:tc>
          <w:tcPr>
            <w:tcW w:w="0" w:type="dxa"/>
            <w:vAlign w:val="bottom"/>
          </w:tcPr>
          <w:p>
            <w:pPr>
              <w:spacing w:after="0"/>
              <w:rPr>
                <w:sz w:val="1"/>
                <w:szCs w:val="1"/>
                <w:color w:val="auto"/>
              </w:rPr>
            </w:pPr>
          </w:p>
        </w:tc>
      </w:tr>
      <w:tr>
        <w:trPr>
          <w:trHeight w:val="124"/>
        </w:trPr>
        <w:tc>
          <w:tcPr>
            <w:tcW w:w="47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20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337" w:right="19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w:t>
            </w:r>
          </w:p>
        </w:tc>
        <w:tc>
          <w:tcPr>
            <w:tcW w:w="29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6.2046</w:t>
            </w:r>
          </w:p>
        </w:tc>
        <w:tc>
          <w:tcPr>
            <w:tcW w:w="16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6.1704</w:t>
            </w:r>
          </w:p>
        </w:tc>
        <w:tc>
          <w:tcPr>
            <w:tcW w:w="16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6.2591</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6.0402</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29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6.4778</w:t>
            </w:r>
          </w:p>
        </w:tc>
        <w:tc>
          <w:tcPr>
            <w:tcW w:w="16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6.2827</w:t>
            </w:r>
          </w:p>
        </w:tc>
        <w:tc>
          <w:tcPr>
            <w:tcW w:w="16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6.4896</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6.1870</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29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6.9430</w:t>
            </w:r>
          </w:p>
        </w:tc>
        <w:tc>
          <w:tcPr>
            <w:tcW w:w="16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6.6400</w:t>
            </w:r>
          </w:p>
        </w:tc>
        <w:tc>
          <w:tcPr>
            <w:tcW w:w="16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6.9580</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6.4480</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October</w:t>
            </w:r>
          </w:p>
        </w:tc>
        <w:tc>
          <w:tcPr>
            <w:tcW w:w="29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6.7735</w:t>
            </w:r>
          </w:p>
        </w:tc>
        <w:tc>
          <w:tcPr>
            <w:tcW w:w="16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6.7303</w:t>
            </w:r>
          </w:p>
        </w:tc>
        <w:tc>
          <w:tcPr>
            <w:tcW w:w="16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6.7819</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6.6685</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w:t>
            </w:r>
          </w:p>
        </w:tc>
        <w:tc>
          <w:tcPr>
            <w:tcW w:w="29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6.8837</w:t>
            </w:r>
          </w:p>
        </w:tc>
        <w:tc>
          <w:tcPr>
            <w:tcW w:w="16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6.8402</w:t>
            </w:r>
          </w:p>
        </w:tc>
        <w:tc>
          <w:tcPr>
            <w:tcW w:w="16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6.9195</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6.7534</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December</w:t>
            </w:r>
          </w:p>
        </w:tc>
        <w:tc>
          <w:tcPr>
            <w:tcW w:w="29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6.9430</w:t>
            </w:r>
          </w:p>
        </w:tc>
        <w:tc>
          <w:tcPr>
            <w:tcW w:w="16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6.9198</w:t>
            </w:r>
          </w:p>
        </w:tc>
        <w:tc>
          <w:tcPr>
            <w:tcW w:w="16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6.9580</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6.8771</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29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January</w:t>
            </w:r>
          </w:p>
        </w:tc>
        <w:tc>
          <w:tcPr>
            <w:tcW w:w="29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6.8768</w:t>
            </w:r>
          </w:p>
        </w:tc>
        <w:tc>
          <w:tcPr>
            <w:tcW w:w="16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6.8907</w:t>
            </w:r>
          </w:p>
        </w:tc>
        <w:tc>
          <w:tcPr>
            <w:tcW w:w="16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6.9575</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6.8360</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w:t>
            </w:r>
          </w:p>
        </w:tc>
        <w:tc>
          <w:tcPr>
            <w:tcW w:w="29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6.8665</w:t>
            </w:r>
          </w:p>
        </w:tc>
        <w:tc>
          <w:tcPr>
            <w:tcW w:w="16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6.8694</w:t>
            </w:r>
          </w:p>
        </w:tc>
        <w:tc>
          <w:tcPr>
            <w:tcW w:w="16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6.8821</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6.8517</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March</w:t>
            </w:r>
          </w:p>
        </w:tc>
        <w:tc>
          <w:tcPr>
            <w:tcW w:w="29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6.8832</w:t>
            </w:r>
          </w:p>
        </w:tc>
        <w:tc>
          <w:tcPr>
            <w:tcW w:w="16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6.8940</w:t>
            </w:r>
          </w:p>
        </w:tc>
        <w:tc>
          <w:tcPr>
            <w:tcW w:w="16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6.9132</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6.8687</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(through April 21, 2017)</w:t>
            </w:r>
          </w:p>
        </w:tc>
        <w:tc>
          <w:tcPr>
            <w:tcW w:w="29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6.8845</w:t>
            </w:r>
          </w:p>
        </w:tc>
        <w:tc>
          <w:tcPr>
            <w:tcW w:w="16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6.8871</w:t>
            </w:r>
          </w:p>
        </w:tc>
        <w:tc>
          <w:tcPr>
            <w:tcW w:w="16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6.8988</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6.8778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40" w:right="360" w:hanging="432"/>
        <w:spacing w:after="0" w:line="282" w:lineRule="auto"/>
        <w:tabs>
          <w:tab w:leader="none" w:pos="82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averages are calculated from month-end rates. Monthly averages are calculated using the average of the daily rates during the relevant period.</w:t>
      </w:r>
    </w:p>
    <w:p>
      <w:pPr>
        <w:sectPr>
          <w:pgSz w:w="11900" w:h="16838" w:orient="portrait"/>
          <w:cols w:equalWidth="0" w:num="1">
            <w:col w:w="11420"/>
          </w:cols>
          <w:pgMar w:left="240" w:top="140" w:right="239" w:bottom="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Capitalization and Indebtedness</w:t>
      </w:r>
    </w:p>
    <w:p>
      <w:pPr>
        <w:spacing w:after="0" w:line="211" w:lineRule="exact"/>
        <w:rPr>
          <w:sz w:val="20"/>
          <w:szCs w:val="20"/>
          <w:color w:val="auto"/>
        </w:rPr>
      </w:pPr>
    </w:p>
    <w:p>
      <w:pPr>
        <w:sectPr>
          <w:pgSz w:w="11900" w:h="16838" w:orient="portrait"/>
          <w:cols w:equalWidth="0" w:num="2">
            <w:col w:w="1740" w:space="720"/>
            <w:col w:w="8960"/>
          </w:cols>
          <w:pgMar w:left="240" w:top="140" w:right="239" w:bottom="0" w:gutter="0" w:footer="0" w:header="0"/>
          <w:type w:val="continuous"/>
        </w:sectPr>
      </w:pPr>
    </w:p>
    <w:p>
      <w:pPr>
        <w:spacing w:after="0" w:line="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Not required.</w:t>
      </w:r>
    </w:p>
    <w:p>
      <w:pPr>
        <w:sectPr>
          <w:pgSz w:w="11900" w:h="16838" w:orient="portrait"/>
          <w:cols w:equalWidth="0" w:num="1">
            <w:col w:w="11420"/>
          </w:cols>
          <w:pgMar w:left="240" w:top="140" w:right="239" w:bottom="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Reasons for the Offer and Use of Proceeds</w:t>
      </w:r>
    </w:p>
    <w:p>
      <w:pPr>
        <w:spacing w:after="0" w:line="211" w:lineRule="exact"/>
        <w:rPr>
          <w:sz w:val="20"/>
          <w:szCs w:val="20"/>
          <w:color w:val="auto"/>
        </w:rPr>
      </w:pPr>
    </w:p>
    <w:p>
      <w:pPr>
        <w:sectPr>
          <w:pgSz w:w="11900" w:h="16838" w:orient="portrait"/>
          <w:cols w:equalWidth="0" w:num="2">
            <w:col w:w="1760" w:space="720"/>
            <w:col w:w="8940"/>
          </w:cols>
          <w:pgMar w:left="240" w:top="140" w:right="239" w:bottom="0" w:gutter="0" w:footer="0" w:header="0"/>
          <w:type w:val="continuous"/>
        </w:sectPr>
      </w:pPr>
    </w:p>
    <w:p>
      <w:pPr>
        <w:spacing w:after="0" w:line="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Not required.</w:t>
      </w:r>
    </w:p>
    <w:p>
      <w:pPr>
        <w:sectPr>
          <w:pgSz w:w="11900" w:h="16838" w:orient="portrait"/>
          <w:cols w:equalWidth="0" w:num="1">
            <w:col w:w="11420"/>
          </w:cols>
          <w:pgMar w:left="240" w:top="140" w:right="239" w:bottom="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0" w:lineRule="exact"/>
        <w:rPr>
          <w:sz w:val="20"/>
          <w:szCs w:val="20"/>
          <w:color w:val="auto"/>
        </w:rPr>
      </w:pPr>
    </w:p>
    <w:p>
      <w:pPr>
        <w:sectPr>
          <w:pgSz w:w="11900" w:h="16838" w:orient="portrait"/>
          <w:cols w:equalWidth="0" w:num="2">
            <w:col w:w="1760" w:space="720"/>
            <w:col w:w="8940"/>
          </w:cols>
          <w:pgMar w:left="240" w:top="140" w:right="239" w:bottom="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22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the rapidly evolving market in which we operate, our historical results may not be indicative of our future performance and there can be no assurance that we will be able to meet internal or external expectations of future performance.</w:t>
      </w:r>
    </w:p>
    <w:p>
      <w:pPr>
        <w:spacing w:after="0" w:line="159"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Our Internet media convergence business model is new in China, where the internet industry is rapidly evolving and new products, new business models and new players emerge on a regular basis, and we may not be able to achieve results or growth in future periods as we did in past periods. Due to the rapidly evolving market in which we operate, our historical year-over-year and quarter-over-quarter trends may not provide an accurate or reliable indication of our future performance. For certain lines of our business, we have experienced high growth rates in the past and there may be expectations that these growth rates will continue. For other lines of our business, we have experienced declining trends. Our ability to achieve and maintain profitability depends on, among other factors, the growth of the Internet advertising market and mobile Internet services industry in China, our ability to maintain cooperative relationships with Phoenix TV and mobile operators, our ability to control our costs and expenses and the continued relevance and usage of our various paid services. We may not be able to achieve or sustain profitability on a quarterly or annual basis. Accordingly, our historical growth rates may not be indicative of our future performance. In addition, our online advertising business may suffer from price competition from other online advertising companies. We may have to reduce our profit margins or operate at a loss in order to adequately fund critical innovations that we believe will create value for our company and strengthen our market position over the long term. In the past our operating results have failed to meet expectations of industry analysts and investors, and our future operating results may also fail to meet such expectations. There can be no assurance that we will be able to meet internal or external expectations of future performance, and our share price may decline as a result of any failure to meet such expectations.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continue to rely on advertising to drive a significant portion of our future revenues, and if we fail to retain existing advertisers or attract new advertisers for our advertising services, our business, operating results and growth prospects could be materially affected.</w:t>
      </w:r>
    </w:p>
    <w:p>
      <w:pPr>
        <w:spacing w:after="0" w:line="64" w:lineRule="exact"/>
        <w:rPr>
          <w:sz w:val="20"/>
          <w:szCs w:val="20"/>
          <w:color w:val="auto"/>
        </w:rPr>
      </w:pPr>
    </w:p>
    <w:p>
      <w:pPr>
        <w:jc w:val="both"/>
        <w:ind w:right="460" w:firstLine="441"/>
        <w:spacing w:after="0" w:line="266" w:lineRule="auto"/>
        <w:rPr>
          <w:sz w:val="20"/>
          <w:szCs w:val="20"/>
          <w:color w:val="auto"/>
        </w:rPr>
      </w:pPr>
      <w:r>
        <w:rPr>
          <w:rFonts w:ascii="Times New Roman" w:cs="Times New Roman" w:eastAsia="Times New Roman" w:hAnsi="Times New Roman"/>
          <w:sz w:val="18"/>
          <w:szCs w:val="18"/>
          <w:color w:val="auto"/>
        </w:rPr>
        <w:t>In 2014, 2015, and 2016, we generated 72.7%, 76.2% and 85.3% of our total revenues from advertising services, respectively. Going forward, we expect our net advertising revenues to contribute an increasing portion of our total revenues. Our ability to generate and maintain substantial advertising revenues will depend on a number of factors, many of which are ultimately beyond our control, including but not limited to:</w:t>
      </w:r>
    </w:p>
    <w:p>
      <w:pPr>
        <w:spacing w:after="0" w:line="82" w:lineRule="exact"/>
        <w:rPr>
          <w:sz w:val="20"/>
          <w:szCs w:val="20"/>
          <w:color w:val="auto"/>
        </w:rPr>
      </w:pPr>
    </w:p>
    <w:p>
      <w:pPr>
        <w:ind w:left="1040" w:hanging="268"/>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online (including mobile and PC-based) advertising as an effective way for advertisers to market their businesses;</w:t>
      </w:r>
    </w:p>
    <w:p>
      <w:pPr>
        <w:spacing w:after="0" w:line="130" w:lineRule="exact"/>
        <w:rPr>
          <w:rFonts w:ascii="Times New Roman" w:cs="Times New Roman" w:eastAsia="Times New Roman" w:hAnsi="Times New Roman"/>
          <w:sz w:val="18"/>
          <w:szCs w:val="18"/>
          <w:color w:val="auto"/>
        </w:rPr>
      </w:pPr>
    </w:p>
    <w:p>
      <w:pPr>
        <w:ind w:left="1040" w:hanging="268"/>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and enhancement of our brand;</w:t>
      </w:r>
    </w:p>
    <w:p>
      <w:pPr>
        <w:spacing w:after="0" w:line="130" w:lineRule="exact"/>
        <w:rPr>
          <w:rFonts w:ascii="Times New Roman" w:cs="Times New Roman" w:eastAsia="Times New Roman" w:hAnsi="Times New Roman"/>
          <w:sz w:val="18"/>
          <w:szCs w:val="18"/>
          <w:color w:val="auto"/>
        </w:rPr>
      </w:pPr>
    </w:p>
    <w:p>
      <w:pPr>
        <w:ind w:left="1100" w:right="620" w:hanging="328"/>
        <w:spacing w:after="0" w:line="282" w:lineRule="auto"/>
        <w:tabs>
          <w:tab w:leader="none" w:pos="10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independent and reliable means of measuring online traffic and verifying the effectiveness of our online advertising services;</w:t>
      </w:r>
    </w:p>
    <w:p>
      <w:pPr>
        <w:spacing w:after="0" w:line="67" w:lineRule="exact"/>
        <w:rPr>
          <w:rFonts w:ascii="Times New Roman" w:cs="Times New Roman" w:eastAsia="Times New Roman" w:hAnsi="Times New Roman"/>
          <w:sz w:val="18"/>
          <w:szCs w:val="18"/>
          <w:color w:val="auto"/>
        </w:rPr>
      </w:pPr>
    </w:p>
    <w:p>
      <w:pPr>
        <w:ind w:left="1040" w:hanging="268"/>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retention of a large user base with attractive demographics for advertisers; and</w:t>
      </w:r>
    </w:p>
    <w:p>
      <w:pPr>
        <w:spacing w:after="0" w:line="130" w:lineRule="exact"/>
        <w:rPr>
          <w:rFonts w:ascii="Times New Roman" w:cs="Times New Roman" w:eastAsia="Times New Roman" w:hAnsi="Times New Roman"/>
          <w:sz w:val="18"/>
          <w:szCs w:val="18"/>
          <w:color w:val="auto"/>
        </w:rPr>
      </w:pPr>
    </w:p>
    <w:p>
      <w:pPr>
        <w:ind w:left="1040" w:hanging="268"/>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have continued success with innovative advertising services.</w:t>
      </w:r>
    </w:p>
    <w:p>
      <w:pPr>
        <w:spacing w:after="0" w:line="131" w:lineRule="exact"/>
        <w:rPr>
          <w:sz w:val="20"/>
          <w:szCs w:val="20"/>
          <w:color w:val="auto"/>
        </w:rPr>
      </w:pPr>
    </w:p>
    <w:p>
      <w:pPr>
        <w:ind w:right="100" w:firstLine="441"/>
        <w:spacing w:after="0" w:line="256" w:lineRule="auto"/>
        <w:rPr>
          <w:sz w:val="20"/>
          <w:szCs w:val="20"/>
          <w:color w:val="auto"/>
        </w:rPr>
      </w:pPr>
      <w:r>
        <w:rPr>
          <w:rFonts w:ascii="Times New Roman" w:cs="Times New Roman" w:eastAsia="Times New Roman" w:hAnsi="Times New Roman"/>
          <w:sz w:val="18"/>
          <w:szCs w:val="18"/>
          <w:color w:val="auto"/>
        </w:rPr>
        <w:t>Our advertisers may choose to reduce or discontinue their business with us if they believe their advertising spending has not generated or would not generate enough sales to end customers or has not improved or would not effectively improve their brand recognition. In addition, certain technologies could potentially be developed and applied to block the display of our online advertisements and other marketing products on our website or mobile applications, which may in turn cause us to lose advertisers and adversely affect our operating results. Moreover, changes in government policies could restrict or curtail our online advertising services. Failure to retain our existing advertisers or attract new advertisers for our advertising services could seriously harm our business, operating results and growth prospects.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growing our mobile Internet related business and our revenue growth could be negatively impacted.</w:t>
      </w:r>
    </w:p>
    <w:p>
      <w:pPr>
        <w:spacing w:after="0" w:line="135"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Mobile Internet services and applications, is an emerging market in China. The growth of this market and the level of demand and market acceptance of our services are subject to many uncertainties. The development of this market and our ability to derive revenues from this market depends on a number of factors, some of which are beyond our control, including but not limited to:</w:t>
      </w:r>
    </w:p>
    <w:p>
      <w:pPr>
        <w:sectPr>
          <w:pgSz w:w="11900" w:h="16838" w:orient="portrait"/>
          <w:cols w:equalWidth="0" w:num="1">
            <w:col w:w="11420"/>
          </w:cols>
          <w:pgMar w:left="240" w:top="140" w:right="239" w:bottom="0" w:gutter="0" w:footer="0" w:header="0"/>
          <w:type w:val="continuous"/>
        </w:sectPr>
      </w:pPr>
    </w:p>
    <w:bookmarkStart w:id="7" w:name="page8"/>
    <w:bookmarkEnd w:id="7"/>
    <w:p>
      <w:pPr>
        <w:ind w:left="1680" w:hanging="907"/>
        <w:spacing w:after="0"/>
        <w:tabs>
          <w:tab w:leader="none" w:pos="1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 of mobile Internet industry in China;</w:t>
      </w:r>
    </w:p>
    <w:p>
      <w:pPr>
        <w:spacing w:after="0" w:line="130" w:lineRule="exact"/>
        <w:rPr>
          <w:rFonts w:ascii="Times New Roman" w:cs="Times New Roman" w:eastAsia="Times New Roman" w:hAnsi="Times New Roman"/>
          <w:sz w:val="18"/>
          <w:szCs w:val="18"/>
          <w:color w:val="auto"/>
        </w:rPr>
      </w:pPr>
    </w:p>
    <w:p>
      <w:pPr>
        <w:ind w:left="1680" w:hanging="908"/>
        <w:spacing w:after="0"/>
        <w:tabs>
          <w:tab w:leader="none" w:pos="1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demographics and preferences;</w:t>
      </w:r>
    </w:p>
    <w:p>
      <w:pPr>
        <w:spacing w:after="0" w:line="130" w:lineRule="exact"/>
        <w:rPr>
          <w:rFonts w:ascii="Times New Roman" w:cs="Times New Roman" w:eastAsia="Times New Roman" w:hAnsi="Times New Roman"/>
          <w:sz w:val="18"/>
          <w:szCs w:val="18"/>
          <w:color w:val="auto"/>
        </w:rPr>
      </w:pPr>
    </w:p>
    <w:p>
      <w:pPr>
        <w:ind w:left="1680" w:hanging="908"/>
        <w:spacing w:after="0"/>
        <w:tabs>
          <w:tab w:leader="none" w:pos="1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in mobile device platform technologies and mobile Internet distribution channels; and</w:t>
      </w:r>
    </w:p>
    <w:p>
      <w:pPr>
        <w:spacing w:after="0" w:line="130" w:lineRule="exact"/>
        <w:rPr>
          <w:rFonts w:ascii="Times New Roman" w:cs="Times New Roman" w:eastAsia="Times New Roman" w:hAnsi="Times New Roman"/>
          <w:sz w:val="18"/>
          <w:szCs w:val="18"/>
          <w:color w:val="auto"/>
        </w:rPr>
      </w:pPr>
    </w:p>
    <w:p>
      <w:pPr>
        <w:ind w:left="1680" w:hanging="908"/>
        <w:spacing w:after="0"/>
        <w:tabs>
          <w:tab w:leader="none" w:pos="1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competition from more established companies that decide to enter the mobile Internet market.</w:t>
      </w:r>
    </w:p>
    <w:p>
      <w:pPr>
        <w:spacing w:after="0" w:line="1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in part on application marketplaces, Internet search engines, navigation sites and web browsers to drive traffic to our platform and website, and if we fail to appear near the top of such search results or rankings, traffic to our platform and website could decline and our business and operating results could be adversely affected</w:t>
      </w:r>
    </w:p>
    <w:p>
      <w:pPr>
        <w:spacing w:after="0" w:line="80"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We rely on application marketplaces, such as Apple’s iOS App Store, and other handset manufactures’ Android App Store, to drive downloads of mobile applications of our products, including ifeng News, ifeng Video, digital reading application, etc. In the future, iOS App Store, Android stores or other operators of application marketplaces may make changes to their marketplaces which could hinder or impede access to our products and services. We also depend in part on Internet search engines, navigation sites and web browsers, such as Baidu, Sougou, Hao123, Hao360, UC Browser, 360 Browser and Cheetah Browser, to drive traffic to our website. For example, when a user types an inquiry into a search engine, we rely on a high organic search result ranking of our webpages in these search results to refer users to our website. However, our ability to maintain high organic search result rankings is not totally within our control. Our competitors’ search engine optimization, or SEO, efforts may result in their websites receiving a higher search result page ranking than ours, or Internet search engines could revise their methodologies in a way that would adversely affect our search result rankings. If Internet search engines modify their search algorithms or other methodologies in ways that are detrimental to us, or if our competitors’ SEO efforts are more successful than ours, the growth in our user base could be adversely affected. In addition, navigation websites or web browsers might reduce the recommendation of our products for various reasons from time to time. Any reduction in the number of users directed to our mobile applications or website through application marketplaces, Internet search engines, navigation sites or web browsers could harm our business and operating results.</w:t>
      </w:r>
    </w:p>
    <w:p>
      <w:pPr>
        <w:spacing w:after="0" w:line="9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expand our mobile platform and increase our mobile advertising revenue, our business, operating results and growth prospects could be materially affected.</w:t>
      </w:r>
    </w:p>
    <w:p>
      <w:pPr>
        <w:spacing w:after="0" w:line="64"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color w:val="auto"/>
        </w:rPr>
        <w:t>Use of mobile devices for consumption of news and other media content by consumers in China has been increasing rapidly in recent years. This shift towards mobile has brought with it both challenges and opportunities. We encountered weaker demand for PC-based advertising in 2015 and 2016 but achieved year-over-year growth in mobile advertising revenues during the same period. We see mobile devices as the primary gateway for news consumption going forward and our ability to maintain and increase our mobile advertising revenues will be critical to our future business prospects. While we are taking measures to expand our user base across our various mobile applications, optimize our targeting technology and integrate next-generation high-efficiency advertising solutions, there can be no assurance that these measures will be effective. User preferences and behaviors on mobile devices are rapidly evolving and we may not be able to successfully adapt to these changes. The variety of technical and other configurations across different mobile devices, platforms and applications also increases the challenges associated with our mobile expansion. Although our operating expenses decreased 2.6% from RMB700.8 million in 2015 to RMB682.7 million in 2016, the expenses associated with mobile traffic acquisition have increased significantly. Our mobile traffic acquisition expenses may continue to increase in the future which will adversely impact our financial results. If we cannot successfully grow our user base and capitalize on emerging monetization opportunities on mobile devices, we may not be able to maintain or grow our advertising revenues, which could materially and adversely affect our operating results and growth prospects.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Yidian Zixun is one of our most important investments in our mobile strategy. If we are unable to successfully realize the anticipated benefits from this investment or lose our option to consolidate Particle Inc. in the future, our mobile strategy and growth prospects could be materially affected.</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part of our strategy to expand our mobile platform, we have made substantial investments in Particle Inc., or Particle, in the form of investments and</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loans. Particle operates Yidian Zixun ( ), or Yidian, a personalized news and life-style information application in China that allows users to define and explore desired content on their mobile devices. As of the date hereof, we held Series B, Series C and Series D1 convertible redeemable preferred shares of Particle, which had been accounted for as available-for-sale investments, representing an aggregate of approximately 44.2% equity interest of Particle on an as-if converted basis. The fair value of our available-for-sale investments in Particle was US$135.3 million as of December 31, 2016. As of the date hereof, we also had three outstanding unsecured short-term loans to Particle, including (i) a convertible loan with a principal amount of US$14.8 million at an interest rate of 4.35% per annum due in August 2017, which can be converted into Series D1 convertible redeemable preferred shares of Particle at a conversion price of US$1.071803 per share; (ii) a loan with the principal amount of approximately US$6.8 million at an interest rate of 9% per annum due in November 2017, and (iii) a loan with the principal amount of RMB74.0 million at an interest rate of 9% per annum due in January 2018. While we do not have control over, and therefore do not consolidate Particle, we may consolidate Particle as a subsidiary once Yidian’s user base reaches a certain level. We have also been collaborating closely with Particle in executing our mobile strategy. As such, if Yidian fails to grow its user base and expand its business, our efforts to expand our mobile platform may be materially and adversely affected, we may not be able to realize anticipated benefits from consolidating Particle as a subsidiary, and we may lose our entire investments in Particle. In addition, as Particle has engaged and may continue to engage in additional onshore and offshore financing activities, as additional investors are brought in as new shareholders of Particle or any of its principal subsidiaries or affiliated consolidated entity, and as certain special rights are granted to some of these new shareholders, our equity interest in Particle may be diluted, we may not be able to consolidate Particle as a subsidiary, and Particle may lose its right to consolidate its current consolidated affiliated entity. Any of the above could have a material adverse effect on our business, financial condition and operating results.</w:t>
      </w:r>
    </w:p>
    <w:p>
      <w:pPr>
        <w:spacing w:after="0" w:line="188"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News feed advertising is becoming an important mobile advertising format in China. If we are unable to successfully develop our news feed advertising solution and adapt to new changes in advertising formats and trends, our mobile advertising revenues and growth may be materially and adversely affected.</w:t>
      </w:r>
    </w:p>
    <w:p>
      <w:pPr>
        <w:spacing w:after="0" w:line="175" w:lineRule="exact"/>
        <w:rPr>
          <w:sz w:val="20"/>
          <w:szCs w:val="20"/>
          <w:color w:val="auto"/>
        </w:rPr>
      </w:pPr>
    </w:p>
    <w:p>
      <w:pPr>
        <w:ind w:right="20" w:firstLine="450"/>
        <w:spacing w:after="0" w:line="272" w:lineRule="auto"/>
        <w:rPr>
          <w:sz w:val="20"/>
          <w:szCs w:val="20"/>
          <w:color w:val="auto"/>
        </w:rPr>
      </w:pPr>
      <w:r>
        <w:rPr>
          <w:rFonts w:ascii="Times New Roman" w:cs="Times New Roman" w:eastAsia="Times New Roman" w:hAnsi="Times New Roman"/>
          <w:sz w:val="17"/>
          <w:szCs w:val="17"/>
          <w:color w:val="auto"/>
        </w:rPr>
        <w:t>News feed advertising is the practice of constantly updating lists of advertisements alongside news and information. It effectively helps mobile applications enlarge their advertising inventory by inserting advertisements into the flow of content, while improving the user experience based on native appearance and contextual relevance, implying greater monetization potential. We expect news feed advertising to maintain strong growth momentum and become an increasingly important mobile advertising format in China. While we had developed and added news feed advertising into our ifeng News application and our mobile website in late 2016, we are facing an increasingly competitive environment. For example, several mobile applications of other companies, such as Jinri Toutiao, Tiantian Kuaibao and QQ news (Tencent), UC Toutiao (Alibaba) and Baidu app, are all competing in news feed advertising. If we are unable to successfully develop our news feed advertising solution and deliver better return on investment, or ROI, to our advertising clients, our future mobile advertising revenues may be materially and adversely affected. Except for news feed advertising, we believe that more types of innovative</w:t>
      </w:r>
    </w:p>
    <w:p>
      <w:pPr>
        <w:sectPr>
          <w:pgSz w:w="11900" w:h="16838" w:orient="portrait"/>
          <w:cols w:equalWidth="0" w:num="1">
            <w:col w:w="11400"/>
          </w:cols>
          <w:pgMar w:left="240" w:top="121" w:right="259" w:bottom="0" w:gutter="0" w:footer="0" w:header="0"/>
        </w:sectPr>
      </w:pPr>
    </w:p>
    <w:bookmarkStart w:id="8" w:name="page9"/>
    <w:bookmarkEnd w:id="8"/>
    <w:p>
      <w:pPr>
        <w:spacing w:after="0" w:line="1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mobile advertising formats may emerge in the future. If we are unable to swiftly develop and adapt to new changes in advertising formats and trends, our mobile advertising revenues may be materially and adversely affected.</w:t>
      </w:r>
    </w:p>
    <w:p>
      <w:pPr>
        <w:spacing w:after="0" w:line="158"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retain large advertising agencies or attract new agencies on reasonable terms could materially and adversely affect our business. If advertising agencies demand higher service fees, our gross margin may be negatively affected.</w:t>
      </w:r>
    </w:p>
    <w:p>
      <w:pPr>
        <w:spacing w:after="0" w:line="159" w:lineRule="exact"/>
        <w:rPr>
          <w:sz w:val="20"/>
          <w:szCs w:val="20"/>
          <w:color w:val="auto"/>
        </w:rPr>
      </w:pPr>
    </w:p>
    <w:p>
      <w:pPr>
        <w:ind w:right="120" w:firstLine="441"/>
        <w:spacing w:after="0" w:line="255" w:lineRule="auto"/>
        <w:rPr>
          <w:sz w:val="20"/>
          <w:szCs w:val="20"/>
          <w:color w:val="auto"/>
        </w:rPr>
      </w:pPr>
      <w:r>
        <w:rPr>
          <w:rFonts w:ascii="Times New Roman" w:cs="Times New Roman" w:eastAsia="Times New Roman" w:hAnsi="Times New Roman"/>
          <w:sz w:val="18"/>
          <w:szCs w:val="18"/>
          <w:color w:val="auto"/>
        </w:rPr>
        <w:t>Approximately 74.3%, 73.4% and 66.4% of our net advertising revenues in China were derived from advertising agencies in 2014, 2015 and 2016, respectively. We primarily serve our advertisers through advertising agencies and rely on these agencies for sourcing our advertisers and collecting advertising revenue. In consideration for these agencies’ services, the agencies earn advertising agency service fees which are deducted from our gross advertising revenues. While advertising agencies in China commonly increase their agency service fees on a sliding scale basis along with increased volume of business, if our agency service fees increase at a materially disproportional rate relative to our gross advertising revenues, our operating results may be negatively affected. We do not have long-term or exclusive arrangements with these agencies, and we cannot assure you that we will continue to maintain favorable relationships with them. If we fail to maintain favorable relationships with large advertising agencies or attract additional agencies, we may not be able to retain existing advertisers or attract new advertisers and our business and operating results could be materially and adversely affected.</w:t>
      </w:r>
    </w:p>
    <w:p>
      <w:pPr>
        <w:spacing w:after="0" w:line="185" w:lineRule="exact"/>
        <w:rPr>
          <w:sz w:val="20"/>
          <w:szCs w:val="20"/>
          <w:color w:val="auto"/>
        </w:rPr>
      </w:pPr>
    </w:p>
    <w:p>
      <w:pPr>
        <w:ind w:right="220" w:firstLine="441"/>
        <w:spacing w:after="0" w:line="266" w:lineRule="auto"/>
        <w:rPr>
          <w:sz w:val="20"/>
          <w:szCs w:val="20"/>
          <w:color w:val="auto"/>
        </w:rPr>
      </w:pPr>
      <w:r>
        <w:rPr>
          <w:rFonts w:ascii="Times New Roman" w:cs="Times New Roman" w:eastAsia="Times New Roman" w:hAnsi="Times New Roman"/>
          <w:sz w:val="18"/>
          <w:szCs w:val="18"/>
          <w:color w:val="auto"/>
        </w:rPr>
        <w:t>Over the years, there has been some consolidation among advertising agencies in China. If the consolidation trend continues and the market is effectively controlled by a small number of large advertising agencies, such advertising agencies may be in a position to demand higher advertising agency service fees based on increased bargaining power, which could reduce our net advertising revenues.</w:t>
      </w:r>
    </w:p>
    <w:p>
      <w:pPr>
        <w:spacing w:after="0" w:line="17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continue to anticipate user preferences and provide high quality content that attracts and retains users, we may not be able to generate sufficient user traffic to remain competitive.</w:t>
      </w:r>
    </w:p>
    <w:p>
      <w:pPr>
        <w:spacing w:after="0" w:line="159"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Our success depends on our ability to generate sufficient user traffic through the provision of attractive content. If we are not able to license popular premium content at commercially reasonable terms, if our desired premium content becomes exclusive to our competitors, or if we do not continue to possess the license and priority over any third party to broadcast Phoenix TV’s content, the attractiveness of our offerings to users may be severely impaired. We also produce content in-house, and intend to continue to invest resources in producing original content. If we are unable to continue to procure premium and distinctive licensed content or produce in-house content that meets users’ tastes and preferences, we may lose users, and our operating results may suffer. In addition, we rely on our team of skilled editors to edit and repackage our sourced content in a timely and professional manner for our users and any deterioration in our editing team’s capabilities or losses in personnel may materially and adversely affect our operating results. If our content fails to cater to the needs and preferences of our users, we may suffer from reduced user traffic and our business and operating results may be materially and adversely affected.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continued decline in demand for our MVAS business and any expected economic benefits from this business may not be realized.</w:t>
      </w:r>
    </w:p>
    <w:p>
      <w:pPr>
        <w:spacing w:after="0" w:line="229" w:lineRule="exact"/>
        <w:rPr>
          <w:sz w:val="20"/>
          <w:szCs w:val="20"/>
          <w:color w:val="auto"/>
        </w:rPr>
      </w:pPr>
    </w:p>
    <w:p>
      <w:pPr>
        <w:ind w:right="180" w:firstLine="504"/>
        <w:spacing w:after="0" w:line="261" w:lineRule="auto"/>
        <w:rPr>
          <w:sz w:val="20"/>
          <w:szCs w:val="20"/>
          <w:color w:val="auto"/>
        </w:rPr>
      </w:pPr>
      <w:r>
        <w:rPr>
          <w:rFonts w:ascii="Times New Roman" w:cs="Times New Roman" w:eastAsia="Times New Roman" w:hAnsi="Times New Roman"/>
          <w:sz w:val="18"/>
          <w:szCs w:val="18"/>
          <w:color w:val="auto"/>
        </w:rPr>
        <w:t>In 2014, 2015 and 2016, revenues from our mobile value-added services, or MVAS, accounted for 20.6%, 18.2% and 8.1%, respectively, of our total revenues, due to lower demand from mobile users. For more information about our MVAS, see “Item 4. Information of the Company — B. Business Overview — Our Channels —Our Operations with the Telecom Operators.” In addition, we cannot assure you that we will be successful in developing our MVAS business, which will depend, among other things, on our ability to:</w:t>
      </w:r>
    </w:p>
    <w:p>
      <w:pPr>
        <w:spacing w:after="0" w:line="180" w:lineRule="exact"/>
        <w:rPr>
          <w:sz w:val="20"/>
          <w:szCs w:val="20"/>
          <w:color w:val="auto"/>
        </w:rPr>
      </w:pPr>
    </w:p>
    <w:p>
      <w:pPr>
        <w:ind w:left="1100" w:right="600" w:hanging="328"/>
        <w:spacing w:after="0" w:line="282" w:lineRule="auto"/>
        <w:tabs>
          <w:tab w:leader="none" w:pos="109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market developments, including the development of new channels and technologies, and changes in pricing and distribution models;</w:t>
      </w:r>
    </w:p>
    <w:p>
      <w:pPr>
        <w:spacing w:after="0" w:line="161" w:lineRule="exact"/>
        <w:rPr>
          <w:rFonts w:ascii="Times New Roman" w:cs="Times New Roman" w:eastAsia="Times New Roman" w:hAnsi="Times New Roman"/>
          <w:sz w:val="18"/>
          <w:szCs w:val="18"/>
          <w:color w:val="auto"/>
        </w:rPr>
      </w:pPr>
    </w:p>
    <w:p>
      <w:pPr>
        <w:ind w:left="1100" w:right="100" w:hanging="328"/>
        <w:spacing w:after="0" w:line="266" w:lineRule="auto"/>
        <w:tabs>
          <w:tab w:leader="none" w:pos="109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diversify our distribution channels, including through our own mobile Internet site, the platforms of China Mobile Communications Corporation, or China Mobile, and the other Chinese mobile operators, mobile device manufacturers and mobile application stores;</w:t>
      </w:r>
    </w:p>
    <w:p>
      <w:pPr>
        <w:spacing w:after="0" w:line="176" w:lineRule="exact"/>
        <w:rPr>
          <w:rFonts w:ascii="Times New Roman" w:cs="Times New Roman" w:eastAsia="Times New Roman" w:hAnsi="Times New Roman"/>
          <w:sz w:val="18"/>
          <w:szCs w:val="18"/>
          <w:color w:val="auto"/>
        </w:rPr>
      </w:pPr>
    </w:p>
    <w:p>
      <w:pPr>
        <w:ind w:left="1100" w:right="20" w:hanging="328"/>
        <w:spacing w:after="0" w:line="282" w:lineRule="auto"/>
        <w:tabs>
          <w:tab w:leader="none" w:pos="109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high quality MVAS that can achieve significant market acceptance, and improve our existing MVAS in a timely manner to extend their life spans and to maintain their competitiveness in the Chinese mobile market;</w:t>
      </w:r>
    </w:p>
    <w:p>
      <w:pPr>
        <w:spacing w:after="0" w:line="161" w:lineRule="exact"/>
        <w:rPr>
          <w:rFonts w:ascii="Times New Roman" w:cs="Times New Roman" w:eastAsia="Times New Roman" w:hAnsi="Times New Roman"/>
          <w:sz w:val="18"/>
          <w:szCs w:val="18"/>
          <w:color w:val="auto"/>
        </w:rPr>
      </w:pPr>
    </w:p>
    <w:p>
      <w:pPr>
        <w:ind w:left="1080" w:hanging="308"/>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upgrade our technologies; and</w:t>
      </w:r>
    </w:p>
    <w:p>
      <w:pPr>
        <w:spacing w:after="0" w:line="225" w:lineRule="exact"/>
        <w:rPr>
          <w:rFonts w:ascii="Times New Roman" w:cs="Times New Roman" w:eastAsia="Times New Roman" w:hAnsi="Times New Roman"/>
          <w:sz w:val="18"/>
          <w:szCs w:val="18"/>
          <w:color w:val="auto"/>
        </w:rPr>
      </w:pPr>
    </w:p>
    <w:p>
      <w:pPr>
        <w:ind w:left="1080" w:hanging="308"/>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our MVAS business and marketing strategies successfully.</w:t>
      </w:r>
    </w:p>
    <w:p>
      <w:pPr>
        <w:spacing w:after="0" w:line="225"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Due to the uncertainties of our MVAS business and the MVAS industry in China generally, our MVAS will contribute less to our future revenues. Any failure to successfully develop this business could have a negative impact on our business, financial condition and operating results.</w:t>
      </w:r>
    </w:p>
    <w:p>
      <w:pPr>
        <w:spacing w:after="0" w:line="158" w:lineRule="exact"/>
        <w:rPr>
          <w:sz w:val="20"/>
          <w:szCs w:val="20"/>
          <w:color w:val="auto"/>
        </w:rPr>
      </w:pPr>
    </w:p>
    <w:p>
      <w:pPr>
        <w:ind w:right="620" w:firstLine="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successfully develop and introduce new products and services to meet the preferences of users, our competitive position and ability to generate revenues could be harmed.</w:t>
      </w:r>
    </w:p>
    <w:p>
      <w:pPr>
        <w:spacing w:after="0" w:line="159"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The preferences of viewers are continuously evolving and we must continue to develop new products and services. If we fail to react to changes in user preferences in a timely manner or fall behind our competitors in providing innovative products and services, we may lose user traffic, which would negatively affect our operating results. In addition, the planned timing or introduction of new products and services is subject to risks and uncertainties. Actual timing may differ materially from original plans. Unexpected technical, operational, distribution or other problems could delay or prevent the introduction of one or more of our new products or services. Moreover, we cannot assure you that our new products and services will achieve widespread market acceptance or generate incremental revenues. At the same time, other new media providers may be more successful in developing more attractive products and services. If our efforts to develop market and sell new products and services to the market are not successful, our financial position, operating results and cash flows could be materially adversely affected, the price of our ordinary shares could decline and you could lose part or all of your investment.</w:t>
      </w:r>
    </w:p>
    <w:p>
      <w:pPr>
        <w:sectPr>
          <w:pgSz w:w="11900" w:h="16853" w:orient="portrait"/>
          <w:cols w:equalWidth="0" w:num="1">
            <w:col w:w="11400"/>
          </w:cols>
          <w:pgMar w:left="240" w:top="121" w:right="259" w:bottom="0" w:gutter="0" w:footer="0" w:header="0"/>
        </w:sectPr>
      </w:pPr>
    </w:p>
    <w:p>
      <w:pPr>
        <w:spacing w:after="0" w:line="18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devices other than personal computers, such as mobile phones, tablets and other Internet-enabled mobile devices, are increasingly used to access the Internet, we have to develop products and applications for such devices if we are to maintain or increase our market share and revenues, and we may not be successful in doing so.</w:t>
      </w:r>
    </w:p>
    <w:p>
      <w:pPr>
        <w:sectPr>
          <w:pgSz w:w="11900" w:h="16853" w:orient="portrait"/>
          <w:cols w:equalWidth="0" w:num="1">
            <w:col w:w="11400"/>
          </w:cols>
          <w:pgMar w:left="240" w:top="121" w:right="259" w:bottom="0" w:gutter="0" w:footer="0" w:header="0"/>
          <w:type w:val="continuous"/>
        </w:sectPr>
      </w:pPr>
    </w:p>
    <w:bookmarkStart w:id="9" w:name="page10"/>
    <w:bookmarkEnd w:id="9"/>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Devices other than personal computers, such as mobile phones, tablets, wearable devices and other Internet-enabled mobile devices, are used increasingly in China and in overseas markets to access the Internet. We believe that, for our business to be successful, we will need to design, develop, promote and operate new products and applications that will be compatible with such devices and attractive to users. The design and development of new products and applications may not be successful. We may encounter difficulties with the development and installation of such new products and applications for mobile devices, and such products and applications may not function smoothly. As new devices are released or updated, we may encounter difficulties in developing and upgrading our products or applications for use on mobile devices and we may need to devote significant resources to the creation, support and maintenance of such products or applications for mobile devices, and we may not be successful in doing so. If these efforts are unsuccessful and we are thereby unable to maintain or increase our market share and revenues, our business, operating results and growth prospects could be materially and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highly competitive markets and we may not be able to compete successfully against our competitors.</w:t>
      </w:r>
    </w:p>
    <w:p>
      <w:pPr>
        <w:spacing w:after="0" w:line="229"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the new media industry in China, including competition from major Internet portals, mobile news and information application operators, Internet video companies, online video sites of major TV broadcasters, interactive and social network service providers, online and mobile gaming companies, mobile Internet services providers and other companies with strong media, online video and paid services businesses. Some of our competitors have longer operating histories and significantly greater financial resources than we do, which may allow them to attract and retain more users and advertisers. Our competitors may compete with us in a variety of ways, including by obtaining exclusive online distribution rights for popular content, conducting more aggressive brand promotions and other marketing activities and making acquisitions to increase their user bases. If any of our competitors achieves greater market acceptance or are able to offer more attractive online content, interactive services or paid services than us, our user traffic and our market share may decrease, which may result in a loss of advertisers and have a material and adverse effect on our business, financial condition and operating results. We also face competition from traditional advertising media such as television, newspapers, magazines, billboards and radio.</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contracted with third-party content providers and we may lose users and revenues if these relationships deteriorate or arrangements are terminated. If third-party content providers increase their content licensing fees, our operating results may be negatively affected.</w:t>
      </w:r>
    </w:p>
    <w:p>
      <w:pPr>
        <w:spacing w:after="0" w:line="78"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We have relied and will continue to rely mostly on third parties for the content we distribute across our channels. If these parties fail to develop and maintain high-quality and engaging content or raise their licensing fees, or if a large number of our existing relationships are terminated, we could lose users and advertisers and our brand could be materially harmed. License fees for third-party content showed an increasing trend in 2016. If such license fees continue to increase significantly in the future, our income from operations may be negatively affected. In addition, the Chinese government has the ability to restrict or prevent state-owned media from cooperating with us in providing certain content to us, which, if exercised, would result in a significant decrease in the amount of content we are able to source for our website and negatively impact our operating results.</w:t>
      </w:r>
    </w:p>
    <w:p>
      <w:pPr>
        <w:spacing w:after="0" w:line="103"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continue to receive the same level of support from Phoenix TV Group in the future. We could lose our license and priority over any third party to broadcast Phoenix TV Group’s content, which would have an adverse effect on our paid services business, and would also negatively affect our video advertising business. Together, these impacts could have an adverse effect on our business and operating results.</w:t>
      </w:r>
    </w:p>
    <w:p>
      <w:pPr>
        <w:spacing w:after="0" w:line="94"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Phoenix TV, our majority shareholder, is a leading global Chinese language TV network broadcasting premium content globally and into China. In November 2009, our PRC subsidiary, Fenghuang On-line, entered into a cooperation agreement with Phoenix TV, or the Phoenix TV Cooperation Agreement, under which Fenghuang On-line and Phoenix TV agreed to certain cooperative arrangements in the areas of content, branding, promotion and technology. Pursuant to the Phoenix TV Cooperation Agreement, in November 2009 each of our affiliated consolidated entities entered into a program content license agreement, or Content License Agreement, with Phoenix Satellite Television Company Limited and a trademark license agreement, or Trademark License Agreement, with Phoenix Satellite Television Trademark Limited. Considering the significant growth and changes in our business since execution of these agreements in 2009, we and Phoenix TV Group entered into a new set of agreements in May 2016, or the New Agreements, to amend and replace the previous agreements and provide the terms of our continued cooperation. The New Agreements include Program Resource License Agreements and Program Text/Graphics Resource License Agreements, or the Program License Agreements, between Phoenix Satellite Television Company Limited and each of Tianying Jiuzhou, Yifeng Lianhe and another subsidiary of us, and a Third Supplemental Agreement to the Trademark License Agreement by and among Phoenix Satellite Television Trademark Limited and both Tianying Jiuzhou and Yifeng Lianhe. Unlike the previous agreements, the New Agreements do not grant us the right to sublicense Phoenix TV Group’s copyrighted content to third parties. While we are in the process of negotiating with Phoenix TV Group to potentially re-acquire such right of sublicense, we cannot assure you that we will be able to re-acquire such right at reasonable costs or at all.</w:t>
      </w:r>
    </w:p>
    <w:p>
      <w:pPr>
        <w:spacing w:after="0" w:line="108"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We benefit from the license with priority over any third party granted to Tianying Jiuzhou, Yifeng Lianhe and the another subsidiary of us by Phoenix Satellite Television Company Limited, a wholly owned subsidiary of Phoenix TV, to broadcast Phoenix TV Group’s copyrighted content from three television channels of Phoenix TV Group on ifeng.com (our main Internet channel), i.ifeng.com (a mobile Internet channel of ours), and ifeng News, ifeng Video and ifeng VIP (three mobile applications of ours) in China (excluding Hong Kong, Macau and Taiwan) concurrently with such content broadcasted on the three television channels of Phoenix TV Group, pursuant to the Program License Agreements. This license with priority helps to distinguish our content offerings from those of other Internet and new media companies in China. The fees payable to Phoenix TV Group by us for all content licenses described above will be RMB10.0 million for the first year of the agreements, which will incrementally increase by 15% for each subsequent year of the agreements. Each of the parties to the Program License Agreements has the right to terminate the Program License Agreements before their expiration date by 6-month prior written notice to the other party. In addition, each of the Program License Agreements can be terminated earlier (i) by the non-breaching party in the event of a breach and if the breach is not cured within ten business days after receipt of notice of breach from the non-breaching party, (ii) in the event of bankruptcy or the cessation of business operations of either party, or a change in the shareholder or equity structure of the relevant affiliated consolidated entity, other than in connection with the contractual arrangements, (iii) by Phoenix Satellite Television Company Limited in the event that our shareholders or ownership structure change so that the shares held by Phoenix TV Group account for 50% or less of our actual total issued shares, or in the event that we lose control of Tianying Jiuzhou, Yifeng Lianhe or the another subsidiary of us; or if Tianying Jiuzhou, Yifeng Lianhe or the another subsidiary of us, as applicable, ceases its business operation; (iv) if either party’s performance of its obligations is held unlawful under PRC law; or (v) if an event occurs that adversely affects the performance by either party of its obligations and upon written notice by the unaffected party. The Program License Agreements will, unless extended further, expire on May 26, 2019. If the existing agreements expire and we cannot reach new agreements with Phoenix TV Group before the expiration, we may not be able to obtain rights to use Phoenix TV Group’s content on our platform on commercially reasonable terms, with any priority or at all, which would have an effect on our paid services business, and may also negatively affect our video advertising business. Together, these impacts could have a material and adverse effect on our business, operating results and financial condition.</w:t>
      </w:r>
    </w:p>
    <w:p>
      <w:pPr>
        <w:sectPr>
          <w:pgSz w:w="11900" w:h="16838" w:orient="portrait"/>
          <w:cols w:equalWidth="0" w:num="1">
            <w:col w:w="11420"/>
          </w:cols>
          <w:pgMar w:left="240" w:top="337" w:right="239" w:bottom="43" w:gutter="0" w:footer="0" w:header="0"/>
        </w:sectPr>
      </w:pPr>
    </w:p>
    <w:bookmarkStart w:id="10" w:name="page11"/>
    <w:bookmarkEnd w:id="10"/>
    <w:p>
      <w:pPr>
        <w:ind w:right="20" w:firstLine="441"/>
        <w:spacing w:after="0" w:line="252" w:lineRule="auto"/>
        <w:rPr>
          <w:sz w:val="20"/>
          <w:szCs w:val="20"/>
          <w:color w:val="auto"/>
        </w:rPr>
      </w:pPr>
      <w:r>
        <w:rPr>
          <w:rFonts w:ascii="Times New Roman" w:cs="Times New Roman" w:eastAsia="Times New Roman" w:hAnsi="Times New Roman"/>
          <w:sz w:val="18"/>
          <w:szCs w:val="18"/>
          <w:color w:val="auto"/>
        </w:rPr>
        <w:t>In addition, our affiliated consolidated entities are able to use certain of Phoenix TV Group’s logos pursuant to the Trademark License Agreements. We believe that our use of these logos helps to affiliate us with the brand of Phoenix TV, which helps to enhance our own brand. Tianying Jiuzhou and Yifeng Lianhe are obligated to pay annual license fees of US$7,000 and US$3,000, respectively, under the Trademark License Agreements, which fees are not subject to adjustment and may be waived at the discretion of Phoenix TV Group. Each of these agreements may be terminated earlier (i) by agreement of both parties in writing or (ii) by the non-breaching party in the event of a material breach by the other party of any covenant or a material failure by such party to perform any of its obligation and if the breach or failure, as applicable, is not rectified within ten days of receipt of written notice from the non-breaching party. Pursuant to the Third Supplemental Agreement to the Trademark License Agreements by and among Phoenix Satellite Television Trademark Limited and both Tianying Jiuzhou and Yifeng Lianhe, the Trademark License Agreements were extended until the earlier of (i) two months after the effective date of Phoenix TV’s trademark licensing policy and (ii) such time as we and Phoenix Satellite Television Trademark Limited enter into new trademark license agreements in accordance with Phoenix TV’s trademark licensing policy. If we and Phoenix Satellite Television Trademark Limited fail to enter into any new trademark license agreements within two months after the effective date of Phoenix TV’s trademark licensing policy for any reason, or if the new trademark license agreements are not as favorable to us as the existing Trademark License Agreements, our business and operating results may be adversely affected. We cannot assure you that we will be able to continue to use Phoenix TV Group’s logos in order to help maintain our brand affiliation with Phoenix TV. If our brand image deteriorates as a result of a weaker brand affiliation with Phoenix TV Group, our business and the price of your ADSs could be negatively affected.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 xml:space="preserve">On March 18, 2015, the State Administration of Taxation issued the </w:t>
      </w:r>
      <w:r>
        <w:rPr>
          <w:rFonts w:ascii="Times New Roman" w:cs="Times New Roman" w:eastAsia="Times New Roman" w:hAnsi="Times New Roman"/>
          <w:sz w:val="18"/>
          <w:szCs w:val="18"/>
          <w:i w:val="1"/>
          <w:iCs w:val="1"/>
          <w:color w:val="auto"/>
        </w:rPr>
        <w:t>Circular on Enterprise Income Tax Issues concerning Disbursement of Expenses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Enterprises to Overseas Related Parties</w:t>
      </w:r>
      <w:r>
        <w:rPr>
          <w:rFonts w:ascii="Times New Roman" w:cs="Times New Roman" w:eastAsia="Times New Roman" w:hAnsi="Times New Roman"/>
          <w:sz w:val="18"/>
          <w:szCs w:val="18"/>
          <w:color w:val="auto"/>
        </w:rPr>
        <w:t>, or SAT Circular 16, pursuant to which an enterprise, when making payments of fees to a related party overseas,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abide by the arm’s length principle and provide, as required by the competent tax authority, the contract or agreement that it has entered into with such related party, as well as relevant materials proving that such transaction is real and in compliance with the arm’s length principle. SAT Circular 16 further lists several payment scenarios which are in contravention of the arm’s length principle, including: (i) payments made to a related party that has not performed its functions, assumed any risks or engaged in any substantial business activities; (ii) payments of service fees made to a related party for its provision of services that cannot bring direct or indirect economic benefits to the payer; and (iii) payments of royalties made to a related party which merely owns the legal title to the relevant intangible assets that have not contributed to the payer’s creation of values. Where such transaction is deemed to have failed to accord with the arm’s length principle, the competent tax authority has the right to make taxation adjustments within ten years after the taxable year when the transaction is conducted. According to SAT Circular 16, payments made by our PRC subsidiaries and affiliated consolidated entities to Phoenix TV or its offshore affiliates under the above arrangements may be subject to stringent supervision by competent tax authority.</w:t>
      </w:r>
    </w:p>
    <w:p>
      <w:pPr>
        <w:spacing w:after="0" w:line="191" w:lineRule="exact"/>
        <w:rPr>
          <w:sz w:val="20"/>
          <w:szCs w:val="20"/>
          <w:color w:val="auto"/>
        </w:rPr>
      </w:pPr>
    </w:p>
    <w:p>
      <w:pPr>
        <w:ind w:right="4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Any negative development in Phoenix TV’s market position, harm to Phoenix TV’s brand or operations, or regulatory actions or legal proceedings affecting Phoenix TV’s intellectual properties on which our business relies could materially and adversely affect our business and operating results.</w:t>
      </w:r>
    </w:p>
    <w:p>
      <w:pPr>
        <w:spacing w:after="0" w:line="136"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Our business benefits significantly from our association with Phoenix TV’s brand. Many of our users and advertisers are attracted to the “Phoenix” ( ) brand, with which our brand, “ifeng.com” ( ) shares a similar Chinese name. Any negative development in Phoenix TV’s market position or brand recognition may materially and adversely affect our marketing efforts and the popularity of our business. Any negative development in Phoenix TV’s operations or attractiveness to users or advertisers may materially and adversely affect our business and operating results. Moreover, as we benefit from the content licensed to us by Phoenix TV, any regulatory actions or legal proceedings against Phoenix TV related to such content could have a material adverse impact on our operating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keep pace with rapid technological changes in the Internet and mobile Internet industries, our business may suffer.</w:t>
      </w:r>
    </w:p>
    <w:p>
      <w:pPr>
        <w:spacing w:after="0" w:line="229"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The Internet and mobile Internet industries have been experiencing rapid technological changes. For example, with the advances of search engines and social networking sites, Internet users may choose to access information through search engines or social networking sites instead of web portals or similar websites. With the advances in Internet interactivity, the interests and preferences of Internet users may increasingly shift to UGC and we-media content, such as WeChat, blogs, micro-blogs, and video podcasts. As broadband becomes more accessible, Internet users may increasingly demand content in pictorial, audio-rich and video-rich format. With the development of the mobile Internet in China, mobile users may shift from the current predominant text messaging services and other MVAS to newer services, such as mobile video streaming and mobile digital reading services. Our future success will depend on our ability to anticipate, adapt and support new technologies and industry standards. If we fail to anticipate and adapt to these and other technological changes, our market share and our profitability could suffer.</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lack of an Internet audio-visual program transmission license may expose us to administrative sanctions, including the banning of our paid mobile video services and video advertising services, which would materially and adversely affect our business and results of operation.</w:t>
      </w:r>
    </w:p>
    <w:p>
      <w:pPr>
        <w:spacing w:after="0" w:line="159"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The PRC government regulates the Internet industry extensively, including foreign ownership of, and the licensing requirements pertaining to, companies in the Internet industry. A number of regulatory agencies, including the Ministry of Culture, or the MOC, the Ministry of Industry and Information Technology, or MIIT, the General Administration of Press and Publication, Radio, Film and Television, or GAPPRFT, the State Council Information Office, or the SCIO, and other governmental authorities, jointly regulate all major aspects of the Internet industry. Operators are required to obtain various government approvals and licenses prior to providing the relevant Internet information services.</w:t>
      </w:r>
    </w:p>
    <w:p>
      <w:pPr>
        <w:spacing w:after="0" w:line="182"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Administrative Provisions on Internet Audio-visual Program Service</w:t>
      </w:r>
      <w:r>
        <w:rPr>
          <w:rFonts w:ascii="Times New Roman" w:cs="Times New Roman" w:eastAsia="Times New Roman" w:hAnsi="Times New Roman"/>
          <w:sz w:val="18"/>
          <w:szCs w:val="18"/>
          <w:color w:val="auto"/>
        </w:rPr>
        <w:t>, or the Audio-visual Program Provisions, which was issued by the State Administration of Radio, Film and Television (the predecessor of GAPPRFT), or SARFT and MIIT on December 20, 2007, came into effect on January 31, 2008 and was revised on August 28, 2015, online transmission of audio and video programs requires an Internet audio-visual program transmission license and online audio-visual service providers must be either wholly state-owned or state-controlled. In a press conference jointly held by SARFT and MIIT to answer questions with respect to the Audio-visual Program Provisions in February 2008, SARFT and MIIT clarified that online audio-visual service providers that already had been operating lawfully prior to the issuance of the Audio-visual Program Provisions may re-register and continue to operate without becoming state-owned or controlled, provided that such providers have not engaged in any unlawful activities. See “Item 4. Information on the Company—B. Business Overview—Regulatory Matters—Regulation of Online Transmission of Audio-Visual Programs.”</w:t>
      </w:r>
    </w:p>
    <w:p>
      <w:pPr>
        <w:sectPr>
          <w:pgSz w:w="11900" w:h="16838" w:orient="portrait"/>
          <w:cols w:equalWidth="0" w:num="1">
            <w:col w:w="11420"/>
          </w:cols>
          <w:pgMar w:left="240" w:top="121" w:right="239" w:bottom="0" w:gutter="0" w:footer="0" w:header="0"/>
        </w:sectPr>
      </w:pPr>
    </w:p>
    <w:bookmarkStart w:id="11" w:name="page12"/>
    <w:bookmarkEnd w:id="11"/>
    <w:p>
      <w:pPr>
        <w:spacing w:after="0" w:line="31"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color w:val="auto"/>
        </w:rPr>
        <w:t>We started offering Internet audio-visual program services through Tianying Jiuzhou in China prior to the issuance of the Audio-visual Program Provisions. Tianying Jiuzhou submitted an application to GAPPRFT to apply for the Internet audio-visual program transmission license when the relevant regulation came into effect. However, as of the date of this annual report, GAPPRFT has not issued Tianying Jiuzhou an Internet audio-visual program transmission license. Although we have been communicating with the relevant government authorities, such government authorities have not informed us as to when they will make a decision on whether to issue such license to Tianying Jiuzhou. To date, we have not received any notice of warning or been subject to penalties or other disciplinary action from the relevant governmental authorities regarding our dissemination of audio-visual programs through our website or mobile channel without such license. We cannot assure you that Tianying Jiuzhou will be able to obtain the Internet audio-visual program transmission license. Due to Tianying Jiuzhou’s lack of an Internet audio-visual program transmission license, the applicable local counterpart of GAPPRFT may issue warnings, order us to rectify our violating activity and impose on us a fine of no more than RMB30,000. In case of severe contravention as determined by GAPPRFT or its applicable local counterpart in its discretion, the applicable local counterpart of GAPPRFT may ban the violating operations, seize our equipment in connection with such operations and impose a penalty of one to two times the amount of the total investment in such operations. The banning of our paid mobile video services and video advertising services would materially and adversely affect our business and operating results.</w:t>
      </w:r>
    </w:p>
    <w:p>
      <w:pPr>
        <w:spacing w:after="0" w:line="18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lack of an Internet news license may expose us to administrative sanctions, including an order to cease our Internet information services that provide political news or to cease the Internet access services provided by third parties to us. In 2016, approximately 91.9% of our total revenues were derived from Internet information services and services that relied on Internet access services from third parties.</w:t>
      </w:r>
    </w:p>
    <w:p>
      <w:pPr>
        <w:spacing w:after="0" w:line="175" w:lineRule="exact"/>
        <w:rPr>
          <w:sz w:val="20"/>
          <w:szCs w:val="20"/>
          <w:color w:val="auto"/>
        </w:rPr>
      </w:pPr>
    </w:p>
    <w:p>
      <w:pPr>
        <w:ind w:right="60" w:firstLine="450"/>
        <w:spacing w:after="0" w:line="254" w:lineRule="auto"/>
        <w:rPr>
          <w:sz w:val="20"/>
          <w:szCs w:val="20"/>
          <w:color w:val="auto"/>
        </w:rPr>
      </w:pPr>
      <w:r>
        <w:rPr>
          <w:rFonts w:ascii="Times New Roman" w:cs="Times New Roman" w:eastAsia="Times New Roman" w:hAnsi="Times New Roman"/>
          <w:sz w:val="18"/>
          <w:szCs w:val="18"/>
          <w:color w:val="auto"/>
        </w:rPr>
        <w:t>We are required to obtain an Internet news license from SCIO for the dissemination of news through our website. See “Item 4. Information on the Company—B. Business Overview—Regulatory Matters—Regulation of Internet News Dissemination.” Tianying Jiuzhou submitted an application to the SCIO to apply for the Internet news license when the relevant regulation came into effect. However, as of the date of this annual report, the SCIO has not issued an Internet news license to Tianying Jiuzhou. As a result of Tianying Jiuzhou’s lack of an Internet news license, the SCIO or applicable information office at the provincial level may order us to cease the violating operations and impose a fine on us of not more than RMB30,000. In the case of severe contravention as determined by SCIO or its applicable local counterpart in its sole discretion, the telecommunications administrative authorities may, based on written confirmation opinions of SCIO or the applicable information office at the provincial level, and in accordance with the relevant regulations on Internet information services, cease our Internet information services that provide current political news or cease the Internet access services that third parties provide to us. In 2016, approximately 91.9% of our total revenues were derived from Internet information services and services that relied on Internet access services from third parties.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operating results may be harmed by service disruptions, or by our failure to timely and effectively scale and adapt our existing technology and infrastructure.</w:t>
      </w:r>
    </w:p>
    <w:p>
      <w:pPr>
        <w:spacing w:after="0" w:line="159"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The continual accessibility of our websites and the performance and reliability of our network infrastructure are critical to our reputation and our ability to attract and retain users, advertisers and partners. Any system failure or performance inadequacy that causes interruptions in the availability of our services or increases the response time of our services could reduce our appeal to users and consumers. Factors that could significantly disrupt our operations include system failures and outages caused by fire, floods, earthquakes, power loss, and telecommunications failures and similar events. Despite we have endeavored efforts to implement network security measures to our systems, it may also be vulnerable to computer viruses, break-ins and similar disruptions from unauthorized tampering, and security breaches related to the storage and transmission of proprietary information, such as personal information. If we were to suffer a sustained system failure or an extended decline in performance that interrupts or reduces speed of access to our services, our reputation may be harmed, we may fail to attract or retain users, advertisers and partners, and our business and operating results may be harmed as a result.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breaches or computer virus attacks could have a material adverse effect on our business prospects and operating results.</w:t>
      </w:r>
    </w:p>
    <w:p>
      <w:pPr>
        <w:spacing w:after="0" w:line="229" w:lineRule="exact"/>
        <w:rPr>
          <w:sz w:val="20"/>
          <w:szCs w:val="20"/>
          <w:color w:val="auto"/>
        </w:rPr>
      </w:pPr>
    </w:p>
    <w:p>
      <w:pPr>
        <w:ind w:right="120" w:firstLine="441"/>
        <w:spacing w:after="0" w:line="269" w:lineRule="auto"/>
        <w:rPr>
          <w:sz w:val="20"/>
          <w:szCs w:val="20"/>
          <w:color w:val="auto"/>
        </w:rPr>
      </w:pPr>
      <w:r>
        <w:rPr>
          <w:rFonts w:ascii="Times New Roman" w:cs="Times New Roman" w:eastAsia="Times New Roman" w:hAnsi="Times New Roman"/>
          <w:sz w:val="17"/>
          <w:szCs w:val="17"/>
          <w:color w:val="auto"/>
        </w:rPr>
        <w:t>Any significant breach of security of our products could significantly harm our business, reputation and operating results. We have in the past experienced security breaches by third parties, including redirecting our user traffic to other websites, and we were able to rectify the security breaches without significant impact to our operations. However, we cannot assure you that our IT systems will be completely secure from future security breaches or computer virus attacks. Anyone who is able to circumvent our security measures could misappropriate proprietary information, including the personal information of our users. To cope with these circumventions, we have (i) organized a professional technical team in cyber security, who are experts in devising cyber security strategies, conducting security audits of operating source code, tracking and analyzing risks, and solving technology related troubles,</w:t>
      </w:r>
    </w:p>
    <w:p>
      <w:pPr>
        <w:ind w:right="380" w:firstLine="8"/>
        <w:spacing w:after="0" w:line="254" w:lineRule="auto"/>
        <w:tabs>
          <w:tab w:leader="none" w:pos="2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communicated closely with several external security organizations, to acquire zero-day vulnerability information, (iii) purchased third-party security services, including vulnerability scanning services, and penetration and vulnerability testing every three years. Although we have already taken such measures, any circumvention of these security measures may still cause interruptions in our operations or damage our brand image and reputation, which could have a material adverse effect on our business prospects and operating results.</w:t>
      </w:r>
    </w:p>
    <w:p>
      <w:pPr>
        <w:spacing w:after="0" w:line="18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technologies could block our advertisements, desktop clients and mobile applications and may enable technical measures that could limit our traffic growth and new monetization opportunities.</w:t>
      </w:r>
    </w:p>
    <w:p>
      <w:pPr>
        <w:spacing w:after="0" w:line="159" w:lineRule="exact"/>
        <w:rPr>
          <w:sz w:val="20"/>
          <w:szCs w:val="20"/>
          <w:color w:val="auto"/>
        </w:rPr>
      </w:pPr>
    </w:p>
    <w:p>
      <w:pPr>
        <w:ind w:right="120" w:firstLine="441"/>
        <w:spacing w:after="0" w:line="256" w:lineRule="auto"/>
        <w:rPr>
          <w:sz w:val="20"/>
          <w:szCs w:val="20"/>
          <w:color w:val="auto"/>
        </w:rPr>
      </w:pPr>
      <w:r>
        <w:rPr>
          <w:rFonts w:ascii="Times New Roman" w:cs="Times New Roman" w:eastAsia="Times New Roman" w:hAnsi="Times New Roman"/>
          <w:sz w:val="18"/>
          <w:szCs w:val="18"/>
          <w:color w:val="auto"/>
        </w:rPr>
        <w:t>Technologies have been developed that can disable the display of our advertisements and that provide tools to users to opt out of our advertising products. Most of our revenues are derived from fees paid to us by advertisers in connection with the display of advertisements on webpages to our users. In addition, our traffic growth is significantly dependent on content viewing via mobile devices, such as smart phones and tablets. Technologies and tools for PCs and mobile devices, such as operating systems, internet browsers, anti-virus software and other applications, as well as mobile application download stores could set up technical measures to direct away internet traffic, require a fee for the download of our products or block our products all together, which could adversely affect our overall traffic and ability to monetize our services.</w:t>
      </w:r>
    </w:p>
    <w:p>
      <w:pPr>
        <w:spacing w:after="0" w:line="184"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 over financial reporting, our ability to accurately and timely report our financial results in accordance with U.S. GAAP may be materially and adversely affected. In addition, investor confidence in us and the market price of our ADSs may decline significantly.</w:t>
      </w:r>
    </w:p>
    <w:p>
      <w:pPr>
        <w:spacing w:after="0" w:line="175" w:lineRule="exact"/>
        <w:rPr>
          <w:sz w:val="20"/>
          <w:szCs w:val="20"/>
          <w:color w:val="auto"/>
        </w:rPr>
      </w:pPr>
    </w:p>
    <w:p>
      <w:pPr>
        <w:jc w:val="both"/>
        <w:ind w:right="60" w:firstLine="441"/>
        <w:spacing w:after="0" w:line="289" w:lineRule="auto"/>
        <w:rPr>
          <w:sz w:val="20"/>
          <w:szCs w:val="20"/>
          <w:color w:val="auto"/>
        </w:rPr>
      </w:pPr>
      <w:r>
        <w:rPr>
          <w:rFonts w:ascii="Times New Roman" w:cs="Times New Roman" w:eastAsia="Times New Roman" w:hAnsi="Times New Roman"/>
          <w:sz w:val="17"/>
          <w:szCs w:val="17"/>
          <w:color w:val="auto"/>
        </w:rPr>
        <w:t>We are subject to reporting obligations under U.S. securities laws. Among other things, the United States Securities and Exchange Commission, or the SEC, as required by Section 404 of the Sarbanes-Oxley Act of 2002, or Section 404, adopted rules requiring every public company, including us, to include a report from management on the effectiveness of its internal control over financial reporting in its annual report on Form 20-F starting in the annual report for</w:t>
      </w:r>
    </w:p>
    <w:p>
      <w:pPr>
        <w:sectPr>
          <w:pgSz w:w="11900" w:h="16869" w:orient="portrait"/>
          <w:cols w:equalWidth="0" w:num="1">
            <w:col w:w="11400"/>
          </w:cols>
          <w:pgMar w:left="240" w:top="337" w:right="259" w:bottom="0" w:gutter="0" w:footer="0" w:header="0"/>
        </w:sectPr>
      </w:pPr>
    </w:p>
    <w:bookmarkStart w:id="12" w:name="page13"/>
    <w:bookmarkEnd w:id="12"/>
    <w:p>
      <w:pPr>
        <w:spacing w:after="0" w:line="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its second fiscal year as a public company. In addition, beginning at the same time, an independent registered public accounting firm must attest to and report on the effectiveness of such public company’s internal control over financial reporting. We were subject to these requirements for the first time with respect to our annual report on Form 20-F for the fiscal year ended December 31, 2012.</w:t>
      </w:r>
    </w:p>
    <w:p>
      <w:pPr>
        <w:spacing w:after="0" w:line="176"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As of December 31, 2016, our management has concluded that our internal control over financial reporting is effective. See “Item 15. Controls and Procedures—Management’s Annual Report on Internal Control over Financial Reporting.” Our independent registered public accounting firm has issued an attestation report, which has concluded that our internal control over financial reporting is effective as of December 31, 2016.</w:t>
      </w:r>
    </w:p>
    <w:p>
      <w:pPr>
        <w:spacing w:after="0" w:line="176"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However, if we fail to maintain effective internal control over financial reporting in the future, our management and our independent registered public accounting firm may not be able to conclude that we have effective internal control over financial reporting at a reasonable assurance level. This could in turn result in the loss of investor confidence in the reliability of our financial statements and negatively impact the trading price of our ADSs. Furthermore, we have incurred and anticipate that we will continue to incur considerable costs, management time and other resources in an effort to maintain compliance with Section 404 and other requirements of the Sarbanes-Oxley Act.</w:t>
      </w:r>
    </w:p>
    <w:p>
      <w:pPr>
        <w:spacing w:after="0" w:line="180"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China Mobile, a related party, and other PRC mobile telecommunications operators for the majority of our MVAS revenues, and any termination or deterioration of our relationship with these telecommunications operators may result in severe disruptions to our business operations and the loss of the majority of our revenues.</w:t>
      </w:r>
    </w:p>
    <w:p>
      <w:pPr>
        <w:spacing w:after="0" w:line="175" w:lineRule="exact"/>
        <w:rPr>
          <w:sz w:val="20"/>
          <w:szCs w:val="20"/>
          <w:color w:val="auto"/>
        </w:rPr>
      </w:pPr>
    </w:p>
    <w:p>
      <w:pPr>
        <w:ind w:right="60" w:firstLine="441"/>
        <w:spacing w:after="0" w:line="255" w:lineRule="auto"/>
        <w:rPr>
          <w:sz w:val="20"/>
          <w:szCs w:val="20"/>
          <w:color w:val="auto"/>
        </w:rPr>
      </w:pPr>
      <w:r>
        <w:rPr>
          <w:rFonts w:ascii="Times New Roman" w:cs="Times New Roman" w:eastAsia="Times New Roman" w:hAnsi="Times New Roman"/>
          <w:sz w:val="18"/>
          <w:szCs w:val="18"/>
          <w:color w:val="auto"/>
        </w:rPr>
        <w:t>We derive majority of our mobile value added services revenues, or MVAS, revenues, such as WVAS, mobile video, mobile newspaper, and mobile games from the provision of content or services through the networks of the PRC telecommunications operators. In particular, we rely primarily on the networks of China Mobile, a shareholder of Phoenix TV since August 2006 with an equity interest of 19.69% as of March 31, 2017 to deliver our services. In 2014, 2015 and 2016, we derived approximately 64.9%, 71.5% and 57.7%, respectively, of our paid services revenues from China Mobile. Within these revenues, we generated a portion through fixed fee arrangements with China Mobile for our mobile newspaper services. The remainders of our MVAS revenues were derived from China United Telecommunications Corporation, or China Unicom, and China Telecommunications Corporation, or China Telecom.</w:t>
      </w:r>
    </w:p>
    <w:p>
      <w:pPr>
        <w:spacing w:after="0" w:line="189" w:lineRule="exact"/>
        <w:rPr>
          <w:sz w:val="20"/>
          <w:szCs w:val="20"/>
          <w:color w:val="auto"/>
        </w:rPr>
      </w:pPr>
    </w:p>
    <w:p>
      <w:pPr>
        <w:ind w:firstLine="495"/>
        <w:spacing w:after="0" w:line="253" w:lineRule="auto"/>
        <w:rPr>
          <w:sz w:val="20"/>
          <w:szCs w:val="20"/>
          <w:color w:val="auto"/>
        </w:rPr>
      </w:pPr>
      <w:r>
        <w:rPr>
          <w:rFonts w:ascii="Times New Roman" w:cs="Times New Roman" w:eastAsia="Times New Roman" w:hAnsi="Times New Roman"/>
          <w:sz w:val="18"/>
          <w:szCs w:val="18"/>
          <w:color w:val="auto"/>
        </w:rPr>
        <w:t>We have entered into a series of agreements with China Mobile and other Chinese mobile operators and their provincial subsidiaries to provide MVAS through their networks. These mobile operators could terminate cooperation with us or refuse to perform their obligations to pay for the MVAS we provide under the terms of our agreements with them for a variety of reasons, including failure to meet specified performance standards, the provision of poor services that gives rise to a high level of customer complaints or the delivery of content that violates the relevant operator’s policies and applicable law. In addition, our agreements with the mobile operators are generally for terms of one year or less. There is no assurance that we will be able to renew these agreements on commercially reasonable terms, or at all. If any of the Chinese mobile operators ceases to cooperate with us, it is unlikely that such operator’s customers will continue to use our mobile services. In particular, if China Mobile ceases to cooperate with us, it is unlikely that we will be able to build up sufficient new customers through the networks of other Chinese mobile operators to develop a customer base comparable to that which we have developed through China Mobile. Due to our reliance on China Mobile and other Chinese mobile operators to deliver our MVAS to our customers, any termination or deterioration of our relationship with China Mobile or other Chinese mobile operators may result in severe disruptions to our business operations and the loss of the majority of our revenues, and could have a negative impact on our financial condition and operating results.</w:t>
      </w:r>
    </w:p>
    <w:p>
      <w:pPr>
        <w:spacing w:after="0" w:line="193"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In addition, our negotiating leverage with China Mobile and other Chinese mobile operators is limited because China Mobile and other Chinese mobile operators operate the mobile networks through which a large number of service and content providers deliver their products to mobile phone users in China. We cannot assure you that such operators will not adopt business strategies that could have a material adverse effect on our business. In addition, our ability to develop certain new MVAS businesses going forward may be restricted by the business policies of China Mobile or other Chinese mobile operations. Due to our limited negotiating leverage with these mobile operators, we cannot exert any influence on their business decisions. Therefore, we cannot assure you that China Mobile or other Chinese mobile operators will not implement business strategies or policies that could have a negative impact on our results of operation and financial condition, or limit our ability to grow our MVAS businesses in the future.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efforts to develop additional distribution channels for our MVAS may not succeed or may be restricted or halted by telecommunications operators.</w:t>
      </w:r>
    </w:p>
    <w:p>
      <w:pPr>
        <w:spacing w:after="0" w:line="229" w:lineRule="exact"/>
        <w:rPr>
          <w:sz w:val="20"/>
          <w:szCs w:val="20"/>
          <w:color w:val="auto"/>
        </w:rPr>
      </w:pPr>
    </w:p>
    <w:p>
      <w:pPr>
        <w:ind w:right="60" w:firstLine="441"/>
        <w:spacing w:after="0" w:line="254" w:lineRule="auto"/>
        <w:rPr>
          <w:sz w:val="20"/>
          <w:szCs w:val="20"/>
          <w:color w:val="auto"/>
        </w:rPr>
      </w:pPr>
      <w:r>
        <w:rPr>
          <w:rFonts w:ascii="Times New Roman" w:cs="Times New Roman" w:eastAsia="Times New Roman" w:hAnsi="Times New Roman"/>
          <w:sz w:val="18"/>
          <w:szCs w:val="18"/>
          <w:color w:val="auto"/>
        </w:rPr>
        <w:t>Cooperation with mobile service providers, which we refer to as our “channel partners,” and mobile device manufacturers has provided us with important distribution channels for our MVAS businesses. We sell a certain amount of our premium content and services through our channel partners’ platforms. In addition, we pre-install into the menus of certain mobile devices certain of our MVAS icons and short codes for products offered on the multimedia messaging service, or MMS, short message service, or SMS, ring-back tone, or RBT and interactive voice response, or IVR, platforms. A consumer who buys a new mobile device pre-installed with our MVAS icons and codes can access and subscribe to our services quickly and easily. Channel partners and mobile device manufacturers have, through our cooperation with them, become important distribution channels. However, we cannot assure you that we will continue to maintain a growing or stable number of suitable channel partners in the future. In addition, in recent years, China Mobile and other telecommunications operators have entered into cooperation agreements with mobile handset manufacturers similar to our agreements with mobile handset manufacturers. We cannot guarantee that mobile device manufacturers will continue their direct cooperation with us or maintain their current revenue sharing arrangements with us.</w:t>
      </w:r>
    </w:p>
    <w:p>
      <w:pPr>
        <w:spacing w:after="0" w:line="186"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In addition, we cannot guarantee that MIIT or telecommunications operators will not restrict or halt our cooperation with handset manufacturers, or take other actions to limit or halt our use of mobile handsets as a distribution channel. Any such other actions could have a negative impact on our business and operating results.</w:t>
      </w:r>
    </w:p>
    <w:p>
      <w:pPr>
        <w:spacing w:after="0" w:line="17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dependence on the billing systems and records of mobile operators may require us to estimate portions of our reported revenues and cost of revenues for most of our MVAS, which may require subsequent adjustments to our financial statements.</w:t>
      </w:r>
    </w:p>
    <w:p>
      <w:pPr>
        <w:spacing w:after="0" w:line="159" w:lineRule="exact"/>
        <w:rPr>
          <w:sz w:val="20"/>
          <w:szCs w:val="20"/>
          <w:color w:val="auto"/>
        </w:rPr>
      </w:pPr>
    </w:p>
    <w:p>
      <w:pPr>
        <w:ind w:right="120" w:firstLine="450"/>
        <w:spacing w:after="0" w:line="258" w:lineRule="auto"/>
        <w:rPr>
          <w:sz w:val="20"/>
          <w:szCs w:val="20"/>
          <w:color w:val="auto"/>
        </w:rPr>
      </w:pPr>
      <w:r>
        <w:rPr>
          <w:rFonts w:ascii="Times New Roman" w:cs="Times New Roman" w:eastAsia="Times New Roman" w:hAnsi="Times New Roman"/>
          <w:sz w:val="18"/>
          <w:szCs w:val="18"/>
          <w:color w:val="auto"/>
        </w:rPr>
        <w:t>We depend largely on the billing systems and records of the telecommunications operators to record the volume of our MVAS provided, bill our customers, collect payments and remit to us our portion of the revenues. We record revenues based on monthly statements from the mobile operators confirming the value of our services that the mobile operators billed to customers during the month. Due to our past experience with the timing of receipt of the monthly statements from the mobile operators, we expect that we may need to rely on our own internal estimates for the portion of our reported revenues and cost of revenues for which we will not have received monthly statements. In such instances, our internal estimates would be based on our own internal</w:t>
      </w:r>
    </w:p>
    <w:p>
      <w:pPr>
        <w:sectPr>
          <w:pgSz w:w="11900" w:h="16844" w:orient="portrait"/>
          <w:cols w:equalWidth="0" w:num="1">
            <w:col w:w="11420"/>
          </w:cols>
          <w:pgMar w:left="240" w:top="121" w:right="239" w:bottom="0" w:gutter="0" w:footer="0" w:header="0"/>
        </w:sectPr>
      </w:pPr>
    </w:p>
    <w:bookmarkStart w:id="13" w:name="page14"/>
    <w:bookmarkEnd w:id="13"/>
    <w:p>
      <w:pPr>
        <w:spacing w:after="0" w:line="7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data of expected revenues and related fees from services provided. As a result of such reliance on internal estimates, we may overstate or understate our revenues and cost of revenues for the relevant reporting period, and may be required to make adjustments in our financial reports when we actually receive the mobile operators’ monthly statements for such period. We endeavor to reduce the discrepancy between our revenue estimates and the revenues calculated by the mobile operators and their subsidiaries; however, we cannot assure you that these efforts will be successful. In addition, we generally do not have the ability to independently verify or challenge the accuracy of the billing systems of the mobile operators. We cannot assure you that any negotiations between us and mobile operators to reconcile billing discrepancies would be resolved in our favor or that our financial condition and operating results would not be materially and adversely affected as a result. Historically, there has been no significant difference between our revenue estimates and the mobile operators’ billing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changes in the policies or guidelines of China Mobile or other Chinese mobile operators with respect to services provided by us may result in lower revenues or additional costs for us and negatively impact our business operations, financial condition and operating results.</w:t>
      </w:r>
    </w:p>
    <w:p>
      <w:pPr>
        <w:spacing w:after="0" w:line="159" w:lineRule="exact"/>
        <w:rPr>
          <w:sz w:val="20"/>
          <w:szCs w:val="20"/>
          <w:color w:val="auto"/>
        </w:rPr>
      </w:pPr>
    </w:p>
    <w:p>
      <w:pPr>
        <w:jc w:val="both"/>
        <w:ind w:right="160" w:firstLine="441"/>
        <w:spacing w:after="0" w:line="261" w:lineRule="auto"/>
        <w:rPr>
          <w:sz w:val="20"/>
          <w:szCs w:val="20"/>
          <w:color w:val="auto"/>
        </w:rPr>
      </w:pPr>
      <w:r>
        <w:rPr>
          <w:rFonts w:ascii="Times New Roman" w:cs="Times New Roman" w:eastAsia="Times New Roman" w:hAnsi="Times New Roman"/>
          <w:sz w:val="18"/>
          <w:szCs w:val="18"/>
          <w:color w:val="auto"/>
        </w:rPr>
        <w:t>China Mobile or other Chinese mobile operators may from time to time issue policies or guidelines, requesting or stating their preferences for certain actions to be taken by all mobile Internet service providers using their networks. Due to our reliance on China Mobile and other Chinese mobile operators, a significant change in their policies or guidelines may cause our revenues to decrease or operating costs to increase. We cannot assure you that our financial condition and operating results will not be negatively impacted by policy or guideline changes by China Mobile or other Chinese mobile operators.</w:t>
      </w:r>
    </w:p>
    <w:p>
      <w:pPr>
        <w:spacing w:after="0" w:line="180"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For example, in January 2010, China Mobile began implementing a series of measures targeted at further improving the user experience for mobile device embedded services, in addition to the introduction of a new short message service, or SMS, code management system. Under these measures, WVAS that are embedded in mobile devices will be required to introduce additional notices and confirmations to end-consumers during the purchase of such services. In addition, services related to SMS short codes will be required to be more tailored to the specific service offerings or service partners. Previously, a single SMS code could be used for multiple service offerings or partners.</w:t>
      </w:r>
    </w:p>
    <w:p>
      <w:pPr>
        <w:spacing w:after="0" w:line="184"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We cannot assure you that China Mobile or other Chinese mobile operators will not introduce additional requirements with respect to the procedures for ordering monthly subscriptions or single-transaction downloads of our MVAS, notifications to customers, the billing of customers or other consumer-protection measures or adopt other policies that may require significant changes in the way we promote and sell our MVAS, any of which could have a negative impact on our financial condition and operating results.</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revenues and operating results may fluctuate, which makes our operating results difficult to predict and may cause our quarterly operating results to fall short of expectations.</w:t>
      </w:r>
    </w:p>
    <w:p>
      <w:pPr>
        <w:spacing w:after="0" w:line="159"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Our quarterly revenues and operating results have fluctuated in the past and may continue to fluctuate depending upon a number of factors, many of which are out of our control. For these reasons, comparing our operating results on a period-to-period basis may not be meaningful, and you should not rely on our past results as an indication of our future performance. Our quarterly and annual revenues and costs and expenses as a percentage of our revenues may be significantly different from our historical or projected rates. Our operating results in future quarters may fall below expectations. Any of these events could cause the price of our ADSs to fall. Other factors that may affect our financial results include, among others:</w:t>
      </w:r>
    </w:p>
    <w:p>
      <w:pPr>
        <w:spacing w:after="0" w:line="184" w:lineRule="exact"/>
        <w:rPr>
          <w:sz w:val="20"/>
          <w:szCs w:val="20"/>
          <w:color w:val="auto"/>
        </w:rPr>
      </w:pPr>
    </w:p>
    <w:p>
      <w:pPr>
        <w:ind w:left="1680" w:hanging="907"/>
        <w:spacing w:after="0"/>
        <w:tabs>
          <w:tab w:leader="none" w:pos="1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macro economic conditions;</w:t>
      </w:r>
    </w:p>
    <w:p>
      <w:pPr>
        <w:spacing w:after="0" w:line="225" w:lineRule="exact"/>
        <w:rPr>
          <w:rFonts w:ascii="Times New Roman" w:cs="Times New Roman" w:eastAsia="Times New Roman" w:hAnsi="Times New Roman"/>
          <w:sz w:val="18"/>
          <w:szCs w:val="18"/>
          <w:color w:val="auto"/>
        </w:rPr>
      </w:pPr>
    </w:p>
    <w:p>
      <w:pPr>
        <w:ind w:left="1680" w:hanging="907"/>
        <w:spacing w:after="0"/>
        <w:tabs>
          <w:tab w:leader="none" w:pos="1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increase user traffic;</w:t>
      </w:r>
    </w:p>
    <w:p>
      <w:pPr>
        <w:spacing w:after="0" w:line="225" w:lineRule="exact"/>
        <w:rPr>
          <w:rFonts w:ascii="Times New Roman" w:cs="Times New Roman" w:eastAsia="Times New Roman" w:hAnsi="Times New Roman"/>
          <w:sz w:val="18"/>
          <w:szCs w:val="18"/>
          <w:color w:val="auto"/>
        </w:rPr>
      </w:pPr>
    </w:p>
    <w:p>
      <w:pPr>
        <w:ind w:left="1680" w:hanging="907"/>
        <w:spacing w:after="0"/>
        <w:tabs>
          <w:tab w:leader="none" w:pos="1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advertisers;</w:t>
      </w:r>
    </w:p>
    <w:p>
      <w:pPr>
        <w:spacing w:after="0" w:line="225" w:lineRule="exact"/>
        <w:rPr>
          <w:rFonts w:ascii="Times New Roman" w:cs="Times New Roman" w:eastAsia="Times New Roman" w:hAnsi="Times New Roman"/>
          <w:sz w:val="18"/>
          <w:szCs w:val="18"/>
          <w:color w:val="auto"/>
        </w:rPr>
      </w:pPr>
    </w:p>
    <w:p>
      <w:pPr>
        <w:ind w:left="1680" w:hanging="907"/>
        <w:spacing w:after="0"/>
        <w:tabs>
          <w:tab w:leader="none" w:pos="1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policies of mobile operators;</w:t>
      </w:r>
    </w:p>
    <w:p>
      <w:pPr>
        <w:spacing w:after="0" w:line="225" w:lineRule="exact"/>
        <w:rPr>
          <w:rFonts w:ascii="Times New Roman" w:cs="Times New Roman" w:eastAsia="Times New Roman" w:hAnsi="Times New Roman"/>
          <w:sz w:val="18"/>
          <w:szCs w:val="18"/>
          <w:color w:val="auto"/>
        </w:rPr>
      </w:pPr>
    </w:p>
    <w:p>
      <w:pPr>
        <w:ind w:left="1680" w:hanging="907"/>
        <w:spacing w:after="0"/>
        <w:tabs>
          <w:tab w:leader="none" w:pos="1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policies or regulations, or their enforcement; and</w:t>
      </w:r>
    </w:p>
    <w:p>
      <w:pPr>
        <w:spacing w:after="0" w:line="225" w:lineRule="exact"/>
        <w:rPr>
          <w:rFonts w:ascii="Times New Roman" w:cs="Times New Roman" w:eastAsia="Times New Roman" w:hAnsi="Times New Roman"/>
          <w:sz w:val="18"/>
          <w:szCs w:val="18"/>
          <w:color w:val="auto"/>
        </w:rPr>
      </w:pPr>
    </w:p>
    <w:p>
      <w:pPr>
        <w:ind w:left="1680" w:hanging="907"/>
        <w:spacing w:after="0"/>
        <w:tabs>
          <w:tab w:leader="none" w:pos="1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events or natural disasters such as war, threat of war, earthquake or epidemics.</w:t>
      </w:r>
    </w:p>
    <w:p>
      <w:pPr>
        <w:spacing w:after="0" w:line="225"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Our operating results tend to be seasonal. For instance, we may generate less revenue from brand advertising sales and paid services revenues during national holidays in China, in particular during the Chinese New Year holidays in the first quarter of each year. We may have higher net advertising revenues during the fourth quarter of each year primarily due to greater advertising spending by our advertisers near the end of the year when they spend the remaining portions of their annual budgets. In addition, advertising spending in China has historically been cyclical, reflecting overall economic conditions as well as the budgeting and buying patterns of our customers.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GAPPRFT’s approval for introducing and broadcasting foreign television programs could have a material adverse effect on our ability to conduct our business.</w:t>
      </w:r>
    </w:p>
    <w:p>
      <w:pPr>
        <w:spacing w:after="0" w:line="159" w:lineRule="exact"/>
        <w:rPr>
          <w:sz w:val="20"/>
          <w:szCs w:val="20"/>
          <w:color w:val="auto"/>
        </w:rPr>
      </w:pPr>
    </w:p>
    <w:p>
      <w:pPr>
        <w:ind w:right="80" w:firstLine="441"/>
        <w:spacing w:after="0" w:line="255" w:lineRule="auto"/>
        <w:rPr>
          <w:sz w:val="20"/>
          <w:szCs w:val="20"/>
          <w:color w:val="auto"/>
        </w:rPr>
      </w:pPr>
      <w:r>
        <w:rPr>
          <w:rFonts w:ascii="Times New Roman" w:cs="Times New Roman" w:eastAsia="Times New Roman" w:hAnsi="Times New Roman"/>
          <w:sz w:val="18"/>
          <w:szCs w:val="18"/>
          <w:color w:val="auto"/>
        </w:rPr>
        <w:t xml:space="preserve">A substantial amount of the video content on our website is closely linked to or is the online version of the TV content of Phoenix TV. PRC law requires approval from GAPPRFT for introducing and broadcasting foreign television programs into China. In September 2004, SARFT promulgated certain regulations of the </w:t>
      </w:r>
      <w:r>
        <w:rPr>
          <w:rFonts w:ascii="Times New Roman" w:cs="Times New Roman" w:eastAsia="Times New Roman" w:hAnsi="Times New Roman"/>
          <w:sz w:val="18"/>
          <w:szCs w:val="18"/>
          <w:i w:val="1"/>
          <w:iCs w:val="1"/>
          <w:color w:val="auto"/>
        </w:rPr>
        <w:t>Administrative Regulations on the Introduction and Broadcasting of Foreign Television Programs</w:t>
      </w:r>
      <w:r>
        <w:rPr>
          <w:rFonts w:ascii="Times New Roman" w:cs="Times New Roman" w:eastAsia="Times New Roman" w:hAnsi="Times New Roman"/>
          <w:sz w:val="18"/>
          <w:szCs w:val="18"/>
          <w:color w:val="auto"/>
        </w:rPr>
        <w:t xml:space="preserve">, pursuant to which only organizations designated by GAPPRFT are qualified to apply to GAPPRFT or its authorized entities for the introduction or broadcasting of foreign television programs. In addition, on July 6, 2004, SARFT issued the </w:t>
      </w:r>
      <w:r>
        <w:rPr>
          <w:rFonts w:ascii="Times New Roman" w:cs="Times New Roman" w:eastAsia="Times New Roman" w:hAnsi="Times New Roman"/>
          <w:sz w:val="18"/>
          <w:szCs w:val="18"/>
          <w:i w:val="1"/>
          <w:iCs w:val="1"/>
          <w:color w:val="auto"/>
        </w:rPr>
        <w:t>Measures for the Administration of Publication of Audio-Visual Programs through the Internet or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Networks</w:t>
      </w:r>
      <w:r>
        <w:rPr>
          <w:rFonts w:ascii="Times New Roman" w:cs="Times New Roman" w:eastAsia="Times New Roman" w:hAnsi="Times New Roman"/>
          <w:sz w:val="18"/>
          <w:szCs w:val="18"/>
          <w:color w:val="auto"/>
        </w:rPr>
        <w:t>, or the 2004 A/V Measures, which explicitly prohibit Internet service providers from broadcasting any foreign television program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information network and state that any violation may result in warnings, monetary penalties or, in severe cases, criminal liabilities. On November 19, 2009, SARFT issued a notice which extended this prohibition to broadcasting over mobile phones. In December 2007 and March 2009, however, SARFT</w:t>
      </w:r>
    </w:p>
    <w:p>
      <w:pPr>
        <w:sectPr>
          <w:pgSz w:w="11900" w:h="16910" w:orient="portrait"/>
          <w:cols w:equalWidth="0" w:num="1">
            <w:col w:w="11420"/>
          </w:cols>
          <w:pgMar w:left="240" w:top="121" w:right="239" w:bottom="0" w:gutter="0" w:footer="0" w:header="0"/>
        </w:sectPr>
      </w:pPr>
    </w:p>
    <w:bookmarkStart w:id="14" w:name="page15"/>
    <w:bookmarkEnd w:id="14"/>
    <w:p>
      <w:pPr>
        <w:spacing w:after="0" w:line="3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issued two notices which provide that certain foreign audio-visual programs may be published through the Internet provided that certain regulatory requirements have been met and certain permits have been obtained, thereby implying that the absolute restriction against broadcasting foreign television programs on the Internet as set forth in the 2004 A/V Measures has been lifted. On April 25, 2016, GAPPRFT issued the </w:t>
      </w:r>
      <w:r>
        <w:rPr>
          <w:rFonts w:ascii="Times New Roman" w:cs="Times New Roman" w:eastAsia="Times New Roman" w:hAnsi="Times New Roman"/>
          <w:sz w:val="18"/>
          <w:szCs w:val="18"/>
          <w:i w:val="1"/>
          <w:iCs w:val="1"/>
          <w:color w:val="auto"/>
        </w:rPr>
        <w:t>Administrative Provisions on Audio-Visual Program Services through Private Network and Targeted Communication</w:t>
      </w:r>
      <w:r>
        <w:rPr>
          <w:rFonts w:ascii="Times New Roman" w:cs="Times New Roman" w:eastAsia="Times New Roman" w:hAnsi="Times New Roman"/>
          <w:sz w:val="18"/>
          <w:szCs w:val="18"/>
          <w:color w:val="auto"/>
        </w:rPr>
        <w:t>, the 2016 A/V Provisions, which replaced the 2004 Internet A/V Measures.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2016 A/V Provisions does not explicitly specify whether broadcasting foreign television program is permitted. See “Item 4. Information on the Company —B. Business Overview—Regulatory Matters—Regulation of Foreign Television Programs and Satellite Channels.” As of the date of this annual report, we have not obtained an approval from GAPPRFT for introducing and broadcasting foreign TV programs produced by Phoenix TV or other foreign TV stations in China. We have made oral inquiries with SARFT, and were orally informed that such operations do not violate the regulations on the introduction and distribution of foreign TV programs. Therefore, there is considerable uncertainty as to whether we are permitted to transmit foreign television programs through the online video services that we offer. If GAPPRFT or its local branch requires us to obtain its approval for our introduction and online broadcasting of overseas TV programs, we may not be able to obtain such approval in a timely manner or at all. In such case, the PRC government would have the power to, among other things, levy fines against us, confiscate our income, order us to cease certain content service, or require us to temporarily or permanently discontinue the affected portion of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certain permits for our health and Chinese medicine verticals would subject us to penalties.</w:t>
      </w:r>
    </w:p>
    <w:p>
      <w:pPr>
        <w:spacing w:after="0" w:line="229"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Entities in China are not allowed to provide drug-related or medical care information services online before obtaining an Internet Medicine Information Service Qualification Certificate and a Consent Letter for Internet Medical Care Information from the relevant local government agencies. See “Item 4. Information on the Company—B. Business Overview—Regulatory Matters—Regulation of Certain Internet Content.” Certain of our verticals, such as our health and traditional Chinese medicine verticals contain drug-related information and certain online health diagnoses and treatment advices provided by our users. We do not currently have such certificate or consent letter, but have engaged an agency to assist us in applying for such certificate and consent letter. We are in the process of undertaking the necessary steps for preparing this application. We cannot assure you that we may be able to obtain the certificate and consent letter. Without them, we may be subject to administrative warnings, termination of any Internet drug-related services and online health diagnoses and treatment services on our website, and other penalties that are not clearly provided for in the relevant regulations.</w:t>
      </w:r>
    </w:p>
    <w:p>
      <w:pPr>
        <w:spacing w:after="0" w:line="18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or maintain all applicable permits and approvals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or fail to comply with PRC regulations, relating to online games, our ability to conduct our online game business and certain other businesses could be affected and we could be subject to penalties and other administrative sanctions.</w:t>
      </w:r>
    </w:p>
    <w:p>
      <w:pPr>
        <w:spacing w:after="0" w:line="159"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 xml:space="preserve">Pursuant to PRC regulations regulating online games, online games (including mobile games) are categorized as a type of “online cultural product” and the provision of online games is deemed an Internet publication activity. Therefore, in order to operate an online game business, an operator should obtain an Online Culture Operating Permit from the MOC (with a business scope covering operation of online games) and a Network Publication Service License from GAPPRFT in order to directly make its online games publicly available in China. Furthermore, pursuant to the </w:t>
      </w:r>
      <w:r>
        <w:rPr>
          <w:rFonts w:ascii="Times New Roman" w:cs="Times New Roman" w:eastAsia="Times New Roman" w:hAnsi="Times New Roman"/>
          <w:sz w:val="18"/>
          <w:szCs w:val="18"/>
          <w:i w:val="1"/>
          <w:iCs w:val="1"/>
          <w:color w:val="auto"/>
        </w:rPr>
        <w:t>Provisional Measures on the Administration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Online Games </w:t>
      </w:r>
      <w:r>
        <w:rPr>
          <w:rFonts w:ascii="Times New Roman" w:cs="Times New Roman" w:eastAsia="Times New Roman" w:hAnsi="Times New Roman"/>
          <w:sz w:val="18"/>
          <w:szCs w:val="18"/>
          <w:color w:val="auto"/>
        </w:rPr>
        <w:t>promulgated by the MOC on June 3, 2010, an online mobile games operator should make a filing with the MOC in respect of each domestic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game within 30 days of commencing operations. In addition, each online game must be screened by GAPPRFT by way of an approval process before it is first published and made publicly available. See “Item 4. Information on the Company—B. Business Overview—Regulatory Matters—Regulation of Online Cultural Activities, Online Games and Internet Music.”</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483"/>
        <w:spacing w:after="0" w:line="253" w:lineRule="auto"/>
        <w:rPr>
          <w:sz w:val="20"/>
          <w:szCs w:val="20"/>
          <w:color w:val="auto"/>
        </w:rPr>
      </w:pPr>
      <w:r>
        <w:rPr>
          <w:rFonts w:ascii="Times New Roman" w:cs="Times New Roman" w:eastAsia="Times New Roman" w:hAnsi="Times New Roman"/>
          <w:sz w:val="18"/>
          <w:szCs w:val="18"/>
          <w:color w:val="auto"/>
        </w:rPr>
        <w:t>As of the date of this annual report, Tianying Jiuzhou and Yifeng Lianhe have obtained Online Culture Operating Permits from the MOC with respect to its operation of online games. Tianying Jiuzhou has obtained an Internet Publication License from GAPPRFT with respect to books and periodicals published on the Internet, including the mobile Internet, and online and mobile games. Yifeng Lianhe has not obtained an Internet Publication License or a Network Publication Service License. In addition, we license almost all of our online and mobile games from other game operators and share profits with these game operators. We require these game operators to obtain the requisite approvals from GAPPRFT, and make the filings with the MOC, for relevant online and mobile games. As of the date of this annual report, we have not obtained advanced approval for some of our mobile games from GAPPRFT or completed filing with the MOC. We cannot assure you that (i) Yifeng Lianhe can obtain a Network Publication Service License; or (ii) we or such game operators can obtain all the required approvals and complete the relevant filing procedures with the relevant government authorities for each game we operate in a timely manner or at all. If the relevant authority challenges the commercial operation of our games and determines that we are in violation of the relevant laws and regulations regarding online and mobile games, it would have the power to, among other things, levy fines against us, confiscate our income and require us to discontinue our online game business. In addition, if we were deemed to be in violation of the relevant laws and regulations regarding online and mobile games, GAPPRFT would have the ability to withdraw the Internet Publication License that it granted to Tianying Jiuzhou on April 15, 2011, which may affect, directly or indirectly, our ability to conduct our online digital reading services and game services.</w:t>
      </w:r>
    </w:p>
    <w:p>
      <w:pPr>
        <w:spacing w:after="0" w:line="187" w:lineRule="exact"/>
        <w:rPr>
          <w:sz w:val="20"/>
          <w:szCs w:val="20"/>
          <w:color w:val="auto"/>
        </w:rPr>
      </w:pPr>
    </w:p>
    <w:p>
      <w:pPr>
        <w:ind w:right="120" w:firstLine="441"/>
        <w:spacing w:after="0" w:line="255" w:lineRule="auto"/>
        <w:rPr>
          <w:sz w:val="20"/>
          <w:szCs w:val="20"/>
          <w:color w:val="auto"/>
        </w:rPr>
      </w:pPr>
      <w:r>
        <w:rPr>
          <w:rFonts w:ascii="Times New Roman" w:cs="Times New Roman" w:eastAsia="Times New Roman" w:hAnsi="Times New Roman"/>
          <w:sz w:val="18"/>
          <w:szCs w:val="18"/>
          <w:color w:val="auto"/>
        </w:rPr>
        <w:t xml:space="preserve">In addition, the MOC and the Ministry of Commerce, or MOFCOM, jointly issued in 2009 the </w:t>
      </w:r>
      <w:r>
        <w:rPr>
          <w:rFonts w:ascii="Times New Roman" w:cs="Times New Roman" w:eastAsia="Times New Roman" w:hAnsi="Times New Roman"/>
          <w:sz w:val="18"/>
          <w:szCs w:val="18"/>
          <w:i w:val="1"/>
          <w:iCs w:val="1"/>
          <w:color w:val="auto"/>
        </w:rPr>
        <w:t>Notice on Strengthening the Administration of Online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Game Virtual Currency</w:t>
      </w:r>
      <w:r>
        <w:rPr>
          <w:rFonts w:ascii="Times New Roman" w:cs="Times New Roman" w:eastAsia="Times New Roman" w:hAnsi="Times New Roman"/>
          <w:sz w:val="18"/>
          <w:szCs w:val="18"/>
          <w:color w:val="auto"/>
        </w:rPr>
        <w:t>, or the Virtual Currency Notice, which requires online game operators to report the total amount of their issued virtual currency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basis, and game operators are prohibited from issuing disproportionate amounts of virtual currency in order to generate revenues. The Virtual Currency Notice also reiterates that virtual currency can only be provided to users in exchange for an RMB payment and can only be used to pay for virtual goods and services of the issuers. We provide extra free virtual currencies to game users as they buy virtual currencies, which is not in compliance with the Virtual Currency Notice. Therefore, we may be ordered to remedy such noncompliance within the timeframe specified by the MOC or MOFCOM. If we fail to remedy any noncompliance within the specified timeframe, the MOC and MOFCOM would have the power to, among other things, levy fines against us, confiscate our income and order us to cease certain services.</w:t>
      </w:r>
    </w:p>
    <w:p>
      <w:pPr>
        <w:spacing w:after="0" w:line="187"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Furthermore, Tianying Jiuzhou is engaged in online performance through its live broadcasting vertical, FENG Live. As of the date of this annual report, Tianying Jiuzhou has been granted an Online Culture Operating Permit with a permitted business scope of the operation of online music, art and entertainment products, online game products (including virtual currencies for online games), art products, play performance, animation products and organization of exhibition or race of the online cultural products. However, the Online Culture Operating Permit of Tianying Jiuzhou currently does not cover the operation of online performance. We are in the process of applying for the expansion of the permitted business scope to cover online performance. If we fail to expand the permitted business scope in a timely manner, the MOC would have the power to, among other things, order us to make corrections within a prescribed period, confiscate our income from such business, levy fines against us or even withdraw the Online Culture Operating Permit that it granted to Tianying Jiuzhou.</w:t>
      </w:r>
    </w:p>
    <w:p>
      <w:pPr>
        <w:sectPr>
          <w:pgSz w:w="11900" w:h="16869" w:orient="portrait"/>
          <w:cols w:equalWidth="0" w:num="1">
            <w:col w:w="11400"/>
          </w:cols>
          <w:pgMar w:left="240" w:top="121" w:right="259" w:bottom="0" w:gutter="0" w:footer="0" w:header="0"/>
        </w:sectPr>
      </w:pPr>
    </w:p>
    <w:p>
      <w:pPr>
        <w:spacing w:after="0" w:line="181"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affiliated consolidated entities and their respective shareholders do not own all the trademarks used in their value-added telecommunications services, which may subject them to revocation of their licenses or other penalties or sanctions.</w:t>
      </w:r>
    </w:p>
    <w:p>
      <w:pPr>
        <w:sectPr>
          <w:pgSz w:w="11900" w:h="16869" w:orient="portrait"/>
          <w:cols w:equalWidth="0" w:num="1">
            <w:col w:w="11400"/>
          </w:cols>
          <w:pgMar w:left="240" w:top="121" w:right="259" w:bottom="0" w:gutter="0" w:footer="0" w:header="0"/>
          <w:type w:val="continuous"/>
        </w:sectPr>
      </w:pPr>
    </w:p>
    <w:bookmarkStart w:id="15" w:name="page16"/>
    <w:bookmarkEnd w:id="15"/>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Notice on Strengthening the Administration of Foreign Investment in Value-added Telecommunications Services</w:t>
      </w:r>
      <w:r>
        <w:rPr>
          <w:rFonts w:ascii="Times New Roman" w:cs="Times New Roman" w:eastAsia="Times New Roman" w:hAnsi="Times New Roman"/>
          <w:sz w:val="18"/>
          <w:szCs w:val="18"/>
          <w:color w:val="auto"/>
        </w:rPr>
        <w:t xml:space="preserve"> issued on July 13, 2006 by MIIT, or the MIIT 2006 Notice, domestic telecommunications service providers are prohibited from leasing, transferring or selling telecommunications business operating licenses to any foreign investors in any form, or providing any resources, sites or facilities to any foreign investors for their operation of telecommunications businesses in China. According to the MIIT 2006 Notice, the holder of a value-added telecommunications business operating license, or ICP License, or its shareholders must directly own the domain names and trademarks used in their value-added telecommunications business operations. After the promulgation of the MIIT 2006 Notice in July 2006, the MIIT issued a subsequent notice in October 2006, or the MIIT October Notice, urging value-added telecommunication service operators to conduct self-examination regarding any noncompliance with the MIIT 2006 Notice prior to November 1, 2006. Pursuant to the MIIT October Notice, ICP License-holders who were not in compliance with the MIIT 2006 Notice were allowed to submit a self-correction report to the local provincial-level branch of MIIT by November 20, 2006.</w:t>
      </w:r>
    </w:p>
    <w:p>
      <w:pPr>
        <w:spacing w:after="0" w:line="191"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Our PRC affiliated consolidated entities, Tianying Jiuzhou and Yifeng Lianhe, are currently engaged in the provision of value-added telecommunications services and each of them has obtained ICP Licenses from MIIT or its local counterpart in Beijing. In addition, Tianying Jiuzhou owns our material domain names, including ifeng.com, and, as of March 31, 2017, owned six registered trademarks that were transferred to it from Phoenix Satellite Television Trademark Limited. Yifeng Lianhe owned 20 registered trademarks, and both of our affiliated consolidated entities continue to use certain of Phoenix TV’s logos that are licensed from Phoenix Satellite Television Trademark Limited, a wholly owned subsidiary of Phoenix TV, in their value-added telecommunications services. Therefore, we are not currently in compliance with the MIIT 2006 Notice.</w:t>
      </w:r>
    </w:p>
    <w:p>
      <w:pPr>
        <w:spacing w:after="0" w:line="188"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We have designed propriety logos for use in the respective businesses of Tianying Jiuzhou and Yifeng Lianhe. As of March 31, 2017, Tianying Jiuzhou owned 112 PRC registered trademarks, six of which were transferred from Phoenix Satellite Trademark Limited, and Yifeng Lianhe owned 20 PRC registered trademarks. In addition, Tianying Jiuzhou had submitted 144 registration applications relating to 25 logo designs, and Yifeng Lianhe had submitted one registration application relating to one logo design, to the PRC Trademark Office. Despite our having registered many trademarks used in our value-added telecommunications business operations, we may continue to use certain of Phoenix TV’s logos that are licensed from Phoenix Satellite Television Trademark Limited.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Although neither of our affiliated consolidated entities has been required by the MIIT or its local counterpart to obtain and hold the ownership of the relevant trademarks related to our value-added telecommunications services to date, the provincial-level counterpart of MIIT may enforce the MIIT 2006 Notice on our affiliated consolidated entities. In such case, the provincial-level counterpart of MIIT could order our affiliated consolidated entities to own the registered trademarks used in their value-added telecommunications business within a specified period of time. We do not have knowledge about the period of time that MIIT would provide us to complete the necessary remediation measures. We are also not aware that since issuing the MIIT October Notice, MIIT has promulgated any additional notices or guidelines with respect to timelines for self-examination or remediation of noncompliance with the MIIT 2006 Notice. Moreover, the MIIT October Notice does not specify how much time the MIIT allows for ICP License-holders to remedy their noncompliance issues. If we fail to remedy any noncompliance within the time frame specified by the provincial counterpart of MIIT, the relevant governmental authority would have the discretion to revoke our affiliated consolidated entities’ licenses for value-added telecommunications or subject them to other penalties or sanctions, which would have a material and adverse effect on our business, financial condition, operating results and prospects.</w:t>
      </w:r>
    </w:p>
    <w:p>
      <w:pPr>
        <w:spacing w:after="0" w:line="18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complexity, uncertainties and changes in PRC regulation of Internet businesses and companies, including limitations on our ability to own key assets, such as our website.</w:t>
      </w:r>
    </w:p>
    <w:p>
      <w:pPr>
        <w:spacing w:after="0" w:line="159" w:lineRule="exact"/>
        <w:rPr>
          <w:sz w:val="20"/>
          <w:szCs w:val="20"/>
          <w:color w:val="auto"/>
        </w:rPr>
      </w:pPr>
    </w:p>
    <w:p>
      <w:pPr>
        <w:ind w:right="160" w:firstLine="441"/>
        <w:spacing w:after="0" w:line="256" w:lineRule="auto"/>
        <w:rPr>
          <w:sz w:val="20"/>
          <w:szCs w:val="20"/>
          <w:color w:val="auto"/>
        </w:rPr>
      </w:pPr>
      <w:r>
        <w:rPr>
          <w:rFonts w:ascii="Times New Roman" w:cs="Times New Roman" w:eastAsia="Times New Roman" w:hAnsi="Times New Roman"/>
          <w:sz w:val="18"/>
          <w:szCs w:val="18"/>
          <w:color w:val="auto"/>
        </w:rPr>
        <w:t>The Chinese government heavily regulates the Internet industry, including foreign investment in the Chinese Internet industry, content on the Internet and license and permit requirements for service providers in the Internet industry. Since some of the laws, regulations and legal requirements with respect to the Internet are relatively new and evolving, their interpretation and enforcement involve significant uncertainties. In addition, the Chinese legal system is based on written statutes, such that prior court decisions can only be cited for reference and have little precedential value. As a result, in many cases it is difficult to determine what actions or omissions may result in liabilities. Issues, risks and uncertainties relating to China’s government regulation of the Chinese Internet sector include the following:</w:t>
      </w:r>
    </w:p>
    <w:p>
      <w:pPr>
        <w:spacing w:after="0" w:line="188" w:lineRule="exact"/>
        <w:rPr>
          <w:sz w:val="20"/>
          <w:szCs w:val="20"/>
          <w:color w:val="auto"/>
        </w:rPr>
      </w:pPr>
    </w:p>
    <w:p>
      <w:pPr>
        <w:jc w:val="both"/>
        <w:ind w:left="1100" w:right="620" w:hanging="328"/>
        <w:spacing w:after="0" w:line="313" w:lineRule="auto"/>
        <w:tabs>
          <w:tab w:leader="none" w:pos="1043"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operate our website and mobile applications in China through contractual arrangements due to restrictions on foreign investment in businesses providing value-added telecommunication services, including substantially all of our paid services and advertising services.</w:t>
      </w:r>
    </w:p>
    <w:p>
      <w:pPr>
        <w:spacing w:after="0" w:line="138" w:lineRule="exact"/>
        <w:rPr>
          <w:rFonts w:ascii="Times New Roman" w:cs="Times New Roman" w:eastAsia="Times New Roman" w:hAnsi="Times New Roman"/>
          <w:sz w:val="17"/>
          <w:szCs w:val="17"/>
          <w:color w:val="auto"/>
        </w:rPr>
      </w:pPr>
    </w:p>
    <w:p>
      <w:pPr>
        <w:ind w:left="1100" w:right="40" w:hanging="328"/>
        <w:spacing w:after="0" w:line="253" w:lineRule="auto"/>
        <w:tabs>
          <w:tab w:leader="none" w:pos="10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Uncertainties relating to the regulation of the Internet business in China, including evolving licensing practices, give rise to the risk that some of our permits, licenses or operations may be subject to challenge, which may be disruptive to our business, subject us to sanctions or require us to increase capital, compromise the enforceability of relevant contractual arrangements, or have other adverse effects on us. The numerous and often vague restrictions on acceptable content in China subject us to potential civil and criminal liability, temporary blockage of our website or complete shut-down of our website. For example, the State Secrecy Bureau, which is directly responsible for the protection of state secrets of all Chinese government and Chinese Communist Party organizations, is authorized to block any website it deems to be leaking state secrets or failing to meet the relevant regulations relating to the protection of state secrets in the distribution of online information. In addition, the newly amended </w:t>
      </w:r>
      <w:r>
        <w:rPr>
          <w:rFonts w:ascii="Times New Roman" w:cs="Times New Roman" w:eastAsia="Times New Roman" w:hAnsi="Times New Roman"/>
          <w:sz w:val="18"/>
          <w:szCs w:val="18"/>
          <w:i w:val="1"/>
          <w:iCs w:val="1"/>
          <w:color w:val="auto"/>
        </w:rPr>
        <w:t>Law on Preservation of State Secrets</w:t>
      </w:r>
      <w:r>
        <w:rPr>
          <w:rFonts w:ascii="Times New Roman" w:cs="Times New Roman" w:eastAsia="Times New Roman" w:hAnsi="Times New Roman"/>
          <w:sz w:val="18"/>
          <w:szCs w:val="18"/>
          <w:color w:val="auto"/>
        </w:rPr>
        <w:t xml:space="preserve"> which became effective on October 1, 2010 provides that whenever an Internet service provider detects any leakage of state secrets in the distribution of online information, it should stop the distribution of such information and report to the authorities of state security and public security. As per request of the authorities of state security, public security or state secrecy, the Internet service provider should delete any contents on its website that may lead to disclosure of state secrets. Failure to do so on a timely and adequate basis may subject the service provider to liability and certain penalties imposed by the State Security Bureau, Ministry of Public Security and/or MIIT or their respective local counterparts.</w:t>
      </w:r>
    </w:p>
    <w:p>
      <w:pPr>
        <w:spacing w:after="0" w:line="188" w:lineRule="exact"/>
        <w:rPr>
          <w:rFonts w:ascii="Times New Roman" w:cs="Times New Roman" w:eastAsia="Times New Roman" w:hAnsi="Times New Roman"/>
          <w:sz w:val="18"/>
          <w:szCs w:val="18"/>
          <w:color w:val="auto"/>
        </w:rPr>
      </w:pPr>
    </w:p>
    <w:p>
      <w:pPr>
        <w:ind w:left="1100" w:right="20" w:hanging="328"/>
        <w:spacing w:after="0" w:line="255" w:lineRule="auto"/>
        <w:tabs>
          <w:tab w:leader="none" w:pos="10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September 28, 2009, the General Administration of Press and Publication (the predecessor of GAPPRFT), or GAPP and the National Office of Combating Pornography and Illegal Publications jointly published a circular expressly prohibiting foreign investors from participating in Internet game operating business via wholly owned, equity joint venture or cooperative joint venture investments in China, and from controlling and participating in such businesses directly or indirectly through contractual or technical support arrangements. On February 4, 2016, the GAPPRFT and the MIIT jointly issued the </w:t>
      </w:r>
      <w:r>
        <w:rPr>
          <w:rFonts w:ascii="Times New Roman" w:cs="Times New Roman" w:eastAsia="Times New Roman" w:hAnsi="Times New Roman"/>
          <w:sz w:val="18"/>
          <w:szCs w:val="18"/>
          <w:i w:val="1"/>
          <w:iCs w:val="1"/>
          <w:color w:val="auto"/>
        </w:rPr>
        <w:t>Administrative Measures on Network Publication</w:t>
      </w:r>
      <w:r>
        <w:rPr>
          <w:rFonts w:ascii="Times New Roman" w:cs="Times New Roman" w:eastAsia="Times New Roman" w:hAnsi="Times New Roman"/>
          <w:sz w:val="18"/>
          <w:szCs w:val="18"/>
          <w:color w:val="auto"/>
        </w:rPr>
        <w:t>, which took effect in March 10, 2016 and prohibit wholly foreign-owned enterprises, Sino-foreign equity joint ventures and Sino-foreign cooperative enterprises from engaging in the provision of web publishing services. In addition, project cooperation between an Internet publishing service provider and a wholly</w:t>
      </w:r>
    </w:p>
    <w:p>
      <w:pPr>
        <w:sectPr>
          <w:pgSz w:w="11900" w:h="16838" w:orient="portrait"/>
          <w:cols w:equalWidth="0" w:num="1">
            <w:col w:w="11420"/>
          </w:cols>
          <w:pgMar w:left="240" w:top="335" w:right="239" w:bottom="0" w:gutter="0" w:footer="0" w:header="0"/>
        </w:sectPr>
      </w:pPr>
    </w:p>
    <w:bookmarkStart w:id="16" w:name="page17"/>
    <w:bookmarkEnd w:id="16"/>
    <w:p>
      <w:pPr>
        <w:ind w:left="1100"/>
        <w:spacing w:after="0" w:line="282" w:lineRule="auto"/>
        <w:rPr>
          <w:sz w:val="20"/>
          <w:szCs w:val="20"/>
          <w:color w:val="auto"/>
        </w:rPr>
      </w:pPr>
      <w:r>
        <w:rPr>
          <w:rFonts w:ascii="Times New Roman" w:cs="Times New Roman" w:eastAsia="Times New Roman" w:hAnsi="Times New Roman"/>
          <w:sz w:val="18"/>
          <w:szCs w:val="18"/>
          <w:color w:val="auto"/>
        </w:rPr>
        <w:t>foreign-owned enterprise, Sino-foreign equity joint venture, or Sino-foreign cooperative enterprise within China or an overseas organization or individual involving Internet publishing services shall be subject to examination and approval by the GAPPRFT in advance.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Due to the increasing popularity and use of the Internet and other online services, it is possible that a number of laws and regulations may be adopted with respect to the Internet or other online services covering issues such as user privacy, pricing, content, copyrights, distribution, antitrust and characteristics and quality of products and services. The adoption of additional laws or regulations may impede the growth of the Internet or other online services, which could, in turn, decrease the demand for our products and services and increase our cost of doing business. Moreover, the applicability to the Internet and other online services of existing laws in various jurisdictions governing issues such as property ownership, sales and other taxes, libel and personal privacy is uncertain and may take years to resolve. Any new legislation or regulation, the application of laws and regulations from jurisdictions whose laws do not currently apply to our business, or the application of existing laws and regulations to the Internet and other online services could significantly disrupt our operations or subject us to penalties.</w:t>
      </w:r>
    </w:p>
    <w:p>
      <w:pPr>
        <w:spacing w:after="0" w:line="185" w:lineRule="exact"/>
        <w:rPr>
          <w:sz w:val="20"/>
          <w:szCs w:val="20"/>
          <w:color w:val="auto"/>
        </w:rPr>
      </w:pPr>
    </w:p>
    <w:p>
      <w:pPr>
        <w:ind w:right="220" w:firstLine="450"/>
        <w:spacing w:after="0" w:line="266" w:lineRule="auto"/>
        <w:rPr>
          <w:sz w:val="20"/>
          <w:szCs w:val="20"/>
          <w:color w:val="auto"/>
        </w:rPr>
      </w:pPr>
      <w:r>
        <w:rPr>
          <w:rFonts w:ascii="Times New Roman" w:cs="Times New Roman" w:eastAsia="Times New Roman" w:hAnsi="Times New Roman"/>
          <w:sz w:val="18"/>
          <w:szCs w:val="18"/>
          <w:color w:val="auto"/>
        </w:rPr>
        <w:t>The interpretation and application of existing PRC laws, regulations and policies, the stated positions of relevant PRC government authorities and possible new laws, regulations or policies have created substantial uncertainties regarding the legality of existing and future foreign investments in, and the businesses and activities of, Internet businesses in China, including our business.</w:t>
      </w:r>
    </w:p>
    <w:p>
      <w:pPr>
        <w:spacing w:after="0" w:line="17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Chinese government may prevent us from advertising or distributing content, including UGC, that it believes is inappropriate and we may be subject to penalties for such content or we may have to interrupt or stop the operation of our website and mobile applications.</w:t>
      </w:r>
    </w:p>
    <w:p>
      <w:pPr>
        <w:spacing w:after="0" w:line="159" w:lineRule="exact"/>
        <w:rPr>
          <w:sz w:val="20"/>
          <w:szCs w:val="20"/>
          <w:color w:val="auto"/>
        </w:rPr>
      </w:pPr>
    </w:p>
    <w:p>
      <w:pPr>
        <w:ind w:right="100" w:firstLine="441"/>
        <w:spacing w:after="0" w:line="256" w:lineRule="auto"/>
        <w:rPr>
          <w:sz w:val="20"/>
          <w:szCs w:val="20"/>
          <w:color w:val="auto"/>
        </w:rPr>
      </w:pPr>
      <w:r>
        <w:rPr>
          <w:rFonts w:ascii="Times New Roman" w:cs="Times New Roman" w:eastAsia="Times New Roman" w:hAnsi="Times New Roman"/>
          <w:sz w:val="18"/>
          <w:szCs w:val="18"/>
          <w:color w:val="auto"/>
        </w:rPr>
        <w:t>China has enacted regulations governing Internet access and the distribution of news and other information. In the past, the Chinese government has stopped the distribution of information over the Internet or through mobile Internet devices that it believes violates Chinese law, including content that it believes is obscene or defamatory, incites violence, endangers the national security, or contravenes the national interest. In addition, certain news items, such as news relating to national security, may not be published without permission from the Chinese government. If the Chinese government were to take any action to limit or prohibit the distribution of information through our websites and mobile applications or through our services, or to limit or regulate any current or future content or services available to users on our network, our business could be significantly harmed.</w:t>
      </w:r>
    </w:p>
    <w:p>
      <w:pPr>
        <w:spacing w:after="0" w:line="188"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In addition to professionally produced content, content from Phoenix TV and our in-house produced content, we allow our users to upload text and images (UGC) to our websites and mobile applications. We have a content screening team of 36 full-time editors and more than 100 outsourced staff members who are responsible for monitoring and preventing the public release of inappropriate or illegal content, including UGC, on our websites and mobile applications or through our services. Although we have adopted internal procedures to monitor the content displayed on our websites and mobile applications, due to the significant amount of UGC uploaded by our users, we may not be able to identify all the UGC that may violate relevant laws and regulations. Failure to identify and prevent inappropriate or illegal content from being displayed on our websites and mobile applications may subject us to liability.</w:t>
      </w:r>
    </w:p>
    <w:p>
      <w:pPr>
        <w:spacing w:after="0" w:line="188" w:lineRule="exact"/>
        <w:rPr>
          <w:sz w:val="20"/>
          <w:szCs w:val="20"/>
          <w:color w:val="auto"/>
        </w:rPr>
      </w:pPr>
    </w:p>
    <w:p>
      <w:pPr>
        <w:ind w:right="160" w:firstLine="450"/>
        <w:spacing w:after="0" w:line="258" w:lineRule="auto"/>
        <w:rPr>
          <w:sz w:val="20"/>
          <w:szCs w:val="20"/>
          <w:color w:val="auto"/>
        </w:rPr>
      </w:pPr>
      <w:r>
        <w:rPr>
          <w:rFonts w:ascii="Times New Roman" w:cs="Times New Roman" w:eastAsia="Times New Roman" w:hAnsi="Times New Roman"/>
          <w:sz w:val="18"/>
          <w:szCs w:val="18"/>
          <w:color w:val="auto"/>
        </w:rPr>
        <w:t>Moreover, because the definition and interpretation of prohibited content is in many cases vague and subjective, it is not always possible to determine or predict what content might be prohibited under existing restrictions or restrictions that might be imposed in the future. For example, in 2005, SARFT issued a notice prohibiting commercials for WVAS related to “fortune-telling” from airing on radio and television stations effective in February 2005. GAPPRFT or other Chinese government authorities may prohibit the marketing of other MVAS via a channel we depend on to generate revenues, which could have a material adverse effect on our business, operating results or financial position.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provided on our website and mobile applications may expose us to libel or other legal claims which may result in costly legal damages.</w:t>
      </w:r>
    </w:p>
    <w:p>
      <w:pPr>
        <w:spacing w:after="0" w:line="229" w:lineRule="exact"/>
        <w:rPr>
          <w:sz w:val="20"/>
          <w:szCs w:val="20"/>
          <w:color w:val="auto"/>
        </w:rPr>
      </w:pPr>
    </w:p>
    <w:p>
      <w:pPr>
        <w:ind w:right="120" w:firstLine="450"/>
        <w:spacing w:after="0" w:line="256" w:lineRule="auto"/>
        <w:rPr>
          <w:sz w:val="20"/>
          <w:szCs w:val="20"/>
          <w:color w:val="auto"/>
        </w:rPr>
      </w:pPr>
      <w:r>
        <w:rPr>
          <w:rFonts w:ascii="Times New Roman" w:cs="Times New Roman" w:eastAsia="Times New Roman" w:hAnsi="Times New Roman"/>
          <w:sz w:val="18"/>
          <w:szCs w:val="18"/>
          <w:color w:val="auto"/>
        </w:rPr>
        <w:t>Claims have been threatened and filed against alleging for libel, defamation, invasion of privacy and other matters based on the nature and content of the materials posted on our website and mobile applications. While we screen our content for such potential liability, there is no assurance that our screening process will identify all potential liability, especially liability arising from UGC and content we license from third parties. In the past, some of the claims brought against us have resulted in liability. Although to date none of such claims resulting material loss, we cannot assure you we will not be subject to future claims that could be costly, encourage similar lawsuits, distract our management team or harm our reputation and possibly our business. For more information, see “Item 4. Information on the Company—B. Business Overview—Legal and Administrative Proceedings.”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Advertisements on our website and mobile applications may subject us to penalties and other administrative actions.</w:t>
      </w:r>
    </w:p>
    <w:p>
      <w:pPr>
        <w:spacing w:after="0" w:line="148" w:lineRule="exact"/>
        <w:rPr>
          <w:sz w:val="20"/>
          <w:szCs w:val="20"/>
          <w:color w:val="auto"/>
        </w:rPr>
      </w:pPr>
    </w:p>
    <w:p>
      <w:pPr>
        <w:ind w:right="60" w:firstLine="441"/>
        <w:spacing w:after="0" w:line="268" w:lineRule="auto"/>
        <w:rPr>
          <w:sz w:val="20"/>
          <w:szCs w:val="20"/>
          <w:color w:val="auto"/>
        </w:rPr>
      </w:pPr>
      <w:r>
        <w:rPr>
          <w:rFonts w:ascii="Times New Roman" w:cs="Times New Roman" w:eastAsia="Times New Roman" w:hAnsi="Times New Roman"/>
          <w:sz w:val="17"/>
          <w:szCs w:val="17"/>
          <w:color w:val="auto"/>
        </w:rPr>
        <w:t xml:space="preserve">Under PRC advertising laws and regulations, we are obligated to monitor the advertising content shown on our website and mobile applications to ensure that such content is true, accurate and in full compliance with applicable laws and regulations. In addition, where a special government review is required for specific types of advertisements prior to website or mobile application posting, such as advertisements relating to medical treatment, pharmaceuticals, medical instruments, agrochemicals, veterinary pharmaceuticals and health food, we are obligated to confirm that such review has been performed and approval has been obtained from relevant governmental authorities, which include the local branch of the SAIC, the local branch of the State Food and Drug Administration, the local branch of the Ministry of Health and the local branch of the State Administration of Traditional Chinese Medicine. On April 24, 2015, the Standing Committee of the National People’s Congress issued the Advertisement Law, which took effect on September 1, 2015, to further strengthen the supervision and management of advertisement services. In addition, on July 4, 2016, SAIC issued the </w:t>
      </w:r>
      <w:r>
        <w:rPr>
          <w:rFonts w:ascii="Times New Roman" w:cs="Times New Roman" w:eastAsia="Times New Roman" w:hAnsi="Times New Roman"/>
          <w:sz w:val="17"/>
          <w:szCs w:val="17"/>
          <w:i w:val="1"/>
          <w:iCs w:val="1"/>
          <w:color w:val="auto"/>
        </w:rPr>
        <w:t>Interim Measures for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Administration of Internet Advertising, </w:t>
      </w:r>
      <w:r>
        <w:rPr>
          <w:rFonts w:ascii="Times New Roman" w:cs="Times New Roman" w:eastAsia="Times New Roman" w:hAnsi="Times New Roman"/>
          <w:sz w:val="17"/>
          <w:szCs w:val="17"/>
          <w:color w:val="auto"/>
        </w:rPr>
        <w:t>the New Interim Measures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further regulate Internet advertising activities. Pursuant to these laws and regulations,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advertisement that contains false or misleading information to deceive or mislead consumers shall be deemed false advertising. Furthermore, the Advertisement Law explicitly stipulates detailed requirements for the content of several different kinds of advertisement, including advertisements for medical treatment, pharmaceuticals, medical instruments, health food, alcoholic drinks, education or training, products or services having an expected return on investment, real estate, pesticides, feed and feed additives, and some other agriculture-related advertisement. Also, according to the New Interim Measures, no advertisement of such special commodities or services which are subject to examination by an advertising examination authority shall be published unless it has passed such examination. In addition, an Internet advertisement shall be identifiable and clearly identified as an “advertisement” so that consumers will know that it is an advertisement. Paid search advertisements shall be clearly distinguished from natural search results. We may be subject</w:t>
      </w:r>
    </w:p>
    <w:p>
      <w:pPr>
        <w:sectPr>
          <w:pgSz w:w="11900" w:h="16838" w:orient="portrait"/>
          <w:cols w:equalWidth="0" w:num="1">
            <w:col w:w="11400"/>
          </w:cols>
          <w:pgMar w:left="240" w:top="121" w:right="259" w:bottom="0" w:gutter="0" w:footer="0" w:header="0"/>
        </w:sectPr>
      </w:pPr>
    </w:p>
    <w:bookmarkStart w:id="17" w:name="page18"/>
    <w:bookmarkEnd w:id="17"/>
    <w:p>
      <w:pPr>
        <w:spacing w:after="0" w:line="254" w:lineRule="auto"/>
        <w:rPr>
          <w:sz w:val="20"/>
          <w:szCs w:val="20"/>
          <w:color w:val="auto"/>
        </w:rPr>
      </w:pPr>
      <w:r>
        <w:rPr>
          <w:rFonts w:ascii="Times New Roman" w:cs="Times New Roman" w:eastAsia="Times New Roman" w:hAnsi="Times New Roman"/>
          <w:sz w:val="18"/>
          <w:szCs w:val="18"/>
          <w:color w:val="auto"/>
        </w:rPr>
        <w:t>to enhanced supervision and more serious penalties in case of a violation (if any) pursuant to such new Advertisement Law and the New Interim Measures. To fulfill these monitoring functions, we include clauses in most of our advertising contracts requiring that all advertising content provided by advertisers must comply with relevant laws and regulations. Pursuant to the contracts between us and advertising agencies, advertising agencies are liable for all damages to us caused by their breach of such representations. Before a sale is confirmed and the advertisement is publicly posted on our website or mobile applications, our account execution personnel, who comprise a separate back-office team, are required to review all advertising materials to ensure there is no racial, violent, pornographic or any other improper content, and will request the advertiser to provide proof of governmental approval if the advertisement is subject to special government review. Violation of these laws and regulations may subject us to penalties, including fines, confiscation of our advertising income, orders to cease dissemination of the advertisements and orders to eliminate the effect of illegal advertisement. PRC governmental authorities may even force us to terminate our advertising operation or revoke our licenses in circumstances involving serious violations.</w:t>
      </w:r>
    </w:p>
    <w:p>
      <w:pPr>
        <w:spacing w:after="0" w:line="108"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color w:val="auto"/>
        </w:rPr>
        <w:t xml:space="preserve">A majority of the advertisements shown on our website and mobile applications are provided to us by third-party advertising agencies on behalf of advertisers. We cannot assure you that all of the content contained in such advertisements is true and accurate as required by the advertising laws and regulations. For example, the </w:t>
      </w:r>
      <w:r>
        <w:rPr>
          <w:rFonts w:ascii="Times New Roman" w:cs="Times New Roman" w:eastAsia="Times New Roman" w:hAnsi="Times New Roman"/>
          <w:sz w:val="18"/>
          <w:szCs w:val="18"/>
          <w:i w:val="1"/>
          <w:iCs w:val="1"/>
          <w:color w:val="auto"/>
        </w:rPr>
        <w:t>Advertisement Law</w:t>
      </w:r>
      <w:r>
        <w:rPr>
          <w:rFonts w:ascii="Times New Roman" w:cs="Times New Roman" w:eastAsia="Times New Roman" w:hAnsi="Times New Roman"/>
          <w:sz w:val="18"/>
          <w:szCs w:val="18"/>
          <w:color w:val="auto"/>
        </w:rPr>
        <w:t xml:space="preserve"> provides that an advertisement operator who posts false or fraudulent advertisements related to the life and health of the consumers, or who knows or should have known other kind of posted advertisement is false or fraudulent will be subject to joint and several liabilities. Under the </w:t>
      </w:r>
      <w:r>
        <w:rPr>
          <w:rFonts w:ascii="Times New Roman" w:cs="Times New Roman" w:eastAsia="Times New Roman" w:hAnsi="Times New Roman"/>
          <w:sz w:val="18"/>
          <w:szCs w:val="18"/>
          <w:i w:val="1"/>
          <w:iCs w:val="1"/>
          <w:color w:val="auto"/>
        </w:rPr>
        <w:t>Detailed Implementation Rules on the Administrative Regulations for Advertisement</w:t>
      </w:r>
      <w:r>
        <w:rPr>
          <w:rFonts w:ascii="Times New Roman" w:cs="Times New Roman" w:eastAsia="Times New Roman" w:hAnsi="Times New Roman"/>
          <w:sz w:val="18"/>
          <w:szCs w:val="18"/>
          <w:color w:val="auto"/>
        </w:rPr>
        <w:t>, a website or mobile application must not post any advertisements that are untrue or lacking the requisite governmental approval if such type of advertisements are subject to special governmental review. The New Interim Measures provides that Internet advertisement publishers shall verify related supporting documents, check the contents of the advertisement and be prohibited from publishing any advertisement with nonconforming contents or without all the necessary certification documents. However, for the determination of the truth and accuracy of the advertisements, there are no implementing rules or official interpretations, and such a determination is at the sole discretion of the relevant local branch of the SAIC, which results in uncertainty in the application of these laws and regulations. If we are found to be in violation of applicable PRC advertising laws and regulations in the future, we may be subject to penalties and our reputation may be harmed, which may have a material and adverse effect on our business, financial condition, operating results and prospects.</w:t>
      </w:r>
    </w:p>
    <w:p>
      <w:pPr>
        <w:spacing w:after="0" w:line="10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Ineffective implementation of the separation of our advertising sales and regulatory compliance functions may result in insufficient supervision over the content of advertisements shown on our website and mobile applications and may subject us to penalties or administrative actions.</w:t>
      </w:r>
    </w:p>
    <w:p>
      <w:pPr>
        <w:spacing w:after="0" w:line="78"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We keep our advertising sales function separate from our team that is in charge of government compliance in order to prevent potential conflicts between our advertising business and our compliance with relevant PRC advertising laws and regulations. Before a sale is confirmed and the relevant advertisements are publicly posted on our website and mobile applications, our account execution personnel, who comprise a separate back-office team that does not interface directly with advertisers, are required to review all advertising materials to ensure that the relevant advertisements do not contain any racial, violent, pornographic or any other improper content. These personnel will request an advertiser to provide proof of governmental approval if its advertisement is subject to special governmental review. Such procedures are designed to enhance our regulatory compliance efforts. However, in the event that the separation of advertising sales and regulatory compliance functions is not effectively implemented, the content of our advertisements may not be in full compliance with applicable laws and regulations. If we are found to be in violation of applicable laws and regulations in the future, we may be subject to penalties and our reputation may be harmed. This may have a material and adverse effect on our business, financial condition and operating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prioritize product innovation and user experience over short-term operating results, which may harm our revenue and operating results.</w:t>
      </w:r>
    </w:p>
    <w:p>
      <w:pPr>
        <w:spacing w:after="0" w:line="148"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18"/>
          <w:szCs w:val="18"/>
          <w:color w:val="auto"/>
        </w:rPr>
        <w:t>We encourage employees to quickly develop and help us launch new and innovative features. We focus on improving the user experience for our products and services and on developing new and improved products and services for the advertisers on our platform. We frequently make product and service decisions that may negatively impact our short-term operating results if we believe that the decisions are consistent with our goals to improve user experience and performance for advertisers, which we believe will improve our operating results over the long term. These decisions may not be consistent with the short-term expectations of investors and may not produce the long-term benefits that we expect, in which case our user growth and user engagement, our relationships with advertisers and our business and operating results could be harmed. In addition, our focus on user experience may negatively impact our relationships with our existing or prospective customers. This could result in a loss of customers and platform partners, which could harm our revenue and operating results.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continuing and collaborative efforts of our senior management, key employees and other employees are crucial to our success, and our business may be harmed if we were to lose their services.</w:t>
      </w:r>
    </w:p>
    <w:p>
      <w:pPr>
        <w:spacing w:after="0" w:line="159"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Our success depends on the continuous efforts and services of Mr. Shuang Liu, our director and Chief Executive Officer, Mr. Ya Li, our director and co-president, Mr. Tong Chen, our co-president, Ms. Betty Yip Ho, our Chief Financial Officer and Ms. Shu Liu, our senior vice president. If, however, one or more of our executives or other key personnel are unable or unwilling to continue to provide services to us, we may not be able to find suitable replacements easily or at all. Competition for management and key personnel is intense and the pool of qualified candidates is limited. We may not be able to retain the services of our executives or key personnel, or attract and retain experienced executives or key personnel in the future. We do not maintain key-man life insurance for any of our key personnel. If any of our executive officers or key employees joins a competitor or forms a competing company, we may lose advertisers, know-how and key professionals and staff members. Each of our executive officers and key employees has entered into an employment agreement and a non-compete agreement with us. However, if any dispute arises between us and our executives or key employees, these agreements may not be enforceable in China, where these executives and key employees reside, in light of uncertainties with China’s legal system. See “—Risks Relating to Doing Business in China—Uncertainties with respect to the PRC legal system could limit the protections available to you and us.”</w:t>
      </w:r>
    </w:p>
    <w:p>
      <w:pPr>
        <w:spacing w:after="0" w:line="186" w:lineRule="exact"/>
        <w:rPr>
          <w:sz w:val="20"/>
          <w:szCs w:val="20"/>
          <w:color w:val="auto"/>
        </w:rPr>
      </w:pPr>
    </w:p>
    <w:p>
      <w:pPr>
        <w:ind w:right="220" w:firstLine="441"/>
        <w:spacing w:after="0" w:line="266" w:lineRule="auto"/>
        <w:rPr>
          <w:sz w:val="20"/>
          <w:szCs w:val="20"/>
          <w:color w:val="auto"/>
        </w:rPr>
      </w:pPr>
      <w:r>
        <w:rPr>
          <w:rFonts w:ascii="Times New Roman" w:cs="Times New Roman" w:eastAsia="Times New Roman" w:hAnsi="Times New Roman"/>
          <w:sz w:val="18"/>
          <w:szCs w:val="18"/>
          <w:color w:val="auto"/>
        </w:rPr>
        <w:t>Our future success will also depend on our ability to attract and retain highly skilled technical, managerial, editorial, finance, marketing, sales and customer service employees. Qualified individuals are in high demand, and we may not be able to successfully attract, assimilate or retain the personnel we need to succeed.</w:t>
      </w:r>
    </w:p>
    <w:p>
      <w:pPr>
        <w:spacing w:after="0" w:line="17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granted, and may continue to grant, stock options, restricted shares and restricted share units under our share incentive plans or adopt new share incentive plans in the future, which may result in increased share-based compensation.</w:t>
      </w:r>
    </w:p>
    <w:p>
      <w:pPr>
        <w:spacing w:after="0" w:line="159" w:lineRule="exact"/>
        <w:rPr>
          <w:sz w:val="20"/>
          <w:szCs w:val="20"/>
          <w:color w:val="auto"/>
        </w:rPr>
      </w:pPr>
    </w:p>
    <w:p>
      <w:pPr>
        <w:ind w:right="160" w:firstLine="441"/>
        <w:spacing w:after="0" w:line="258" w:lineRule="auto"/>
        <w:rPr>
          <w:sz w:val="20"/>
          <w:szCs w:val="20"/>
          <w:color w:val="auto"/>
        </w:rPr>
      </w:pPr>
      <w:r>
        <w:rPr>
          <w:rFonts w:ascii="Times New Roman" w:cs="Times New Roman" w:eastAsia="Times New Roman" w:hAnsi="Times New Roman"/>
          <w:sz w:val="18"/>
          <w:szCs w:val="18"/>
          <w:color w:val="auto"/>
        </w:rPr>
        <w:t>We adopted a share option plan in June 2008 and a restricted share and restricted share unit plan in March 2011. As of March 31, 2017, 2,193,276 contingently issuable shares and options to purchase 41,367,359 Class A ordinary shares were outstanding. We implemented an option exchange program in 2016 whereby our directors, employees and consultants exchanged options to purchase 21,011,951 Class A ordinary shares with various exercise prices greater than US$0.4823 per share for new options with a new exercise price of US$0.4823 per share and a new vesting schedule. See “Item 6. Directors, Senior Management and Employees—B. Compensation of Directors, Supervisors and Executive Directors—Share Incentive Plans.” For the years ended</w:t>
      </w:r>
    </w:p>
    <w:p>
      <w:pPr>
        <w:sectPr>
          <w:pgSz w:w="11900" w:h="16838" w:orient="portrait"/>
          <w:cols w:equalWidth="0" w:num="1">
            <w:col w:w="11420"/>
          </w:cols>
          <w:pgMar w:left="240" w:top="121" w:right="239" w:bottom="0" w:gutter="0" w:footer="0" w:header="0"/>
        </w:sectPr>
      </w:pPr>
    </w:p>
    <w:bookmarkStart w:id="18" w:name="page19"/>
    <w:bookmarkEnd w:id="18"/>
    <w:p>
      <w:pPr>
        <w:spacing w:after="0" w:line="258" w:lineRule="auto"/>
        <w:rPr>
          <w:sz w:val="20"/>
          <w:szCs w:val="20"/>
          <w:color w:val="auto"/>
        </w:rPr>
      </w:pPr>
      <w:r>
        <w:rPr>
          <w:rFonts w:ascii="Times New Roman" w:cs="Times New Roman" w:eastAsia="Times New Roman" w:hAnsi="Times New Roman"/>
          <w:sz w:val="18"/>
          <w:szCs w:val="18"/>
          <w:color w:val="auto"/>
        </w:rPr>
        <w:t>December 31, 2014, 2015 and 2016, we recorded RMB53.2 million, RMB34.4 million and RMB1.9 million (US$0.3 million), respectively, in share-based compensation. We believe the granting of share-based awards is of significant importance to our ability to attract and retain key personnel and employees, and we will continue to grant stock options to employees in the future. We intend to grant additional stock options to our employees going forward, and we may implement additional option exchange program in the future, which we expect will further increase our share-based compensation. If we continue to grant share options in the future, our share-based compensation will increase accordingly.</w:t>
      </w:r>
    </w:p>
    <w:p>
      <w:pPr>
        <w:spacing w:after="0" w:line="180"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been and expect we will continue to be exposed to intellectual property infringement and other claims, including claims based on content posted on our website and mobile applications, which could be time-consuming and costly to defend and may result in substantial damage awards and/or court orders that may prevent us from continuing to provide certain of our existing services.</w:t>
      </w:r>
    </w:p>
    <w:p>
      <w:pPr>
        <w:spacing w:after="0" w:line="175"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Our success depends, in large part, on our ability to operate our business without infringing third-party rights, including third-party intellectual property rights. Companies in the Internet, technology and media industries own, and are seeking to obtain, a large number of patents, copyrights, trademarks and trade secrets, and they are frequently involved in litigation based on allegations of infringement or other violations of intellectual property rights or other related legal rights. There may be patents issued or pending that are held by others that cover significant aspects of our technologies, products, business methods or services. We license our premium licensed content from third parties. We also derive profits from online and mobile games that are based on intellectual property licensed to us by third parties. Although our license agreements with our licensors generally require that the licensors have the legal right to license such content to us and give us the right to promptly remove any content that we have been notified contains infringing material, we cannot ensure that each licensor has such authorization and we may not receive notification of infringement. If any purported licensor does not actually have sufficient authorization relating to the premium licensed content or right to license a work of authorship provided to us, we may be subject to claims of copyright infringement from third parties and penalties imposed by competent government authorities, and we cannot ensure we can be fully indemnified by the relevant licensor for all losses we may incur from such claims.</w:t>
      </w:r>
    </w:p>
    <w:p>
      <w:pPr>
        <w:spacing w:after="0" w:line="193"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Third parties may take action and file claims against us if they believe that certain content on our site violates their copyrights or other related legal rights. We have been subject to such claims in the PRC. From January 1, 2016 to March 31, 2017, we have been subject to 75 cases in the PRC, 43 of which have been concluded. The aggregate amount of damages awards and settlements paid by us was RMB1.5 million. Government authorities may also impose administrative penalties on us if they find that we have infringed third parties’ intellectual property rights. In October 2015, the National Copyright Bureau imposed a fine of RMB250,000 on one of our consolidated affiliated entities for disseminating on our website and mobile applications one work of literature that we licensed from third parties that were alleged to have no legal rights to license such work. In November 2016, China Youth Book Inc. and Dewey Press LLC filed a claim against Tianying Jiuzhou and our company for intellectual property infringement of such work, the related claim for damage was approximately RMB235.8 million, however, the actual income we generated from such work was less than RMB1,500. As litigation is subject to inherent uncertainties and this case is at its preliminary stage, and based on the legal advice, we are currently unable to make an estimation of the reasonably possible loss or range of possible loss, if any. However, our view of these matters may change in the future and will review the need for any such liability on a regular basis. For more information, see “Item 4. Information on the Company—B. Business Overview—Legal and Administrative Proceedings.”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140" w:firstLine="441"/>
        <w:spacing w:after="0" w:line="281" w:lineRule="auto"/>
        <w:rPr>
          <w:sz w:val="20"/>
          <w:szCs w:val="20"/>
          <w:color w:val="auto"/>
        </w:rPr>
      </w:pPr>
      <w:r>
        <w:rPr>
          <w:rFonts w:ascii="Times New Roman" w:cs="Times New Roman" w:eastAsia="Times New Roman" w:hAnsi="Times New Roman"/>
          <w:sz w:val="17"/>
          <w:szCs w:val="17"/>
          <w:color w:val="auto"/>
        </w:rPr>
        <w:t>In addition, our platform is open to Internet users for uploading text and images. As a result, content posted by our users may expose us to allegations by third parties of infringement of intellectual property rights, invasion of privacy, defamation and other violations of third-party rights. Pursuant to our user agreement, users agree not to use our services in a way that is illegal, obscene or may otherwise violate generally accepted codes of ethics. However, given the volume of content uploaded it is not possible, and we do not attempt to identify and remove all potentially infringing content uploaded by our users.</w:t>
      </w:r>
    </w:p>
    <w:p>
      <w:pPr>
        <w:spacing w:after="0" w:line="165"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Moreover, as we continue to hire additional personnel to expand our product development teams, we may be subject to allegations and claims that some of our new employees may have disclosed trade secrets or other proprietary information of their former employers to us, especially when such employees were previously employed by our competitors or companies with similar businesses as ours. Any such allegation or claim, even if unfounded, could have a negative impact on our reputation, and our financial condition and operating results may suffer as a result.</w:t>
      </w:r>
    </w:p>
    <w:p>
      <w:pPr>
        <w:spacing w:after="0" w:line="180"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color w:val="auto"/>
        </w:rPr>
        <w:t>We cannot assure you that we have not become subject to copyright laws in other jurisdictions, such as the United States, by virtue of our listing in the United States, the ability of users to access our videos in the United States and other jurisdictions, the ownership of our ADSs by investors, the extraterritorial application of foreign law by foreign courts or otherwise. Although we have not previously been subject to legal actions for copyright infringement in jurisdictions other than China, it is possible that we may be subject to such claims in the future. Any such claims in China, U.S., or elsewhere, regardless of their merit, could be time-consuming and costly to defend, and may result in litigation and divert management’s attention and resources. Furthermore, an adverse determination in any such litigation or proceedings to which we may become a party in China, U.S. or elsewhere could cause us to pay substantial damages. For example, statutory damage awards in the U.S. can range from US$750 to US$30,000 per infringement, and if the infringement is found to be intentional, can be as high as US$150,000 per infringement. Additionally, the risk of an adverse determination in such litigation or an actual adverse determination may result in harm to our reputation or in adverse publicity. The risk of an adverse result or the actual adverse result in litigation may also require us to seek licenses from third parties, pay ongoing royalties or become subject to injunctions requiring us to remove content or take other steps to prevent infringement, each of which could prevent us from pursuing some or all of our business and result in our users and advertisers or potential users and advertising customers deferring or limiting their use of our services, which could materially adversely affect our financial condition and operating results.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which could cause us to be less competitive.</w:t>
      </w:r>
    </w:p>
    <w:p>
      <w:pPr>
        <w:spacing w:after="0" w:line="229"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18"/>
          <w:szCs w:val="18"/>
          <w:color w:val="auto"/>
        </w:rPr>
        <w:t>We rely on a combination of copyright, trademark and trade secret laws and restrictions on disclosure to protect our intellectual property rights. Despite our efforts to protect our proprietary rights, unauthorized parties may attempt to copy or otherwise obtain and use our copyrighted content and other intellectual property. Monitoring such unauthorized use is difficult and costly, and we cannot be certain that the steps we have taken will prevent misappropriation. From time to time, we may have to resort to litigation to enforce our intellectual property rights, which could result in substantial costs and diversion of our resources. The PRC has historically afforded less protection to a company’s intellectual property than the United States and the Cayman Islands, and therefore companies such as ours operating in the PRC face an increased risk of intellectual property piracy.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400"/>
          </w:cols>
          <w:pgMar w:left="240" w:top="121" w:right="259" w:bottom="0" w:gutter="0" w:footer="0" w:header="0"/>
        </w:sectPr>
      </w:pPr>
    </w:p>
    <w:bookmarkStart w:id="19" w:name="page20"/>
    <w:bookmarkEnd w:id="19"/>
    <w:p>
      <w:pPr>
        <w:spacing w:after="0" w:line="2" w:lineRule="exact"/>
        <w:rPr>
          <w:sz w:val="20"/>
          <w:szCs w:val="20"/>
          <w:color w:val="auto"/>
        </w:rPr>
      </w:pPr>
    </w:p>
    <w:p>
      <w:pPr>
        <w:ind w:right="380" w:firstLine="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discontinuation of any of the preferential tax treatments available to us in China could materially and adversely affect our operating results and financial condition.</w:t>
      </w:r>
    </w:p>
    <w:p>
      <w:pPr>
        <w:spacing w:after="0" w:line="159"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 xml:space="preserve">Under PRC tax laws and regulations, our PRC subsidiary, Beijing Fenghuang Yutian Software Technology Co., Ltd., or Fenghuang Yutian, Beijing Fenghuang Borui Software Technology Co., Ltd., or Fenghuang Borui, Fenghuang On-line and Tianying Jiuzhou enjoyed, or are qualified to enjoy, certain preferential income tax benefits. The PRC </w:t>
      </w:r>
      <w:r>
        <w:rPr>
          <w:rFonts w:ascii="Times New Roman" w:cs="Times New Roman" w:eastAsia="Times New Roman" w:hAnsi="Times New Roman"/>
          <w:sz w:val="18"/>
          <w:szCs w:val="18"/>
          <w:i w:val="1"/>
          <w:iCs w:val="1"/>
          <w:color w:val="auto"/>
        </w:rPr>
        <w:t>Corporate Income Taxes Law (“CIT Law”)</w:t>
      </w:r>
      <w:r>
        <w:rPr>
          <w:rFonts w:ascii="Times New Roman" w:cs="Times New Roman" w:eastAsia="Times New Roman" w:hAnsi="Times New Roman"/>
          <w:sz w:val="18"/>
          <w:szCs w:val="18"/>
          <w:color w:val="auto"/>
        </w:rPr>
        <w:t>, effective on January 1, 2008, or the CIT Law, and its implementation rules significantly curtail tax incentives granted to foreign-invested enterprises. The CIT Law, however (i) reduces the statutory rate of enterprise income tax from 33% to 25%, (ii) permits companies established before March 16, 2007 to continue to enjoy their existing tax incentives, subject to certain transitional rules, and (iii) introduces new tax incentives, subject to various qualification criteria. For example, the CIT Law permits certain “high and new technology enterprises strongly supported by the state” to enjoy a reduced enterprise tax rate of 15%. According to the relevant administrative measures, to qualify as “high and new technology enterprises strongly supported by the state,” Fenghuang On-line must meet certain financial and non-financial criteria and complete verification procedures with the administrative authorities. Continued qualification as a “high and new technology enterprise” is subject to a three-year review by the relevant government authorities in China, and in practice certain local tax authorities also require annual evaluation of the qualification. In the event the preferential tax treatment for Fenghuang On-line is discontinued or is not verified by the local tax authorities, and the affected entity fails to obtain preferential income tax treatment based on other qualifications such as Advanced Technology Service Enterprise, it will become subject to the standard PRC enterprise income tax rate of 25%. We cannot assure you that the tax authorities will not, in the future, discontinue any of our preferential tax treatments, potentially with retroactive effect. On April 21, 2010, the State Administration of Taxation issued Circular 157 providing additional guidance on the interaction of certain preferential tax rates under the transitional rules of the CIT Law. Prior to Circular 157, we understood that if a high and new technology enterprise, or an HNTE, entity was in a tax holiday period, where it was entitled to a 50% reduction in the tax rate, and it was also entitled to the 15% HNTE preferential tax rate, then it would be entitled to pay tax at the rate of 7.5%. Circular 157 appears to have the effect that such an entity is entitled to pay taxes at either the lower of 15% or 50% of the applicable PRC tax rate (in terms of a foreign investment enterprise during transition period such as Fenghuang On-line, 25% starting from 2012). However, to date, Beijing local-level tax bureau has not implemented Circular 157 and is holding the view that the relevant provisions may not apply to HNTEs in Science &amp; Technology Park of Haidian District.</w:t>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2011 and 2014, Fenghuang On-line resubmitted applications for qualification as an HNTE, which were approved in October 2011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2014, respectively. Therefore, Fenghuang On-line was entitled to tax exemption from 2006 to 2008, a 50% reduction of its applicable income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to 7.5% from 2009 to 2011 and was subject to a 15% income tax rate for the years 2012 to 2016. Fenghuang On-line is in the process of reapplying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qualification as an HNTE. In 2008, Tianying Jiuzhou qualified as an HNTE under the CIT Law. Therefore, Tianying Jiuzhou was entitled to the preferential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rate of 15% from 2008 to 2010. In 2011 and 2014, Tianying Jiuzhou resubmitted applications for qualification and was approved as an HNTE. Therefore,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Tianying Jiuzhou was subject to a 15% income tax rate from 2011 to 2016. Tianying Jiuzhou is in the process of reapplying for qualification as an HNTE.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2012, Fenghuang Yutian qualified as a Software Enterprise. The CIT Law and its implementing regulations provide that a “Software Enterprise” can enjoy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exemption for two years beginning with its first profitable year and a 50% reduction to a rate of 12.5% for the subsequent three years. As 2013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 the first year Fenghuang Yutian generated taxable profit, it was exempted from income taxes for years 2013 and 2014, and was subject to a 12.5% income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rate from 2015 to 2017. In 2016, Fenghuang Borui qualified as a Software Enterprise. As 2016 was the first year Fenghuang Borui generated taxable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profit, it would be exempted from income taxes for years 2016 and 2017, and subject to a 12.5% income tax rate from 2018 to 2020.</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“Item 10. Additional Information—E. Taxation.”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business insurance coverage.</w:t>
      </w:r>
    </w:p>
    <w:p>
      <w:pPr>
        <w:spacing w:after="0" w:line="229" w:lineRule="exact"/>
        <w:rPr>
          <w:sz w:val="20"/>
          <w:szCs w:val="20"/>
          <w:color w:val="auto"/>
        </w:rPr>
      </w:pPr>
    </w:p>
    <w:p>
      <w:pPr>
        <w:jc w:val="both"/>
        <w:ind w:right="60" w:firstLine="441"/>
        <w:spacing w:after="0" w:line="266" w:lineRule="auto"/>
        <w:rPr>
          <w:sz w:val="20"/>
          <w:szCs w:val="20"/>
          <w:color w:val="auto"/>
        </w:rPr>
      </w:pPr>
      <w:r>
        <w:rPr>
          <w:rFonts w:ascii="Times New Roman" w:cs="Times New Roman" w:eastAsia="Times New Roman" w:hAnsi="Times New Roman"/>
          <w:sz w:val="18"/>
          <w:szCs w:val="18"/>
          <w:color w:val="auto"/>
        </w:rPr>
        <w:t>The insurance industry in China is still young and the business insurance products offered in China are limited. We do not have any business liability or disruption insurance coverage for our operations. Any business disruption, litigation or natural disaster may cause us to incur substantial costs and divert our resources.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prolonged slowdown in the global or PRC economies may materially and adversely affect our operating results, financial condition, prospects and future expansion plans.</w:t>
      </w:r>
    </w:p>
    <w:p>
      <w:pPr>
        <w:spacing w:after="0" w:line="159"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The global financial markets experienced significant disruptions in 2008 and the United States, Europe and other economies went into recession. The recovery from the lows of 2008 and 2009 was uneven and is facing new challenges, including the escalation of the European sovereign debt crisis since 2011. While leading European nations have implemented a series of financial support measures, it is still unclear whether the European debt crisis can be contained and what effects it may have.</w:t>
      </w:r>
    </w:p>
    <w:p>
      <w:pPr>
        <w:spacing w:after="0" w:line="180"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Economic conditions in the PRC are sensitive to macroeconomic conditions. In part due to lower export demand resulting from slow economic recoveries in the United States and Europe and a weak economic environment in Japan, China’s GDP growth decelerated since 2012. China’s year-over-year GDP growth rate in 2016, 6.7%, slowed from 6.9% in 2015 and 7.4% in 2014. In addition, there is uncertainty regarding the scale and the effects of a real estate bubble alleged by some to have reached a critical stage in the PRC. Since demand for our paid and advertising services are sensitive to macro-economic conditions globally and in the PRC, our business prospects may be affected by the macroeconomic environment. Any prolonged slowdown in the global or PRC economy may have a material adverse effect on our business, operating results and financial condition, and continued turbulence in the international markets may materially and adversely affect our ability to access the capital markets to meet liquidity needs.</w:t>
      </w:r>
    </w:p>
    <w:p>
      <w:pPr>
        <w:spacing w:after="0" w:line="1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PRC regulations establish complex procedures for certain acquisitions of PRC companies by foreign investors, which could make it more difficult for us to pursue growth through acquisitions in China.</w:t>
      </w:r>
    </w:p>
    <w:p>
      <w:pPr>
        <w:spacing w:after="0" w:line="157" w:lineRule="exact"/>
        <w:rPr>
          <w:sz w:val="20"/>
          <w:szCs w:val="20"/>
          <w:color w:val="auto"/>
        </w:rPr>
      </w:pPr>
    </w:p>
    <w:p>
      <w:pPr>
        <w:ind w:right="60" w:firstLine="441"/>
        <w:spacing w:after="0" w:line="255" w:lineRule="auto"/>
        <w:rPr>
          <w:sz w:val="20"/>
          <w:szCs w:val="20"/>
          <w:color w:val="auto"/>
        </w:rPr>
      </w:pPr>
      <w:r>
        <w:rPr>
          <w:rFonts w:ascii="Times New Roman" w:cs="Times New Roman" w:eastAsia="Times New Roman" w:hAnsi="Times New Roman"/>
          <w:sz w:val="18"/>
          <w:szCs w:val="18"/>
          <w:color w:val="auto"/>
        </w:rPr>
        <w:t xml:space="preserve">On August 8, 2006, six PRC regulatory authorities, including the CSRC, jointly promulgated the </w:t>
      </w:r>
      <w:r>
        <w:rPr>
          <w:rFonts w:ascii="Times New Roman" w:cs="Times New Roman" w:eastAsia="Times New Roman" w:hAnsi="Times New Roman"/>
          <w:sz w:val="18"/>
          <w:szCs w:val="18"/>
          <w:i w:val="1"/>
          <w:iCs w:val="1"/>
          <w:color w:val="auto"/>
        </w:rPr>
        <w:t>Regulations on Mergers and Acquisitions of Domestic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Enterprises by Foreign Investors, </w:t>
      </w:r>
      <w:r>
        <w:rPr>
          <w:rFonts w:ascii="Times New Roman" w:cs="Times New Roman" w:eastAsia="Times New Roman" w:hAnsi="Times New Roman"/>
          <w:sz w:val="18"/>
          <w:szCs w:val="18"/>
          <w:color w:val="auto"/>
        </w:rPr>
        <w:t>or the 2006 M&amp;A Rules, which were later amended on June 22, 2009. The 2006 M&amp;A Rules establish procedures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that could make some acquisitions of PRC companies by foreign investors more time-consuming and complex, including requirements in some instances that MOFCOM be notified in advance of any change-of-control transaction in which a foreign investor takes control of a PRC domestic enterprise. In addition, national security review rules issued by the PRC governmental authorities in 2011 require acquisitions by foreign investors of domestic companies engaged in military related or certain other industries that are crucial to national security to be subject to prior security review. According to the MOFCOM Security Review Rules, a security review is required for mergers and acquisitions of PRC domestic enterprises by foreign investors (i) having “national defense and security” concerns, and (ii) where the foreign investors may acquire the “de facto control” of the PRC domestic enterprises having</w:t>
      </w:r>
    </w:p>
    <w:p>
      <w:pPr>
        <w:sectPr>
          <w:pgSz w:w="11900" w:h="16840" w:orient="portrait"/>
          <w:cols w:equalWidth="0" w:num="1">
            <w:col w:w="11420"/>
          </w:cols>
          <w:pgMar w:left="240" w:top="117" w:right="239" w:bottom="0" w:gutter="0" w:footer="0" w:header="0"/>
        </w:sectPr>
      </w:pPr>
    </w:p>
    <w:bookmarkStart w:id="20" w:name="page21"/>
    <w:bookmarkEnd w:id="20"/>
    <w:p>
      <w:pPr>
        <w:spacing w:after="0" w:line="6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national security concerns such as key farm products, key energy and resources, and key infrastructure, transportation, technology and major equipment manufacturing industries. Circular No. 6, however, does not define the term of “key” or “major,” nor has it exhausted all the industries that may be deemed as sensitive industries subject to the security review.</w:t>
      </w:r>
    </w:p>
    <w:p>
      <w:pPr>
        <w:spacing w:after="0" w:line="176" w:lineRule="exact"/>
        <w:rPr>
          <w:sz w:val="20"/>
          <w:szCs w:val="20"/>
          <w:color w:val="auto"/>
        </w:rPr>
      </w:pPr>
    </w:p>
    <w:p>
      <w:pPr>
        <w:ind w:right="380" w:firstLine="441"/>
        <w:spacing w:after="0" w:line="255" w:lineRule="auto"/>
        <w:rPr>
          <w:sz w:val="20"/>
          <w:szCs w:val="20"/>
          <w:color w:val="auto"/>
        </w:rPr>
      </w:pPr>
      <w:r>
        <w:rPr>
          <w:rFonts w:ascii="Times New Roman" w:cs="Times New Roman" w:eastAsia="Times New Roman" w:hAnsi="Times New Roman"/>
          <w:sz w:val="18"/>
          <w:szCs w:val="18"/>
          <w:color w:val="auto"/>
        </w:rPr>
        <w:t xml:space="preserve">We may expand our business in part by acquiring complementary businesses. Complying with the requirements of the 2006 M&amp;A Rules, the MOFCOM Security Review Rules, if applicable, and other PRC regulations to complete such transactions could be time-consuming, and any required approval processes, including obtaining approval from MOFCOM, may delay or inhibit our ability to complete such transactions, which could affect our ability to expand our business or maintain our market share. However, it is also uncertain whether the 2006 M&amp;A Rules, the MOFCOM Security Review Rules or the other PRC regulations regarding the acquisitions of PRC companies by foreign investors will be materially repealed or amended should MOFCOM’s proposed </w:t>
      </w:r>
      <w:r>
        <w:rPr>
          <w:rFonts w:ascii="Times New Roman" w:cs="Times New Roman" w:eastAsia="Times New Roman" w:hAnsi="Times New Roman"/>
          <w:sz w:val="18"/>
          <w:szCs w:val="18"/>
          <w:i w:val="1"/>
          <w:iCs w:val="1"/>
          <w:color w:val="auto"/>
        </w:rPr>
        <w:t>Foreign Investment Law</w:t>
      </w:r>
      <w:r>
        <w:rPr>
          <w:rFonts w:ascii="Times New Roman" w:cs="Times New Roman" w:eastAsia="Times New Roman" w:hAnsi="Times New Roman"/>
          <w:sz w:val="18"/>
          <w:szCs w:val="18"/>
          <w:color w:val="auto"/>
        </w:rPr>
        <w:t>, or the Draft FIL, become effective in the future. Any adverse change in rules or regulations may have a material adverse effect on our business and operating results.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substantial risk we will be classified as a passive foreign investment company, or PFIC, for 2016, which could result in adverse United States federal income tax consequences to United States Holders (as defined below).</w:t>
      </w:r>
    </w:p>
    <w:p>
      <w:pPr>
        <w:spacing w:after="0" w:line="159"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Based upon the past and projected composition of our income and valuation of our assets, we believe there is a substantial risk that we will be classified as a “passive foreign investment company,” or PFIC, for 2016. The determination of whether or not we are a PFIC is made on an annual basis and will depend on the composition of our income and assets from time to time. Specifically, we will be classified as a PFIC for United States federal income tax purposes for any taxable year in which: (i) at least 75% of our gross income in a taxable year is passive income, or (ii) at least 50% of the value (determined based on a quarterly average) of our assets is attributable to assets that produce or are held for the production of passive income. The calculation of the value of our assets will be based, in part, on the quarterly market value of our ADSs, which is subject to change. See “Item 10. Additional Information—E. Taxation— Material United States Federal Income Tax Consequences—Passive Foreign Investment Company.”</w:t>
      </w:r>
    </w:p>
    <w:p>
      <w:pPr>
        <w:spacing w:after="0" w:line="189" w:lineRule="exact"/>
        <w:rPr>
          <w:sz w:val="20"/>
          <w:szCs w:val="20"/>
          <w:color w:val="auto"/>
        </w:rPr>
      </w:pPr>
    </w:p>
    <w:p>
      <w:pPr>
        <w:jc w:val="both"/>
        <w:ind w:right="380" w:firstLine="441"/>
        <w:spacing w:after="0" w:line="266" w:lineRule="auto"/>
        <w:rPr>
          <w:sz w:val="20"/>
          <w:szCs w:val="20"/>
          <w:color w:val="auto"/>
        </w:rPr>
      </w:pPr>
      <w:r>
        <w:rPr>
          <w:rFonts w:ascii="Times New Roman" w:cs="Times New Roman" w:eastAsia="Times New Roman" w:hAnsi="Times New Roman"/>
          <w:sz w:val="18"/>
          <w:szCs w:val="18"/>
          <w:color w:val="auto"/>
        </w:rPr>
        <w:t>In addition, there are substantial uncertainties as to the treatment of our corporate structure and ownership of our affiliated consolidated entities for United States federal income tax purposes. If it is determined that we do not own the stock of our affiliated consolidated entities for United States federal income tax purposes (for instance, because the relevant PRC authorities do not respect these arrangements), we are more likely to be treated as a PFIC.</w:t>
      </w:r>
    </w:p>
    <w:p>
      <w:pPr>
        <w:spacing w:after="0" w:line="176"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Such characterization as a PFIC could result in adverse United States federal income tax consequences to you if you are a United States Holder, as defined under “Taxation—Material United States Federal Income Tax Consequences.” For example, you may become subject to increased tax liabilities under United States federal income tax laws and regulations, and will become subject to burdensome reporting requirements.</w:t>
      </w:r>
    </w:p>
    <w:p>
      <w:pPr>
        <w:spacing w:after="0" w:line="176"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If we are a PFIC for any year during which a United States Holder holds our ADSs or ordinary shares, we generally will continue to be treated as a PFIC for all succeeding years during which such United States Holder holds our ADSs or ordinary shares. See “Item 10. Additional Information —E. Taxation—Material United States Federal Income Tax Consequences—Passive Foreign Investment Company.” The determination of our PFIC status is based on an annual analysis that investigation includes ascertaining the fair market value of all of our assets on a quarterly basis and the character of each item of income we earn. Because this involves extensive factual investigation and cannot be completed until the close of a taxable year, our U.S. counsel expresses no opinion with respect to our PFIC status.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strategy of acquiring complementary assets, technologies and businesses may fail and may result in equity or earnings dilution.</w:t>
      </w:r>
    </w:p>
    <w:p>
      <w:pPr>
        <w:spacing w:after="0" w:line="229"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As part of our business strategy, we intend to identify and acquire assets, technologies and businesses that are complementary to our business. Acquired businesses or assets may not yield the results we expect. In addition, acquisitions could result in the use of substantial amounts of cash, potentially dilutive issuances of equity securities, significant amortization expenses related to intangible assets and exposure to potential unknown liabilities of the acquired business. Moreover, the cost of identifying and consummating acquisitions, and integrating the acquired businesses into ours, may be significant, and the integration of acquired business may be disruptive to our business operations. In addition, we may have to obtain approval from the relevant PRC governmental authorities for the acquisitions and comply with any applicable PRC rules and regulations, which may be costly. In the event our acquisitions are not successful, our financial condition and results of operation may be materially and adversely affected.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of our business strategies through our subsidiaries, affiliates and other business alliance partners could negatively affect our financial condition, operating results and reputation.</w:t>
      </w:r>
    </w:p>
    <w:p>
      <w:pPr>
        <w:spacing w:after="0" w:line="159" w:lineRule="exact"/>
        <w:rPr>
          <w:sz w:val="20"/>
          <w:szCs w:val="20"/>
          <w:color w:val="auto"/>
        </w:rPr>
      </w:pPr>
    </w:p>
    <w:p>
      <w:pPr>
        <w:ind w:right="220" w:firstLine="450"/>
        <w:spacing w:after="0" w:line="282" w:lineRule="auto"/>
        <w:rPr>
          <w:sz w:val="20"/>
          <w:szCs w:val="20"/>
          <w:color w:val="auto"/>
        </w:rPr>
      </w:pPr>
      <w:r>
        <w:rPr>
          <w:rFonts w:ascii="Times New Roman" w:cs="Times New Roman" w:eastAsia="Times New Roman" w:hAnsi="Times New Roman"/>
          <w:sz w:val="18"/>
          <w:szCs w:val="18"/>
          <w:color w:val="auto"/>
        </w:rPr>
        <w:t>Aligned with our business strategies, we have made and may undertake in the future investments in subsidiaries, affiliates and other business alliance partners in various Internet-related businesses.</w:t>
      </w:r>
    </w:p>
    <w:p>
      <w:pPr>
        <w:spacing w:after="0" w:line="162" w:lineRule="exact"/>
        <w:rPr>
          <w:sz w:val="20"/>
          <w:szCs w:val="20"/>
          <w:color w:val="auto"/>
        </w:rPr>
      </w:pPr>
    </w:p>
    <w:p>
      <w:pPr>
        <w:ind w:right="200" w:firstLine="450"/>
        <w:spacing w:after="0" w:line="258" w:lineRule="auto"/>
        <w:rPr>
          <w:sz w:val="20"/>
          <w:szCs w:val="20"/>
          <w:color w:val="auto"/>
        </w:rPr>
      </w:pPr>
      <w:r>
        <w:rPr>
          <w:rFonts w:ascii="Times New Roman" w:cs="Times New Roman" w:eastAsia="Times New Roman" w:hAnsi="Times New Roman"/>
          <w:sz w:val="18"/>
          <w:szCs w:val="18"/>
          <w:color w:val="auto"/>
        </w:rPr>
        <w:t>In March 2014, IDG-Accel China Growth Fund III L.P. and IDG-Accel China III Investors L.P., or the IDG-Accel Funds, acquired US$3.0 million convertible preferred shares of Phoenix FM Limited, previously a subsidiary of us, to accelerate development of the ifeng application business. Despite holding 100% of Phoenix FM Limited’s ordinary shares, we accounted for our investment in Phoenix FM Limited as an equity method investment since we did not control Phoenix FM Limited due to substantive participating rights that have been provided to the IDG-Accel Funds. As of December 31, 2016, the carrying value of our equity investment in Phoenix FM was nil.</w:t>
      </w:r>
    </w:p>
    <w:p>
      <w:pPr>
        <w:spacing w:after="0" w:line="184" w:lineRule="exact"/>
        <w:rPr>
          <w:sz w:val="20"/>
          <w:szCs w:val="20"/>
          <w:color w:val="auto"/>
        </w:rPr>
      </w:pPr>
    </w:p>
    <w:p>
      <w:pPr>
        <w:ind w:right="120" w:firstLine="450"/>
        <w:spacing w:after="0" w:line="256" w:lineRule="auto"/>
        <w:rPr>
          <w:sz w:val="20"/>
          <w:szCs w:val="20"/>
          <w:color w:val="auto"/>
        </w:rPr>
      </w:pPr>
      <w:r>
        <w:rPr>
          <w:rFonts w:ascii="Times New Roman" w:cs="Times New Roman" w:eastAsia="Times New Roman" w:hAnsi="Times New Roman"/>
          <w:sz w:val="18"/>
          <w:szCs w:val="18"/>
          <w:color w:val="auto"/>
        </w:rPr>
        <w:t>In April 2014, we established Shenzhen Fenghuang Jingcai Network Technology Co., Ltd, or Fenghuang Jingcai, a company engaged in online lottery ticket distribution with capitalization of RMB2.0 million. Subsequently, we invested additional RMB2.5 million in Fenghuang Jingcai. In 2014 and 2016, Fenghuang Jingcai obtained capital injection from other independent third parties. We held approximately 31.54% of the equity interests in Fenghuang Jingcai as of December 31, 2016 and accounted it as an equity method investment. Since March 2015, Fenghuang Jingcai had suspended all of its online lottery ticket distribution businesses, in response to the Notice related to Self-Inspection and Self-Remedy of Unauthorized Online Lottery Sales, or the Self-Inspection Notice, which was jointly promulgated by the Ministry of Finance, the Ministry of Civil Affairs and the General Administration of Sports of the</w:t>
      </w:r>
    </w:p>
    <w:p>
      <w:pPr>
        <w:sectPr>
          <w:pgSz w:w="11900" w:h="16907" w:orient="portrait"/>
          <w:cols w:equalWidth="0" w:num="1">
            <w:col w:w="11420"/>
          </w:cols>
          <w:pgMar w:left="240" w:top="121" w:right="239" w:bottom="0" w:gutter="0" w:footer="0" w:header="0"/>
        </w:sectPr>
      </w:pPr>
    </w:p>
    <w:bookmarkStart w:id="21" w:name="page22"/>
    <w:bookmarkEnd w:id="21"/>
    <w:p>
      <w:pPr>
        <w:ind w:right="20"/>
        <w:spacing w:after="0" w:line="258" w:lineRule="auto"/>
        <w:rPr>
          <w:sz w:val="20"/>
          <w:szCs w:val="20"/>
          <w:color w:val="auto"/>
        </w:rPr>
      </w:pPr>
      <w:r>
        <w:rPr>
          <w:rFonts w:ascii="Times New Roman" w:cs="Times New Roman" w:eastAsia="Times New Roman" w:hAnsi="Times New Roman"/>
          <w:sz w:val="18"/>
          <w:szCs w:val="18"/>
          <w:color w:val="auto"/>
        </w:rPr>
        <w:t>People’s Republic of China. As of December 31, 2016, there has been no change in the Self-Inspection Notice. Our management believes that the regulatory change brought about by the Self-Inspection Notice will continue to have negatively impact to the cash flows of Fenghuang Jingcai in the future, and that the value of Fenghuang Jingcai may not be fully recoverable. In December 2015, we recorded RMB3.2 million impairment loss for our equity investment in Fenghuang Jingcai. As of December 31, 2016, the carrying value of our equity investment in Fenghuang Jingcai was nil. We are unlikely to recover any value of Fenghuang Jingcai in the future.</w:t>
      </w:r>
    </w:p>
    <w:p>
      <w:pPr>
        <w:spacing w:after="0" w:line="184"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18"/>
          <w:szCs w:val="18"/>
          <w:color w:val="auto"/>
        </w:rPr>
        <w:t>We have made substantial investment in Particle in the form of investments and loans. Particle owns the mobile application Yidian, a personalized news and life-style information application in China, which allows users to define and explore desired content over mobile devices. As of the date hereof, we held Series B, Series C and Series D1 convertible redeemable preferred shares of Particle, which had been accounted for as available-for-sale investments, representing an aggregate of approximately 44.2% equity interest of Particle on an as-if converted basis. The fair value of our available-for-sale investments in Particle was US$135.3 million as of December 31, 2016. As of the date hereof, we also had three outstanding unsecured short-term loans to Particle, including (i) a convertible loan with a principal amount of US$14.8 million at an interest rate of 4.35% per annum due in August 2017, which can be converted into Series D1 convertible redeemable preferred shares of Particle at a conversion price of US$1.071803 per share, (ii) a loan with the principal amount of approximately US$6.8 million at an interest rate of 9% per annum due in November 2017, and (iii) a loan with the principal amount of RMB74.0 million at an interest rate of 9% per annum due in January 2018.</w:t>
      </w:r>
    </w:p>
    <w:p>
      <w:pPr>
        <w:spacing w:after="0" w:line="189" w:lineRule="exact"/>
        <w:rPr>
          <w:sz w:val="20"/>
          <w:szCs w:val="20"/>
          <w:color w:val="auto"/>
        </w:rPr>
      </w:pPr>
    </w:p>
    <w:p>
      <w:pPr>
        <w:ind w:right="120" w:firstLine="450"/>
        <w:spacing w:after="0" w:line="258" w:lineRule="auto"/>
        <w:rPr>
          <w:sz w:val="20"/>
          <w:szCs w:val="20"/>
          <w:color w:val="auto"/>
        </w:rPr>
      </w:pPr>
      <w:r>
        <w:rPr>
          <w:rFonts w:ascii="Times New Roman" w:cs="Times New Roman" w:eastAsia="Times New Roman" w:hAnsi="Times New Roman"/>
          <w:sz w:val="18"/>
          <w:szCs w:val="18"/>
          <w:color w:val="auto"/>
        </w:rPr>
        <w:t>In December 2014, we lost control over Beijing Fenghuang Tianbo Network Technology Co., Ltd., or Tianbo, a previously consolidated subsidiary, as the result of disposal of certain equity interest of Tianbo, and we currently still hold 50% of the equity interests in Tianbo. As we have significant influence over financial and operating decision-making after deconsolidation, we account for the retained 50% equity interests by using the equity method of accounting. Tianbo is principally engaged in exclusive operation of the real property channel and exclusive sales of real property advertisements for ifeng.com.</w:t>
      </w:r>
    </w:p>
    <w:p>
      <w:pPr>
        <w:spacing w:after="0" w:line="184" w:lineRule="exact"/>
        <w:rPr>
          <w:sz w:val="20"/>
          <w:szCs w:val="20"/>
          <w:color w:val="auto"/>
        </w:rPr>
      </w:pPr>
    </w:p>
    <w:p>
      <w:pPr>
        <w:ind w:right="160" w:firstLine="450"/>
        <w:spacing w:after="0" w:line="256" w:lineRule="auto"/>
        <w:rPr>
          <w:sz w:val="20"/>
          <w:szCs w:val="20"/>
          <w:color w:val="auto"/>
        </w:rPr>
      </w:pPr>
      <w:r>
        <w:rPr>
          <w:rFonts w:ascii="Times New Roman" w:cs="Times New Roman" w:eastAsia="Times New Roman" w:hAnsi="Times New Roman"/>
          <w:sz w:val="18"/>
          <w:szCs w:val="18"/>
          <w:color w:val="auto"/>
        </w:rPr>
        <w:t>In January 2015, in order to leverage our brand, content platform and large user base to expand into more entertainment related businesses, one of our affiliated consolidated entities established a new subsidiary, Shanghai Meowpaw Info&amp;Tech Co., Ltd., or Meowpaw. Meowpaw is engaged in creating intellectual properties, related games, books, movies and animations, etc. Meowpaw will apply for the necessary licenses and permits when required. As of the date of this annual report, we held 75% of Meopaw’s equity interest, and its noncontrolling shareholder, who is an individual, held the remaining 25%. Meowpaw’s share capital was not sufficient to support its operations. In addition to the capital injection, we provided a long-term financing of RMB79.0 million to support its operations.</w:t>
      </w:r>
    </w:p>
    <w:p>
      <w:pPr>
        <w:spacing w:after="0" w:line="188" w:lineRule="exact"/>
        <w:rPr>
          <w:sz w:val="20"/>
          <w:szCs w:val="20"/>
          <w:color w:val="auto"/>
        </w:rPr>
      </w:pPr>
    </w:p>
    <w:p>
      <w:pPr>
        <w:jc w:val="both"/>
        <w:ind w:right="180" w:firstLine="450"/>
        <w:spacing w:after="0" w:line="261" w:lineRule="auto"/>
        <w:rPr>
          <w:sz w:val="20"/>
          <w:szCs w:val="20"/>
          <w:color w:val="auto"/>
        </w:rPr>
      </w:pPr>
      <w:r>
        <w:rPr>
          <w:rFonts w:ascii="Times New Roman" w:cs="Times New Roman" w:eastAsia="Times New Roman" w:hAnsi="Times New Roman"/>
          <w:sz w:val="18"/>
          <w:szCs w:val="18"/>
          <w:color w:val="auto"/>
        </w:rPr>
        <w:t>In January 2015, we acquired 5% equity interest of Beijing Phoenix Lilita Information Technology Co., Ltd., or Lilita, from a family member of the chairman of Phoenix TV, for an aggregate purchase price of RMB0.5 million. Lilita is principally engaged in P2P lending and reward-based crowd-funding businesses. In July 2016, Lilita completed its Series A round of financing and the percentage of our equity interest in Lilita decreased to 4.69%. We account for our equity interest in Lilita by using the cost method of accounting.</w:t>
      </w:r>
    </w:p>
    <w:p>
      <w:pPr>
        <w:spacing w:after="0" w:line="180" w:lineRule="exact"/>
        <w:rPr>
          <w:sz w:val="20"/>
          <w:szCs w:val="20"/>
          <w:color w:val="auto"/>
        </w:rPr>
      </w:pPr>
    </w:p>
    <w:p>
      <w:pPr>
        <w:ind w:right="200" w:firstLine="450"/>
        <w:spacing w:after="0" w:line="261" w:lineRule="auto"/>
        <w:rPr>
          <w:sz w:val="20"/>
          <w:szCs w:val="20"/>
          <w:color w:val="auto"/>
        </w:rPr>
      </w:pPr>
      <w:r>
        <w:rPr>
          <w:rFonts w:ascii="Times New Roman" w:cs="Times New Roman" w:eastAsia="Times New Roman" w:hAnsi="Times New Roman"/>
          <w:sz w:val="18"/>
          <w:szCs w:val="18"/>
          <w:color w:val="auto"/>
        </w:rPr>
        <w:t>In February 2015, we invested approximately RMB4.5 million in Hangzhou Qike Technology Co., Ltd., or Hangzhou Qike, a company engaged in providing risk management and credit control assessment based on big data analysis to enterprises and eventually directly to individual customers. We hold 45% equity interest of Hangzhou Qike and account for it by using the equity method of accounting. As of December 31, 2016, the carrying value of our equity investment in Hangzhou Qike was RMB0.1 million.</w:t>
      </w:r>
    </w:p>
    <w:p>
      <w:pPr>
        <w:spacing w:after="0" w:line="180" w:lineRule="exact"/>
        <w:rPr>
          <w:sz w:val="20"/>
          <w:szCs w:val="20"/>
          <w:color w:val="auto"/>
        </w:rPr>
      </w:pPr>
    </w:p>
    <w:p>
      <w:pPr>
        <w:ind w:right="200" w:firstLine="450"/>
        <w:spacing w:after="0" w:line="261" w:lineRule="auto"/>
        <w:rPr>
          <w:sz w:val="20"/>
          <w:szCs w:val="20"/>
          <w:color w:val="auto"/>
        </w:rPr>
      </w:pPr>
      <w:r>
        <w:rPr>
          <w:rFonts w:ascii="Times New Roman" w:cs="Times New Roman" w:eastAsia="Times New Roman" w:hAnsi="Times New Roman"/>
          <w:sz w:val="18"/>
          <w:szCs w:val="18"/>
          <w:color w:val="auto"/>
        </w:rPr>
        <w:t>In April 2015, we acquired 0.3% equity interest of Lifeix Inc., an Internet company that operates L99.com and Lifeix.com, for an aggregate purchase price of US$1.0 million. We account for our equity investment in Lifeix by using the cost method of accounting. In December 2015, in view of business performance and near-term business outlook of Lifeix Inc. that were below our previous expectation, based on the other-than-temporary impairment assessment, we recorded an impairment loss of US$1.0 million (RMB6.4 million) to fully write down the equity investment.</w:t>
      </w:r>
    </w:p>
    <w:p>
      <w:pPr>
        <w:spacing w:after="0" w:line="180" w:lineRule="exact"/>
        <w:rPr>
          <w:sz w:val="20"/>
          <w:szCs w:val="20"/>
          <w:color w:val="auto"/>
        </w:rPr>
      </w:pPr>
    </w:p>
    <w:p>
      <w:pPr>
        <w:ind w:right="60" w:firstLine="450"/>
        <w:spacing w:after="0" w:line="266" w:lineRule="auto"/>
        <w:rPr>
          <w:sz w:val="20"/>
          <w:szCs w:val="20"/>
          <w:color w:val="auto"/>
        </w:rPr>
      </w:pPr>
      <w:r>
        <w:rPr>
          <w:rFonts w:ascii="Times New Roman" w:cs="Times New Roman" w:eastAsia="Times New Roman" w:hAnsi="Times New Roman"/>
          <w:sz w:val="18"/>
          <w:szCs w:val="18"/>
          <w:color w:val="auto"/>
        </w:rPr>
        <w:t>We have also made an immaterial amount of investments in other companies. It is uncertain whether we will receive the expected benefits from these investments`, due to any adverse regulatory changes, worsening of economic conditions, increased competition or other factors that may negatively affect the related business activities.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18"/>
          <w:szCs w:val="18"/>
          <w:color w:val="auto"/>
        </w:rPr>
        <w:t>We account for some of our investments in affiliates under the equity method. Therefore, net losses incurred by equity method investees may cause us to record our share of the net losses. Furthermore, we may lose the capital which we have invested in affiliates and other business alliances or may incur impairment losses on securities acquired in such alliances. For example, as Particle has engaged in and may continue to engage in additional onshore and offshore financing activities, as additional investors are brought in as new shareholders of Particle or any of its principal subsidiaries or affiliated consolidated entity, and as certain special rights are granted to some of these new shareholders, our equity interest in Particle may be diluted, we may lose our option to consolidate Particle as a subsidiary, and Particle may lose its right to consolidate its current consolidated affiliated entity, which may materially and adversely affect the value of our investments in Particle. While we do not have such arrangements in place, we may in the future be required under contractual or other arrangements to provide financial support, including credit support and equity investments, to our business alliance partners in the future. Additionally, we may also incur credit costs from our credit exposure to such business alliance partners. If there is any negative news coverage about our business alliance partners, our reputation may also be harmed as a result of our affiliation with them.</w:t>
      </w:r>
    </w:p>
    <w:p>
      <w:pPr>
        <w:spacing w:after="0" w:line="186" w:lineRule="exact"/>
        <w:rPr>
          <w:sz w:val="20"/>
          <w:szCs w:val="20"/>
          <w:color w:val="auto"/>
        </w:rPr>
      </w:pPr>
    </w:p>
    <w:p>
      <w:pPr>
        <w:jc w:val="both"/>
        <w:ind w:right="120" w:firstLine="450"/>
        <w:spacing w:after="0" w:line="266" w:lineRule="auto"/>
        <w:rPr>
          <w:sz w:val="20"/>
          <w:szCs w:val="20"/>
          <w:color w:val="auto"/>
        </w:rPr>
      </w:pPr>
      <w:r>
        <w:rPr>
          <w:rFonts w:ascii="Times New Roman" w:cs="Times New Roman" w:eastAsia="Times New Roman" w:hAnsi="Times New Roman"/>
          <w:sz w:val="18"/>
          <w:szCs w:val="18"/>
          <w:color w:val="auto"/>
        </w:rPr>
        <w:t>Particle operates Yidian, a personalized news and life-style information application in China, which allows users to define and explore desired content over mobile devices. As Yidian links to news content provided by third parties, Particle may face the risk of being subject to copyright infringement claims, which may adversely affect the value of our investment in Particle.</w:t>
      </w:r>
    </w:p>
    <w:p>
      <w:pPr>
        <w:spacing w:after="0" w:line="176" w:lineRule="exact"/>
        <w:rPr>
          <w:sz w:val="20"/>
          <w:szCs w:val="20"/>
          <w:color w:val="auto"/>
        </w:rPr>
      </w:pPr>
    </w:p>
    <w:p>
      <w:pPr>
        <w:ind w:right="80" w:firstLine="450"/>
        <w:spacing w:after="0" w:line="256" w:lineRule="auto"/>
        <w:rPr>
          <w:sz w:val="20"/>
          <w:szCs w:val="20"/>
          <w:color w:val="auto"/>
        </w:rPr>
      </w:pPr>
      <w:r>
        <w:rPr>
          <w:rFonts w:ascii="Times New Roman" w:cs="Times New Roman" w:eastAsia="Times New Roman" w:hAnsi="Times New Roman"/>
          <w:sz w:val="18"/>
          <w:szCs w:val="18"/>
          <w:color w:val="auto"/>
        </w:rPr>
        <w:t>Some of the businesses we have invested in are subject to intensive regulation. As a result of such regulations which are beyond our control, our business strategies may fail. For example, Fenghuang Jingcai suspended all of its businesses operation in 2015 due to changes in regulations of online lottery ticket distribution business in China, and we recorded RMB3.2 million impairment loss for our equity investment in Fenghuang Jingcai in 2015. Similar adverse regulatory change may have a material adverse impact on the business and financial performance of our subsidiaries, affiliates and other business alliance partners. Furthermore, unanticipated costs and liabilities may be incurred in connection with those business strategies, including liabilities from the claims related to the businesses prior to our business alliances, and cost from actions by regulatory authorities.</w:t>
      </w:r>
    </w:p>
    <w:p>
      <w:pPr>
        <w:sectPr>
          <w:pgSz w:w="11900" w:h="16838" w:orient="portrait"/>
          <w:cols w:equalWidth="0" w:num="1">
            <w:col w:w="11400"/>
          </w:cols>
          <w:pgMar w:left="240" w:top="121" w:right="259" w:bottom="66" w:gutter="0" w:footer="0" w:header="0"/>
        </w:sectPr>
      </w:pPr>
    </w:p>
    <w:bookmarkStart w:id="22" w:name="page23"/>
    <w:bookmarkEnd w:id="22"/>
    <w:p>
      <w:pPr>
        <w:ind w:right="5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have conflicts of interest with some of the affiliated companies we have invested in and, because some of our board members and executive officers also hold positions and have other interests in such companies, we may not be able to resolve such conflicts on terms favorable for us.</w:t>
      </w:r>
    </w:p>
    <w:p>
      <w:pPr>
        <w:spacing w:after="0" w:line="136"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18"/>
          <w:szCs w:val="18"/>
          <w:color w:val="auto"/>
        </w:rPr>
        <w:t>We may have conflicts of interests with some of the affiliated companies we have invested in. Certain of our board members and executive officers hold directorship and/or senior management positions and own shares, restricted share units and/or options in these affiliated companies. For example, Mr. Shuang Liu, our director and Chief Executive Officer, also serves as the chairman of Particle; Mr. Ya Li, our director and co-president, also serves as the director and Chief Executive Officer of Particle; and Mr. Tong Chen, our co-president, also serves as the director and president of Particle. All of Mr. Shuang Liu, Mr. Ya Li and Mr. Tong Chen have been granted or promised options by Particle as incentive share compensation. These affiliated companies may continue to grant or promise incentive share compensation to certain of our board members and executive officers from time to time. These relationships could create, or appear to create, conflicts of interest when these persons are faced with decisions with potentially different implications for these affiliated companies and us. In addition, we do not have a non-compete agreement with most of these affiliated companies and therefore neither we nor they are prohibited from entering into competition with each other in respect of our respective current businesses or new businesses. As such, we may not be able to resolve potential conflicts, and even if we do so, the resolution may be less favorable to us than if we were dealing with unrelated parties.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Corporate Structure</w:t>
      </w:r>
    </w:p>
    <w:p>
      <w:pPr>
        <w:spacing w:after="0" w:line="2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Phoenix TV (BVI) owns our Class B ordinary shares with 1.3 votes per share, allowing it and Phoenix TV to exercise significant influence over matters subject to shareholder approval, and their interests may not be aligned with the interests of our other shareholders.</w:t>
      </w:r>
    </w:p>
    <w:p>
      <w:pPr>
        <w:spacing w:after="0" w:line="159" w:lineRule="exact"/>
        <w:rPr>
          <w:sz w:val="20"/>
          <w:szCs w:val="20"/>
          <w:color w:val="auto"/>
        </w:rPr>
      </w:pPr>
    </w:p>
    <w:p>
      <w:pPr>
        <w:ind w:right="120" w:firstLine="441"/>
        <w:spacing w:after="0" w:line="254" w:lineRule="auto"/>
        <w:rPr>
          <w:sz w:val="20"/>
          <w:szCs w:val="20"/>
          <w:color w:val="auto"/>
        </w:rPr>
      </w:pPr>
      <w:r>
        <w:rPr>
          <w:rFonts w:ascii="Times New Roman" w:cs="Times New Roman" w:eastAsia="Times New Roman" w:hAnsi="Times New Roman"/>
          <w:sz w:val="18"/>
          <w:szCs w:val="18"/>
          <w:color w:val="auto"/>
        </w:rPr>
        <w:t>Phoenix TV (BVI), a wholly owned direct subsidiary of Phoenix TV, owned 55.5% of our total issued and outstanding shares as of March 31, 2017. Moreover, all shares held by Phoenix TV (BVI) are Class B ordinary shares with 1.3 votes per share. As a result, Phoenix TV (BVI) held 61.8% of the total voting power of our ordinary shares as of March 31, 2017. Accordingly, Phoenix TV (BVI), and Phoenix TV through Phoenix TV (BVI), have substantial control over the outcome of corporate actions requiring shareholder approval, including the election of directors, any merger, consolidation or sale of all or substantially all of our assets or any other significant corporate transaction, and their interests may not align with the interests of our other shareholders. Phoenix TV (BVI) may take actions that are not in the best interest of us or our other shareholders and may also delay or prevent a change of control or otherwise discourage a potential acquirer from attempting to obtain control of us, even if such a change of control would benefit our other shareholders. This significant concentration of share ownership may adversely affect the trading price of our ADSs due to investors’ perception that conflicts of interest may exist or arise.</w:t>
      </w:r>
    </w:p>
    <w:p>
      <w:pPr>
        <w:spacing w:after="0" w:line="18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conflicts of interest with Phoenix TV and, because of Phoenix TV’s controlling beneficial ownership interest in our company, may not be able to resolve such conflicts on terms favorable for us.</w:t>
      </w:r>
    </w:p>
    <w:p>
      <w:pPr>
        <w:spacing w:after="0" w:line="159" w:lineRule="exact"/>
        <w:rPr>
          <w:sz w:val="20"/>
          <w:szCs w:val="20"/>
          <w:color w:val="auto"/>
        </w:rPr>
      </w:pPr>
    </w:p>
    <w:p>
      <w:pPr>
        <w:ind w:right="320" w:firstLine="441"/>
        <w:spacing w:after="0" w:line="282" w:lineRule="auto"/>
        <w:rPr>
          <w:sz w:val="20"/>
          <w:szCs w:val="20"/>
          <w:color w:val="auto"/>
        </w:rPr>
      </w:pPr>
      <w:r>
        <w:rPr>
          <w:rFonts w:ascii="Times New Roman" w:cs="Times New Roman" w:eastAsia="Times New Roman" w:hAnsi="Times New Roman"/>
          <w:sz w:val="18"/>
          <w:szCs w:val="18"/>
          <w:color w:val="auto"/>
        </w:rPr>
        <w:t>Conflicts of interest may arise between Phoenix TV and us in a number of areas relating to our past and ongoing relationships. Potential conflicts of interest that we have identified include the following:</w:t>
      </w:r>
    </w:p>
    <w:p>
      <w:pPr>
        <w:spacing w:after="0" w:line="160" w:lineRule="exact"/>
        <w:rPr>
          <w:sz w:val="20"/>
          <w:szCs w:val="20"/>
          <w:color w:val="auto"/>
        </w:rPr>
      </w:pPr>
    </w:p>
    <w:p>
      <w:pPr>
        <w:ind w:left="1100" w:right="20" w:hanging="327"/>
        <w:spacing w:after="0" w:line="259" w:lineRule="auto"/>
        <w:tabs>
          <w:tab w:leader="none" w:pos="10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board members or executive officers may have conflicts of interest</w:t>
      </w:r>
      <w:r>
        <w:rPr>
          <w:rFonts w:ascii="Times New Roman" w:cs="Times New Roman" w:eastAsia="Times New Roman" w:hAnsi="Times New Roman"/>
          <w:sz w:val="18"/>
          <w:szCs w:val="18"/>
          <w:color w:val="auto"/>
        </w:rPr>
        <w:t>. Certain of our board members and executive officers own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share units and/or options in Phoenix TV, and also hold senior management positions in Phoenix TV. Phoenix TV may continue to grant incentive share compensation to certain of our board members and executive officers from time to time. These relationships could create, or appear to create, conflicts of interest when these persons are faced with decisions with potentially different implications for Phoenix TV and us.</w:t>
      </w:r>
    </w:p>
    <w:p>
      <w:pPr>
        <w:spacing w:after="0" w:line="179" w:lineRule="exact"/>
        <w:rPr>
          <w:rFonts w:ascii="Times New Roman" w:cs="Times New Roman" w:eastAsia="Times New Roman" w:hAnsi="Times New Roman"/>
          <w:sz w:val="18"/>
          <w:szCs w:val="18"/>
          <w:color w:val="auto"/>
        </w:rPr>
      </w:pPr>
    </w:p>
    <w:p>
      <w:pPr>
        <w:ind w:left="1100" w:right="40" w:hanging="327"/>
        <w:spacing w:after="0" w:line="267" w:lineRule="auto"/>
        <w:tabs>
          <w:tab w:leader="none" w:pos="10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 of shares in our company</w:t>
      </w:r>
      <w:r>
        <w:rPr>
          <w:rFonts w:ascii="Times New Roman" w:cs="Times New Roman" w:eastAsia="Times New Roman" w:hAnsi="Times New Roman"/>
          <w:sz w:val="18"/>
          <w:szCs w:val="18"/>
          <w:color w:val="auto"/>
        </w:rPr>
        <w:t>. Phoenix TV (BVI) may decide to sell all or a portion of our shares that it beneficially owns to a third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to one of our competitors, thereby giving that third party substantial influence over our business and our affairs. Such a sale could be contrary to the interests of certain of our shareholders, including our employees or public shareholders.</w:t>
      </w:r>
    </w:p>
    <w:p>
      <w:pPr>
        <w:spacing w:after="0" w:line="173" w:lineRule="exact"/>
        <w:rPr>
          <w:rFonts w:ascii="Times New Roman" w:cs="Times New Roman" w:eastAsia="Times New Roman" w:hAnsi="Times New Roman"/>
          <w:sz w:val="18"/>
          <w:szCs w:val="18"/>
          <w:color w:val="auto"/>
        </w:rPr>
      </w:pPr>
    </w:p>
    <w:p>
      <w:pPr>
        <w:ind w:left="1100" w:right="100" w:hanging="327"/>
        <w:spacing w:after="0" w:line="284" w:lineRule="auto"/>
        <w:tabs>
          <w:tab w:leader="none" w:pos="10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Competition</w:t>
      </w:r>
      <w:r>
        <w:rPr>
          <w:rFonts w:ascii="Times New Roman" w:cs="Times New Roman" w:eastAsia="Times New Roman" w:hAnsi="Times New Roman"/>
          <w:sz w:val="18"/>
          <w:szCs w:val="18"/>
          <w:color w:val="auto"/>
        </w:rPr>
        <w:t>. We do not have a non-compete agreement with Phoenix TV and therefore neither we nor Phoenix TV is prohibited from entering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competition with each other in respect of our respective current businesses or new businesses.</w:t>
      </w:r>
    </w:p>
    <w:p>
      <w:pPr>
        <w:spacing w:after="0" w:line="158" w:lineRule="exact"/>
        <w:rPr>
          <w:rFonts w:ascii="Times New Roman" w:cs="Times New Roman" w:eastAsia="Times New Roman" w:hAnsi="Times New Roman"/>
          <w:sz w:val="18"/>
          <w:szCs w:val="18"/>
          <w:color w:val="auto"/>
        </w:rPr>
      </w:pPr>
    </w:p>
    <w:p>
      <w:pPr>
        <w:ind w:left="1100" w:right="140" w:hanging="327"/>
        <w:spacing w:after="0" w:line="261" w:lineRule="auto"/>
        <w:tabs>
          <w:tab w:leader="none" w:pos="10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Allocation of business opportunities</w:t>
      </w:r>
      <w:r>
        <w:rPr>
          <w:rFonts w:ascii="Times New Roman" w:cs="Times New Roman" w:eastAsia="Times New Roman" w:hAnsi="Times New Roman"/>
          <w:sz w:val="18"/>
          <w:szCs w:val="18"/>
          <w:color w:val="auto"/>
        </w:rPr>
        <w:t>. Business opportunities may arise that both we and Phoenix TV find attractive, and which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complement our respective businesses. We and Phoenix TV do not have an agreement governing the allocation of new business opportunities presented to us and Phoenix TV in the future, and therefore, it is not certain which company will have the priority to pursue such business opportunities when such opportunities arise.</w:t>
      </w:r>
    </w:p>
    <w:p>
      <w:pPr>
        <w:spacing w:after="0" w:line="182"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Although our company is a separate, stand-alone entity, Phoenix TV (BVI), a wholly owned direct subsidiary of Phoenix TV, owns Class B ordinary shares, each of which will be entitled to 1.3 votes on all matter subject to shareholders’ vote, and we operate as a part of the Phoenix TV Group. Phoenix TV may from time to time make strategic decisions that it believes are in the best interests of its business as a whole, including our company. These decisions may be different from the decisions that we would have made on our own. Phoenix TV’s decisions with respect to us or our business may be resolved in ways that favor Phoenix TV and therefore Phoenix TV’s own shareholders, which may not coincide with the interests of our other shareholders. We may not be able to resolve any potential conflicts, and even if we do so, the resolution may be less favorable to us than if we were dealing with non-controlling shareholder. Even if both parties seek to transact business on terms intended to approximate those that could have been achieved among unaffiliated parties, this may not succeed in practice.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PRC government finds that the agreements that establish the structure for operating our businesses in China do not comply with PRC governmental restrictions on foreign investment in Internet businesses, or if these regulations or the interpretation of existing regulations change in the future, we would be subject to severe penalties or be forced to relinquish our interests in those operations.</w:t>
      </w:r>
    </w:p>
    <w:p>
      <w:pPr>
        <w:sectPr>
          <w:pgSz w:w="11900" w:h="16838" w:orient="portrait"/>
          <w:cols w:equalWidth="0" w:num="1">
            <w:col w:w="11420"/>
          </w:cols>
          <w:pgMar w:left="240" w:top="117" w:right="239" w:bottom="0" w:gutter="0" w:footer="0" w:header="0"/>
        </w:sectPr>
      </w:pPr>
    </w:p>
    <w:bookmarkStart w:id="23" w:name="page24"/>
    <w:bookmarkEnd w:id="23"/>
    <w:p>
      <w:pPr>
        <w:ind w:firstLine="441"/>
        <w:spacing w:after="0" w:line="254" w:lineRule="auto"/>
        <w:rPr>
          <w:sz w:val="20"/>
          <w:szCs w:val="20"/>
          <w:color w:val="auto"/>
        </w:rPr>
      </w:pPr>
      <w:r>
        <w:rPr>
          <w:rFonts w:ascii="Times New Roman" w:cs="Times New Roman" w:eastAsia="Times New Roman" w:hAnsi="Times New Roman"/>
          <w:sz w:val="18"/>
          <w:szCs w:val="18"/>
          <w:color w:val="auto"/>
        </w:rPr>
        <w:t xml:space="preserve">Current PRC laws and regulations place certain restrictions on foreign ownership of companies that engage in Internet and mobile businesses. Specifically, pursuant to the </w:t>
      </w:r>
      <w:r>
        <w:rPr>
          <w:rFonts w:ascii="Times New Roman" w:cs="Times New Roman" w:eastAsia="Times New Roman" w:hAnsi="Times New Roman"/>
          <w:sz w:val="18"/>
          <w:szCs w:val="18"/>
          <w:i w:val="1"/>
          <w:iCs w:val="1"/>
          <w:color w:val="auto"/>
        </w:rPr>
        <w:t>Regulations for Administration of Foreign-Invested Telecommunications Enterprises</w:t>
      </w:r>
      <w:r>
        <w:rPr>
          <w:rFonts w:ascii="Times New Roman" w:cs="Times New Roman" w:eastAsia="Times New Roman" w:hAnsi="Times New Roman"/>
          <w:sz w:val="18"/>
          <w:szCs w:val="18"/>
          <w:color w:val="auto"/>
        </w:rPr>
        <w:t xml:space="preserve"> issued by the State Council on December 11, 2001 and amended on September 10, 2008 and February 6, 2016, foreign ownership in an Internet content provider or other value-added telecommunication service providers may not exceed 50%. We conduct our operations in China principally through contractual arrangements among our wholly-owned PRC subsidiary, Fenghuang On-line and two affiliated consolidated entities in the PRC, namely, Yifeng Lianhe and Tianying Jiuzhou, and their respective shareholders. Yifeng Lianhe holds the licenses and permits necessary to conduct our mobile business in China, while Tianying Jiuzhou holds the licenses and permits necessary to conduct our Internet portal, video, mobile business, and Internet advertising and related businesses in China. Our contractual arrangements with Yifeng Lianhe and Tianying Jiuzhou and their respective shareholders enable us to exercise effective control over these entities and hence treat them as our affiliated consolidated entities and consolidate their results. For a detailed discussion of these contractual arrangements, see “Item 4. Information on the Company—C. Organizational Structure.”</w:t>
      </w:r>
    </w:p>
    <w:p>
      <w:pPr>
        <w:spacing w:after="0" w:line="186"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18"/>
          <w:szCs w:val="18"/>
          <w:color w:val="auto"/>
        </w:rPr>
        <w:t>We cannot assure you, however, that we will be able to enforce these contracts. Although we believe we are in compliance with current PRC regulations, we cannot assure you that the PRC government would agree that these contractual arrangements comply with PRC licensing, registration or other regulatory requirements, with existing policies or with requirements or policies that may be adopted in the future. PRC laws and regulations governing the validity of these contractual arrangements are uncertain and the relevant government authorities have broad discretion in interpreting these laws and regulations. For example, it is uncertain that how the Draft FIL, should it come in force, or its implementation rules, may impact the viability of our current corporate structure in the future. See “Item 3. Key Information—D. Risk Factors—Risks Relating to Doing Business in China—Substantial uncertainties exist with respect to the enactment timetable, interpretation and implementation of the draft Foreign Investment Law and how it may impact the viability of our current corporate structure, corporate governance and business operations.” If the PRC government determines that we do not comply with applicable laws and regulations, it could revoke our business and operating licenses, require us to discontinue or restrict our operations, restrict our right to collect revenues, block our website or mobile application, require us to restructure our operations, impose additional conditions or requirements with which we may not be able to comply, or take other regulatory or enforcement actions against us that could be harmful to our business. The imposition of any of these penalties would result in a material and adverse effect on our ability to conduct our business.</w:t>
      </w:r>
    </w:p>
    <w:p>
      <w:pPr>
        <w:spacing w:after="0" w:line="189"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 xml:space="preserve">In August 2011, MOFCOM promulgated the </w:t>
      </w:r>
      <w:r>
        <w:rPr>
          <w:rFonts w:ascii="Times New Roman" w:cs="Times New Roman" w:eastAsia="Times New Roman" w:hAnsi="Times New Roman"/>
          <w:sz w:val="18"/>
          <w:szCs w:val="18"/>
          <w:i w:val="1"/>
          <w:iCs w:val="1"/>
          <w:color w:val="auto"/>
        </w:rPr>
        <w:t>Rules of Ministry of Commerce on Implementation of Security Review System of Mergers and Acquisitions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Domestic Enterprises by Foreign Investors</w:t>
      </w:r>
      <w:r>
        <w:rPr>
          <w:rFonts w:ascii="Times New Roman" w:cs="Times New Roman" w:eastAsia="Times New Roman" w:hAnsi="Times New Roman"/>
          <w:sz w:val="18"/>
          <w:szCs w:val="18"/>
          <w:color w:val="auto"/>
        </w:rPr>
        <w:t>, or the MOFCOM Security Review Rules, to implement the</w:t>
      </w:r>
      <w:r>
        <w:rPr>
          <w:rFonts w:ascii="Times New Roman" w:cs="Times New Roman" w:eastAsia="Times New Roman" w:hAnsi="Times New Roman"/>
          <w:sz w:val="18"/>
          <w:szCs w:val="18"/>
          <w:i w:val="1"/>
          <w:iCs w:val="1"/>
          <w:color w:val="auto"/>
        </w:rPr>
        <w:t xml:space="preserve"> Notice of the General Office of the State Council on Establishing the Security Review System for Mergers and Acquisitions of Domestic Enterprises by Foreign Investors </w:t>
      </w:r>
      <w:r>
        <w:rPr>
          <w:rFonts w:ascii="Times New Roman" w:cs="Times New Roman" w:eastAsia="Times New Roman" w:hAnsi="Times New Roman"/>
          <w:sz w:val="18"/>
          <w:szCs w:val="18"/>
          <w:color w:val="auto"/>
        </w:rPr>
        <w:t>promulgated on February 3, 2011,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Circular No. 6. The MOFCOM Security Review Rules came into effect on September 1, 2011 and replaced the </w:t>
      </w:r>
      <w:r>
        <w:rPr>
          <w:rFonts w:ascii="Times New Roman" w:cs="Times New Roman" w:eastAsia="Times New Roman" w:hAnsi="Times New Roman"/>
          <w:sz w:val="18"/>
          <w:szCs w:val="18"/>
          <w:i w:val="1"/>
          <w:iCs w:val="1"/>
          <w:color w:val="auto"/>
        </w:rPr>
        <w:t>Interim Provisions of MOFCOM on Matters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Relating to the Implementation of the Security Review System for Mergers and Acquisitions of Domestic Enterprises by Foreign Investors </w:t>
      </w:r>
      <w:r>
        <w:rPr>
          <w:rFonts w:ascii="Times New Roman" w:cs="Times New Roman" w:eastAsia="Times New Roman" w:hAnsi="Times New Roman"/>
          <w:sz w:val="18"/>
          <w:szCs w:val="18"/>
          <w:color w:val="auto"/>
        </w:rPr>
        <w:t>promulgated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MOFCOM in March 2011. According to these circulars and rules, a security review is required for mergers and acquisitions by foreign investors having “national defense and security” concerns and mergers and acquisitions by which foreign investors may acquire the “de facto control” of domestic enterprises having “national security” concerns. In addition, when deciding whether a specific merger or acquisition of a domestic enterprise by foreign investors is subject to the security review, MOFCOM will look into the substance and actual impact of the transaction. The MOFCOM Security Review Rules further prohibit foreign investors from bypassing the security review requirement by structuring transactions through proxies, trusts, indirect investments, leases, loans, control through contractual arrangements or offshore transactions. There is no explicit provision or official interpretation stating that our online game business falls into the scope subject to the security review, and there is no requirement for foreign investors in those mergers and acquisitions transactions already completed prior to the promulgation of Circular No. 6 to submit such transactions to MOFCOM for security review. As we have already obtained the “de facto control” over our variable interest entities prior to the effectiveness of these circulars and rules and our current business would not have concerns on “national defense and security” or “national security,” we do not believe we are required to submit our existing contractual arrangement to MOFCOM for security review. However, as there is a lack of clear statutory interpretation on the implementation of these circulars and rules, there is no assurance that MOFCOM will have the same view as we do when applying.</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contractual arrangements with our affiliated consolidated entities in China, and their shareholders, for our business operations, which may not be as effective in providing operational control or enabling us to derive economic benefits as through ownership of controlling equity interest.</w:t>
      </w:r>
    </w:p>
    <w:p>
      <w:pPr>
        <w:spacing w:after="0" w:line="159"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color w:val="auto"/>
        </w:rPr>
        <w:t>We rely on and expect to continue to rely on contractual arrangements with our affiliated consolidated entities in China and their respective shareholders to operate our Internet and mobile businesses. These contractual arrangements may not be as effective in providing us with control over the affiliated consolidated entities as ownership of controlling equity interests would be in providing us with control over, or enabling us to derive economic benefits from the operations of, the affiliated consolidated entities. If we had direct ownership of the affiliated consolidated entities, we would be able to exercise our rights as a shareholder to (i) effect changes in the board of directors of those entities, which in turn could effect changes, subject to any applicable fiduciary obligations, at the management level, and (ii) derive economic benefits from the operations of the affiliated consolidated entities by causing them to declare and pay dividends. However, under the current contractual arrangements, as a legal matter, if any of the affiliated consolidated entities or any of their shareholders fails to perform its, his or her respective obligations under these contractual arrangements, we may have to incur substantial costs and resources to enforce such arrangements, and rely on legal remedies available under PRC laws, including seeking specific performance or injunctive relief, and claiming damages, which we cannot assure you will be effective. For example, if shareholders of an affiliated consolidated entity were to refuse to transfer their equity interests in such affiliated consolidated entity to us or our designated persons when we exercise the purchase option pursuant to these contractual arrangements, we may have to take a legal action to compel them to fulfill their contractual obligations.</w:t>
      </w:r>
    </w:p>
    <w:p>
      <w:pPr>
        <w:spacing w:after="0" w:line="191"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If (i) the applicable PRC authorities invalidate these contractual arrangements for violation of PRC laws, rules and regulations, (ii) any affiliated consolidated entity or its shareholders terminate the contractual arrangements or (iii) any affiliated consolidated entity or its shareholders fail to perform their obligations under these contractual arrangements, our business operations in China would be adversely and materially affected, and the value of your ADSs would substantially decrease. Further, if we fail to renew these contractual arrangements upon their expiration, we would not be able to continue our business operations unless the then current PRC law allows us to directly operate the applicable businesses in China.</w:t>
      </w:r>
    </w:p>
    <w:p>
      <w:pPr>
        <w:spacing w:after="0" w:line="184"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In addition, if any affiliate consolidated entity or all or part of its assets become subject to liens or rights of third-party creditors, we may be unable to continue some or all of our business activities, which could materially and adversely affect our business, financial condition and operating results. If any of the affiliated consolidated entities undergoes a voluntary or involuntary liquidation proceeding, its shareholders or unrelated third-party creditors may claim rights to some or all of these assets, thereby hindering our ability to operate our business, which could materially and adversely affect our business, our ability to generate revenue and the market price of your ADSs.</w:t>
      </w:r>
    </w:p>
    <w:p>
      <w:pPr>
        <w:sectPr>
          <w:pgSz w:w="11900" w:h="16838" w:orient="portrait"/>
          <w:cols w:equalWidth="0" w:num="1">
            <w:col w:w="11420"/>
          </w:cols>
          <w:pgMar w:left="240" w:top="121" w:right="239" w:bottom="62" w:gutter="0" w:footer="0" w:header="0"/>
        </w:sectPr>
      </w:pPr>
    </w:p>
    <w:bookmarkStart w:id="24" w:name="page25"/>
    <w:bookmarkEnd w:id="24"/>
    <w:p>
      <w:pPr>
        <w:spacing w:after="0" w:line="83"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All of these contractual arrangements are governed by PRC law and provide for the resolution of disputes through arbitration in the PRC. The legal environment in the PRC is not as developed as in some other jurisdictions, such as the United States. As a result, uncertainties in the PRC legal system could limit our ability to enforce these contractual arrangements. In the event we are unable to enforce these contractual arrangements, we may not be able to exert effective control over our operating entities, and our ability to conduct our business may be negatively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shareholders of our affiliated consolidated entities may have potential conflicts of interest with us.</w:t>
      </w:r>
    </w:p>
    <w:p>
      <w:pPr>
        <w:spacing w:after="0" w:line="229" w:lineRule="exact"/>
        <w:rPr>
          <w:sz w:val="20"/>
          <w:szCs w:val="20"/>
          <w:color w:val="auto"/>
        </w:rPr>
      </w:pPr>
    </w:p>
    <w:p>
      <w:pPr>
        <w:ind w:right="60" w:firstLine="441"/>
        <w:spacing w:after="0" w:line="253" w:lineRule="auto"/>
        <w:rPr>
          <w:sz w:val="20"/>
          <w:szCs w:val="20"/>
          <w:color w:val="auto"/>
        </w:rPr>
      </w:pPr>
      <w:r>
        <w:rPr>
          <w:rFonts w:ascii="Times New Roman" w:cs="Times New Roman" w:eastAsia="Times New Roman" w:hAnsi="Times New Roman"/>
          <w:sz w:val="18"/>
          <w:szCs w:val="18"/>
          <w:color w:val="auto"/>
        </w:rPr>
        <w:t>Current PRC laws and regulations place certain restrictions on foreign ownership of companies that engage in Internet and mobile businesses. The shareholders of our affiliated consolidated entities are individuals who are PRC citizens. Since we are over 80% owned by foreign investors, none of the shareholders of our affiliated consolidated entities are significant shareholders of our company. In addition, one of the shareholders, Ms. Yinxia Liu, does not own any shares or rights to purchase any shares of our company. Therefore, the interests of these individuals as shareholders of the affiliated consolidated entities and the interests of our company may conflict. We cannot assure you that when conflicts of interest arise, any or all of these individuals will act in the best interests of our company or that any conflict of interest will be resolved in our favor. In addition, these individuals may breach or cause the affiliated consolidated entities that they beneficially own to breach or refuse to renew the existing contractual arrangements, which will have an adverse effect on our ability to effectively control our affiliated consolidated entities and receive economic benefits from them. Currently, we do not have existing arrangements to address potential conflicts of interest between these shareholders and our company. We rely on these shareholders to abide by the laws of the Cayman Islands and China. If we cannot resolve any conflicts of interest or disputes between us and the shareholders of the affiliated consolidated entities, we would have to rely on legal proceedings, the outcome of which is uncertain and which could be disruptive to our business.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contractual arrangements with the affiliated consolidated entities may be subject to scrutiny by the PRC tax authorities and may result in a finding that we owe additional taxes or are ineligible for tax exemption, or both, which could substantially increase our taxes owed and thereby reduce our net income.</w:t>
      </w:r>
    </w:p>
    <w:p>
      <w:pPr>
        <w:spacing w:after="0" w:line="175" w:lineRule="exact"/>
        <w:rPr>
          <w:sz w:val="20"/>
          <w:szCs w:val="20"/>
          <w:color w:val="auto"/>
        </w:rPr>
      </w:pPr>
    </w:p>
    <w:p>
      <w:pPr>
        <w:ind w:right="60" w:firstLine="450"/>
        <w:spacing w:after="0" w:line="255" w:lineRule="auto"/>
        <w:rPr>
          <w:sz w:val="20"/>
          <w:szCs w:val="20"/>
          <w:color w:val="auto"/>
        </w:rPr>
      </w:pPr>
      <w:r>
        <w:rPr>
          <w:rFonts w:ascii="Times New Roman" w:cs="Times New Roman" w:eastAsia="Times New Roman" w:hAnsi="Times New Roman"/>
          <w:sz w:val="18"/>
          <w:szCs w:val="18"/>
          <w:color w:val="auto"/>
        </w:rPr>
        <w:t>Under applicable PRC laws, rules and regulations, arrangements and transactions between related parties may be subject to audits or challenges by the PRC tax authorities. If any of the transactions we have entered into between our wholly-owned subsidiary in China and any of the affiliated consolidated entities and their respective shareholders are determined by the PRC tax authorities not to be on an arm’s length basis, or are found to result in an impermissible reduction in taxes under applicable PRC laws, rules and regulations, the PRC tax authorities may adjust the profits and losses of such affiliated consolidated entity and assess more taxes on it. In addition, the PRC tax authorities may impose late payment fees and other penalties to such affiliated consolidated entity for under-paid taxes. Our net income may be adversely and materially affected if the tax liabilities of any of the affiliated consolidated entities increase or if it is found to be subject to late payment fees or other penalties.</w:t>
      </w:r>
    </w:p>
    <w:p>
      <w:pPr>
        <w:spacing w:after="0" w:line="185" w:lineRule="exact"/>
        <w:rPr>
          <w:sz w:val="20"/>
          <w:szCs w:val="20"/>
          <w:color w:val="auto"/>
        </w:rPr>
      </w:pPr>
    </w:p>
    <w:p>
      <w:pPr>
        <w:ind w:right="1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rely on dividends and other distributions on equity paid by our PRC subsidiaries to fund any cash and financing requirements we may have, and any limitation on the ability of our PRC subsidiaries to pay dividends to us could have a material adverse effect on our ability to conduct our business.</w:t>
      </w:r>
    </w:p>
    <w:p>
      <w:pPr>
        <w:spacing w:after="0" w:line="136"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We are a holding company, and we may rely on dividends and other distributions on equity paid by our PRC subsidiaries, for our cash requirements, including the funds necessary to service any debt we may incur. If our PRC subsidiaries incur debt on its own behalf in the future, the instruments governing the debt may restrict its ability to pay dividends or make other distributions to us. In addition, the PRC tax authorities may require us to adjust our taxable income under the contractual arrangements Fenghuang On-line currently has in place with the affiliated consolidated entities in a manner that would materially and adversely affect the ability of Fenghuang On-line to pay dividends and other distributions to us. Further, relevant PRC laws, rules and regulations permit payments of dividends by our PRC subsidiaries only out of their retained earnings, if any, determined in accordance with accounting standards and regulations of China. Our PRC subsidiaries must set aside at least 10% of after-tax income each year to reserve funds prior to payment of dividends until the cumulative fund reaches 50% of their respective registered capital. As a result of these PRC laws, rules and regulations, our PRC subsidiaries are restricted from transferring a portion of their net assets to us whether in the form of dividends. As of December 31, 2016, our consolidated retained earnings was RMB195.1 million, out of which our PRC subsidiaries’ retained earnings were approximately RMB898.7 million. Any limitation on the ability of our PRC subsidiaries to pay dividends to us could materially and adversely limit our ability to grow, make investments or acquisitions that could be beneficial to our businesses, pay dividends or otherwise fund and conduct our business.</w:t>
      </w:r>
    </w:p>
    <w:p>
      <w:pPr>
        <w:spacing w:after="0" w:line="18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Strengthened scrutiny over acquisition and disposition transactions by the PRC tax authorities may have a negative impact on us or your disposition of our shares or ADS.</w:t>
      </w:r>
    </w:p>
    <w:p>
      <w:pPr>
        <w:spacing w:after="0" w:line="159" w:lineRule="exact"/>
        <w:rPr>
          <w:sz w:val="20"/>
          <w:szCs w:val="20"/>
          <w:color w:val="auto"/>
        </w:rPr>
      </w:pPr>
    </w:p>
    <w:p>
      <w:pPr>
        <w:ind w:right="40" w:firstLine="450"/>
        <w:spacing w:after="0" w:line="254" w:lineRule="auto"/>
        <w:rPr>
          <w:sz w:val="20"/>
          <w:szCs w:val="20"/>
          <w:color w:val="auto"/>
        </w:rPr>
      </w:pPr>
      <w:r>
        <w:rPr>
          <w:rFonts w:ascii="Times New Roman" w:cs="Times New Roman" w:eastAsia="Times New Roman" w:hAnsi="Times New Roman"/>
          <w:sz w:val="18"/>
          <w:szCs w:val="18"/>
          <w:color w:val="auto"/>
        </w:rPr>
        <w:t xml:space="preserve">Our operations and transactions are subject to review by the PRC tax authorities pursuant to relevant PRC laws and regulations. However, these laws, regulations and legal requirements change frequently, and their interpretation and enforcement involve uncertainties. For example, on April 30, 2009, the Ministry of Finance and the State Administration of Taxation jointly issued the </w:t>
      </w:r>
      <w:r>
        <w:rPr>
          <w:rFonts w:ascii="Times New Roman" w:cs="Times New Roman" w:eastAsia="Times New Roman" w:hAnsi="Times New Roman"/>
          <w:sz w:val="18"/>
          <w:szCs w:val="18"/>
          <w:i w:val="1"/>
          <w:iCs w:val="1"/>
          <w:color w:val="auto"/>
        </w:rPr>
        <w:t>Notice on Issues Concerning Process of Enterprise Income Tax in Enterprise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Restructuring Business</w:t>
      </w:r>
      <w:r>
        <w:rPr>
          <w:rFonts w:ascii="Times New Roman" w:cs="Times New Roman" w:eastAsia="Times New Roman" w:hAnsi="Times New Roman"/>
          <w:sz w:val="18"/>
          <w:szCs w:val="18"/>
          <w:color w:val="auto"/>
        </w:rPr>
        <w:t>, or Circular 59. On December 10, 2009, the</w:t>
      </w:r>
      <w:r>
        <w:rPr>
          <w:rFonts w:ascii="Times New Roman" w:cs="Times New Roman" w:eastAsia="Times New Roman" w:hAnsi="Times New Roman"/>
          <w:sz w:val="18"/>
          <w:szCs w:val="18"/>
          <w:i w:val="1"/>
          <w:iCs w:val="1"/>
          <w:color w:val="auto"/>
        </w:rPr>
        <w:t xml:space="preserve"> State Administration of Taxation issued the Notice on Strengthening the Management on Enterprise Income Tax for Equity Transfers of Non-resident Enterprises</w:t>
      </w:r>
      <w:r>
        <w:rPr>
          <w:rFonts w:ascii="Times New Roman" w:cs="Times New Roman" w:eastAsia="Times New Roman" w:hAnsi="Times New Roman"/>
          <w:sz w:val="18"/>
          <w:szCs w:val="18"/>
          <w:color w:val="auto"/>
        </w:rPr>
        <w:t>, or Circular 698. Both Circular 59 and Circular 698 became effective retroactively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1, 2008. Pursuant to the two circulars, in the event that we dispose of any equity interests in WOFE, whether directly or indirectly, we may be subject to income tax on capital gains generated from disposal of such equity interests. The PRC tax authorities have the discretion under Circular 59 and Circular 698 to make adjustments to taxable capital gains based on the difference between the fair value of the equity interests transferred and the cost of the corresponding investment. If the PRC tax authorities make such an adjustment, our income tax costs will be increased.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firstLine="441"/>
        <w:spacing w:after="0" w:line="274" w:lineRule="auto"/>
        <w:rPr>
          <w:sz w:val="20"/>
          <w:szCs w:val="20"/>
          <w:color w:val="auto"/>
        </w:rPr>
      </w:pPr>
      <w:r>
        <w:rPr>
          <w:rFonts w:ascii="Times New Roman" w:cs="Times New Roman" w:eastAsia="Times New Roman" w:hAnsi="Times New Roman"/>
          <w:sz w:val="17"/>
          <w:szCs w:val="17"/>
          <w:color w:val="auto"/>
        </w:rPr>
        <w:t>By promulgating and implementing the circulars, the PRC tax authorities have strengthened their scrutiny over the direct or indirect transfer by non-resident enterprises of equity interests in PRC resident enterprises. For example, Circular 698 specifies that the PRC State Administration of Taxation is entitled to redefine the nature of an equity transfer where offshore holding vehicles are interposed for tax-avoidance purposes and without reasonable commercial purpose. On February 3, 2015, the State Administration of Taxation issued the Notice on Several Issues regarding Enterprise Income Tax for Indirect Property Transfer by Non-resident Enterprises, or SAT Circular 7, which further specifies the criteria for judging reasonable commercial purpose, and the legal requirements for the voluntary reporting procedures and filing materials in the case of indirect property transfer. SAT Circular 7 has listed several</w:t>
      </w:r>
    </w:p>
    <w:p>
      <w:pPr>
        <w:sectPr>
          <w:pgSz w:w="11900" w:h="16922" w:orient="portrait"/>
          <w:cols w:equalWidth="0" w:num="1">
            <w:col w:w="11420"/>
          </w:cols>
          <w:pgMar w:left="240" w:top="121" w:right="239" w:bottom="0" w:gutter="0" w:footer="0" w:header="0"/>
        </w:sectPr>
      </w:pPr>
    </w:p>
    <w:bookmarkStart w:id="25" w:name="page26"/>
    <w:bookmarkEnd w:id="25"/>
    <w:p>
      <w:pPr>
        <w:spacing w:after="0" w:line="95" w:lineRule="exact"/>
        <w:rPr>
          <w:sz w:val="20"/>
          <w:szCs w:val="20"/>
          <w:color w:val="auto"/>
        </w:rPr>
      </w:pPr>
    </w:p>
    <w:p>
      <w:pPr>
        <w:jc w:val="both"/>
        <w:ind w:right="240"/>
        <w:spacing w:after="0" w:line="257" w:lineRule="auto"/>
        <w:rPr>
          <w:sz w:val="20"/>
          <w:szCs w:val="20"/>
          <w:color w:val="auto"/>
        </w:rPr>
      </w:pPr>
      <w:r>
        <w:rPr>
          <w:rFonts w:ascii="Times New Roman" w:cs="Times New Roman" w:eastAsia="Times New Roman" w:hAnsi="Times New Roman"/>
          <w:sz w:val="18"/>
          <w:szCs w:val="18"/>
          <w:color w:val="auto"/>
        </w:rPr>
        <w:t>factors to be taken into consideration by tax authorities in determining whether an indirect transfer has a reasonable commercial purpose. However, despite these factors, an indirect transfer satisfying all the following criteria shall be deemed to lack reasonable commercial purpose and be taxable under the PRC laws: (i) 75% or more of the equity value of the intermediary enterprise being transferred is derived directly or indirectly from the PRC taxable properties;</w:t>
      </w:r>
    </w:p>
    <w:p>
      <w:pPr>
        <w:spacing w:after="0" w:line="2" w:lineRule="exact"/>
        <w:rPr>
          <w:sz w:val="20"/>
          <w:szCs w:val="20"/>
          <w:color w:val="auto"/>
        </w:rPr>
      </w:pPr>
    </w:p>
    <w:p>
      <w:pPr>
        <w:ind w:right="60" w:firstLine="8"/>
        <w:spacing w:after="0" w:line="251" w:lineRule="auto"/>
        <w:tabs>
          <w:tab w:leader="none" w:pos="2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one year period before the indirect transfer, 90% or more of the asset value of the intermediary enterprise (excluding cash) is comprised directly or indirectly of investments in the PRC, or 90% or more of its income is derived directly or indirectly from the PRC; (iii) the functions performed and risks assumed by the intermediary enterprise and any of its subsidiaries that directly or indirectly hold the PRC taxable properties are limited and are insufficient to prove their economic substance; and (iv) the foreign tax payable on the gains derived from the indirect transfer of the PRC taxable properties is lower than the potential PRC tax on the direct transfer of such assets. Nevertheless, the indirect transfer falling into the scope of the safe harbor under SAT Circular 7 may not be subject to PRC tax and such safe harbor includes qualified group restructuring, public market trading and tax treaty exemptions. Under SAT Circular 7, the entities or individuals obligated to pay the transfer price to the transferor shall be the withholding agent and shall withhold the PRC tax from the transfer price. If the withholding agent fails to do so, the transferor shall report to and pay the PRC tax to the PRC tax authorities. In case neither the withholding agent nor the transferor complies with the obligations under SAT Circular 7, other than imposing penalties such as late payment interest on the transferors, the tax authority may also hold the withholding agent liable and impose a penalty of 50% to 300% of the unpaid tax on the withholding agent, provided that such penalty imposed on the withholding agent may be reduced or waived if the withholding agent has submitted the relevant materials in connection with the indirect transfer to the PRC tax authorities in accordance with SAT Circular 7.</w:t>
      </w:r>
    </w:p>
    <w:p>
      <w:pPr>
        <w:spacing w:after="0" w:line="193" w:lineRule="exact"/>
        <w:rPr>
          <w:sz w:val="20"/>
          <w:szCs w:val="20"/>
          <w:color w:val="auto"/>
        </w:rPr>
      </w:pPr>
    </w:p>
    <w:p>
      <w:pPr>
        <w:ind w:firstLine="500"/>
        <w:spacing w:after="0" w:line="258" w:lineRule="auto"/>
        <w:rPr>
          <w:sz w:val="20"/>
          <w:szCs w:val="20"/>
          <w:color w:val="auto"/>
        </w:rPr>
      </w:pPr>
      <w:r>
        <w:rPr>
          <w:rFonts w:ascii="Times New Roman" w:cs="Times New Roman" w:eastAsia="Times New Roman" w:hAnsi="Times New Roman"/>
          <w:sz w:val="18"/>
          <w:szCs w:val="18"/>
          <w:color w:val="auto"/>
        </w:rPr>
        <w:t>It is not clear to what extent the holders of our shares or ADS may be subject to these requirements. We have conducted and may conduct acquisitions and dispositions involving complex corporate structures, and we may not be able to make timely filings with the PRC tax authorities as required. The PRC tax authorities may, at their discretion, impose or adjust the capital gains on us or the holders of our shares or ADS or request us or the holders of our shares or ADS to submit additional documentation for their review in connection with any relevant acquisition or disposition, and thus cause us or the holders of our shares or ADS to incur additional costs.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Doing Business in China</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changes in political and economic policies of the PRC government could have a material adverse effect on the overall economic growth of China, which could reduce the demand for our services and materially and adversely affect our competitive position.</w:t>
      </w:r>
    </w:p>
    <w:p>
      <w:pPr>
        <w:spacing w:after="0" w:line="159" w:lineRule="exact"/>
        <w:rPr>
          <w:sz w:val="20"/>
          <w:szCs w:val="20"/>
          <w:color w:val="auto"/>
        </w:rPr>
      </w:pPr>
    </w:p>
    <w:p>
      <w:pPr>
        <w:ind w:right="280" w:firstLine="441"/>
        <w:spacing w:after="0" w:line="266" w:lineRule="auto"/>
        <w:rPr>
          <w:sz w:val="20"/>
          <w:szCs w:val="20"/>
          <w:color w:val="auto"/>
        </w:rPr>
      </w:pPr>
      <w:r>
        <w:rPr>
          <w:rFonts w:ascii="Times New Roman" w:cs="Times New Roman" w:eastAsia="Times New Roman" w:hAnsi="Times New Roman"/>
          <w:sz w:val="18"/>
          <w:szCs w:val="18"/>
          <w:color w:val="auto"/>
        </w:rPr>
        <w:t>Since substantially all of our business operations are conducted in China, our business, financial condition, operating results and prospects are significantly affected by economic, political, social and legal developments in China, and by continued growth in China as a whole. The Chinese economy differs from the economies of most developed countries in many respects, including:</w:t>
      </w:r>
    </w:p>
    <w:p>
      <w:pPr>
        <w:spacing w:after="0" w:line="176" w:lineRule="exact"/>
        <w:rPr>
          <w:sz w:val="20"/>
          <w:szCs w:val="20"/>
          <w:color w:val="auto"/>
        </w:rPr>
      </w:pPr>
    </w:p>
    <w:p>
      <w:pPr>
        <w:ind w:left="1680" w:hanging="907"/>
        <w:spacing w:after="0"/>
        <w:tabs>
          <w:tab w:leader="none" w:pos="1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government involvement;</w:t>
      </w:r>
    </w:p>
    <w:p>
      <w:pPr>
        <w:spacing w:after="0" w:line="225" w:lineRule="exact"/>
        <w:rPr>
          <w:rFonts w:ascii="Times New Roman" w:cs="Times New Roman" w:eastAsia="Times New Roman" w:hAnsi="Times New Roman"/>
          <w:sz w:val="18"/>
          <w:szCs w:val="18"/>
          <w:color w:val="auto"/>
        </w:rPr>
      </w:pPr>
    </w:p>
    <w:p>
      <w:pPr>
        <w:ind w:left="1680" w:hanging="907"/>
        <w:spacing w:after="0"/>
        <w:tabs>
          <w:tab w:leader="none" w:pos="1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development;</w:t>
      </w:r>
    </w:p>
    <w:p>
      <w:pPr>
        <w:spacing w:after="0" w:line="225" w:lineRule="exact"/>
        <w:rPr>
          <w:rFonts w:ascii="Times New Roman" w:cs="Times New Roman" w:eastAsia="Times New Roman" w:hAnsi="Times New Roman"/>
          <w:sz w:val="18"/>
          <w:szCs w:val="18"/>
          <w:color w:val="auto"/>
        </w:rPr>
      </w:pPr>
    </w:p>
    <w:p>
      <w:pPr>
        <w:ind w:left="1680" w:hanging="907"/>
        <w:spacing w:after="0"/>
        <w:tabs>
          <w:tab w:leader="none" w:pos="1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w:t>
      </w:r>
    </w:p>
    <w:p>
      <w:pPr>
        <w:spacing w:after="0" w:line="225" w:lineRule="exact"/>
        <w:rPr>
          <w:rFonts w:ascii="Times New Roman" w:cs="Times New Roman" w:eastAsia="Times New Roman" w:hAnsi="Times New Roman"/>
          <w:sz w:val="18"/>
          <w:szCs w:val="18"/>
          <w:color w:val="auto"/>
        </w:rPr>
      </w:pPr>
    </w:p>
    <w:p>
      <w:pPr>
        <w:ind w:left="1680" w:hanging="907"/>
        <w:spacing w:after="0"/>
        <w:tabs>
          <w:tab w:leader="none" w:pos="1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control of foreign exchange;</w:t>
      </w:r>
    </w:p>
    <w:p>
      <w:pPr>
        <w:spacing w:after="0" w:line="225" w:lineRule="exact"/>
        <w:rPr>
          <w:rFonts w:ascii="Times New Roman" w:cs="Times New Roman" w:eastAsia="Times New Roman" w:hAnsi="Times New Roman"/>
          <w:sz w:val="18"/>
          <w:szCs w:val="18"/>
          <w:color w:val="auto"/>
        </w:rPr>
      </w:pPr>
    </w:p>
    <w:p>
      <w:pPr>
        <w:ind w:left="1680" w:hanging="907"/>
        <w:spacing w:after="0"/>
        <w:tabs>
          <w:tab w:leader="none" w:pos="1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financing; and</w:t>
      </w:r>
    </w:p>
    <w:p>
      <w:pPr>
        <w:spacing w:after="0" w:line="225" w:lineRule="exact"/>
        <w:rPr>
          <w:rFonts w:ascii="Times New Roman" w:cs="Times New Roman" w:eastAsia="Times New Roman" w:hAnsi="Times New Roman"/>
          <w:sz w:val="18"/>
          <w:szCs w:val="18"/>
          <w:color w:val="auto"/>
        </w:rPr>
      </w:pPr>
    </w:p>
    <w:p>
      <w:pPr>
        <w:ind w:left="1680" w:hanging="907"/>
        <w:spacing w:after="0"/>
        <w:tabs>
          <w:tab w:leader="none" w:pos="1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resources.</w:t>
      </w:r>
    </w:p>
    <w:p>
      <w:pPr>
        <w:spacing w:after="0" w:line="225"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The Chinese economy has been transitioning from a planned economy to a more market-oriented economy. Although the PRC government has in recent years implemented measures emphasizing the utilization of market forces for economic reform, the reduction of state ownership of productive assets and the establishment of sound corporate governance in business enterprises, a substantial portion of the productive assets in China is still owned by the PRC government. The continued control of these assets and other aspects of the national economy by the PRC government could materially and adversely affect our business. The PRC government also exercises significant control over China’s economic growth through the allocation of resources, controlling payment of foreign currency-denominated obligations, setting monetary policy and providing preferential treatment to particular industries or companies.</w:t>
      </w:r>
    </w:p>
    <w:p>
      <w:pPr>
        <w:spacing w:after="0" w:line="188" w:lineRule="exact"/>
        <w:rPr>
          <w:sz w:val="20"/>
          <w:szCs w:val="20"/>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color w:val="auto"/>
        </w:rPr>
        <w:t>While the Chinese economy has grown significantly in the past 30 years, the growth has been uneven, both geographically and among various sectors of the economy. The PRC government has implemented various measures to encourage or contain economic growth and guide the allocation of resources. Some of these measures benefit the overall Chinese economy, but may also have a negative effect on our operations. For example, our operating results and financial condition may be materially and adversely affected by government control over capital investments or changes in tax regulations that are applicable to us. In addition, in the past the PRC government has implemented certain measures, including increases in interest rates and the reserve requirement ratio of the People’s Bank of China, or the PBOC, to control the pace of growth.</w:t>
      </w:r>
    </w:p>
    <w:p>
      <w:pPr>
        <w:spacing w:after="0" w:line="188"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It is unclear whether PRC economic policies will be effective in sustaining stable economic growth in the future. In addition, other economic measures, as well as future actions and policies of the PRC government, could also materially affect our liquidity and access to capital and our ability to operate our business. Substantially all of our assets are located in China and substantially all of our revenues are derived from our operations in China. Accordingly, our business, financial condition, operating results and prospects are subject, to a significant extent, to economic, political and legal developments in China.</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PRC legal system could limit the protections available to you and us.</w:t>
      </w:r>
    </w:p>
    <w:p>
      <w:pPr>
        <w:spacing w:after="0" w:line="229" w:lineRule="exact"/>
        <w:rPr>
          <w:sz w:val="20"/>
          <w:szCs w:val="20"/>
          <w:color w:val="auto"/>
        </w:rPr>
      </w:pPr>
    </w:p>
    <w:p>
      <w:pPr>
        <w:ind w:right="320" w:firstLine="441"/>
        <w:spacing w:after="0" w:line="282" w:lineRule="auto"/>
        <w:rPr>
          <w:sz w:val="20"/>
          <w:szCs w:val="20"/>
          <w:color w:val="auto"/>
        </w:rPr>
      </w:pPr>
      <w:r>
        <w:rPr>
          <w:rFonts w:ascii="Times New Roman" w:cs="Times New Roman" w:eastAsia="Times New Roman" w:hAnsi="Times New Roman"/>
          <w:sz w:val="18"/>
          <w:szCs w:val="18"/>
          <w:color w:val="auto"/>
        </w:rPr>
        <w:t>The PRC legal system is a civil law system based on written statutes. Unlike in the common law system, prior court decisions may be cited for reference but have limited precedential value. Since 1979, PRC legislation and regulations have significantly enhanced the protections afforded to various</w:t>
      </w:r>
    </w:p>
    <w:p>
      <w:pPr>
        <w:sectPr>
          <w:pgSz w:w="11900" w:h="16933" w:orient="portrait"/>
          <w:cols w:equalWidth="0" w:num="1">
            <w:col w:w="11420"/>
          </w:cols>
          <w:pgMar w:left="240" w:top="121" w:right="239" w:bottom="0" w:gutter="0" w:footer="0" w:header="0"/>
        </w:sectPr>
      </w:pPr>
    </w:p>
    <w:bookmarkStart w:id="26" w:name="page27"/>
    <w:bookmarkEnd w:id="26"/>
    <w:p>
      <w:pPr>
        <w:ind w:right="20"/>
        <w:spacing w:after="0" w:line="252" w:lineRule="auto"/>
        <w:rPr>
          <w:sz w:val="20"/>
          <w:szCs w:val="20"/>
          <w:color w:val="auto"/>
        </w:rPr>
      </w:pPr>
      <w:r>
        <w:rPr>
          <w:rFonts w:ascii="Times New Roman" w:cs="Times New Roman" w:eastAsia="Times New Roman" w:hAnsi="Times New Roman"/>
          <w:sz w:val="18"/>
          <w:szCs w:val="18"/>
          <w:color w:val="auto"/>
        </w:rPr>
        <w:t>forms of foreign investments in China. We conduct substantially all of our business through our subsidiary and consolidated affiliates and their subsidiaries established in China. However, since the PRC legal system continues to rapidly evolve, the interpretations of many laws, regulations and rules are not always uniform and enforcement of these laws, regulations and rules involve uncertainties, which may limit legal protections available to us. For example, we may have to resort to administrative and court proceedings to enforce the legal protection that we enjoy either by law or contract. However, since PRC administrative and court authorities have significant discretion in interpreting and implementing statutory and contractual terms, it may be more difficult to evaluate the outcome of Chinese administrative and court proceedings and the level of legal protection we enjoy in China than in more developed legal systems. These uncertainties may impede our ability to enforce the contracts we have entered into with our employees, business partners, customers and suppliers. In addition, such uncertainties, including the inability to enforce our contracts, could materially and adversely affect our business and operations. Furthermore, intellectual property rights and confidentiality protections in China may not be as effective as in the United States or other countries. Accordingly, we cannot predict the effect of future developments in the PRC legal system, including the promulgation of new laws, changes to existing laws or the interpretation or enforcement thereof, or the preemption of local regulations by national laws. For instance, on January 19, 2015, the MOFCOM published the Draft FIL on its official website for public comments. The Draft FIL embodies an expected PRC regulatory trend to rationalize its foreign investment regulatory regime in alignment with international practice and the legislative efforts to unify the corporate legal requirements for both foreign and domestic investments, and thus the Draft FIL will have a far-reaching and significant impact upon foreign investments by fundamentally reshaping the entire PRC foreign investment regulatory regime. See “Item 4. Information on the Company—B. Business Overview—Regulatory Matters—Draft Foreign Investment Law.” There is no definitive timeline for this law to be officially promulgated by the PRC legislature and the current draft may need to undergo significant amendment before the law is finally passed. Accordingly, substantial uncertainties still exist with respect to the enactment timetable, interpretation and implementation of this new law. As a result, we may not be aware of how it may impact the viability of our current corporate structure, corporate governance and business operations. These uncertainties could limit the legal protections available to us and other foreign investors. In addition, any litigation in China may be protracted and result in substantial costs and diversion of our resources and management attention.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of the Renminbi could materially affect our reported operating results.</w:t>
      </w:r>
    </w:p>
    <w:p>
      <w:pPr>
        <w:spacing w:after="0" w:line="229" w:lineRule="exact"/>
        <w:rPr>
          <w:sz w:val="20"/>
          <w:szCs w:val="20"/>
          <w:color w:val="auto"/>
        </w:rPr>
      </w:pPr>
    </w:p>
    <w:p>
      <w:pPr>
        <w:ind w:right="80" w:firstLine="441"/>
        <w:spacing w:after="0" w:line="254" w:lineRule="auto"/>
        <w:rPr>
          <w:sz w:val="20"/>
          <w:szCs w:val="20"/>
          <w:color w:val="auto"/>
        </w:rPr>
      </w:pPr>
      <w:r>
        <w:rPr>
          <w:rFonts w:ascii="Times New Roman" w:cs="Times New Roman" w:eastAsia="Times New Roman" w:hAnsi="Times New Roman"/>
          <w:sz w:val="18"/>
          <w:szCs w:val="18"/>
          <w:color w:val="auto"/>
        </w:rPr>
        <w:t>The exchange rates between the Renminbi and the U.S. dollar, Euro and other foreign currencies is affected by, among other things, changes in China’s political and economic conditions. On July 21, 2005, the PRC government changed its policy of pegging the value of the Renminbi to the U.S. dollar. Following the removal of the U.S. dollar peg, the Renminbi appreciated more than 20.0% against the U.S. dollar over the following three years. Between July 2008 and June 2010, this appreciation halted and the exchange rate between the Renminbi and the U.S. dollar remained within a narrow band. Subsequent to June 2010, the Renminbi has started to appreciate slowly against the U.S. dollar, though there were periods when the U.S. dollar has appreciated against the Renminbi. On August 11, 2015, the People’s Bank of China allowed the Renminbi to depreciate by approximately 2% against the U.S. dollar. From then until the end of 2016, the Renminbi has depreciated against the U.S. dollar by approximately 10%. Although it is difficult to predict how Renminbi exchange rates may change going forward, a more flexible currency policy could result in more significant fluctuation in the exchange rate of Renminbi against the U.S. dollar.</w:t>
      </w:r>
    </w:p>
    <w:p>
      <w:pPr>
        <w:spacing w:after="0" w:line="189"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18"/>
          <w:szCs w:val="18"/>
          <w:color w:val="auto"/>
        </w:rPr>
        <w:t>As we may rely on dividends and other fees paid to us by our subsidiary and affiliated consolidated entities in China, any significant revaluation of the Renminbi may materially and adversely affect our cash flows, revenues, earnings and financial position, and the value of, and any dividends payable on, our ADSs in U.S. dollars. To the extent that we need to convert U.S. dollars we will receive from any offshore financing that we may undertake in the future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or for other business purposes or commercial reasons, appreciation of the U.S. dollar against the Renminbi would have a negative effect on the U.S. dollar amount available to us. We recorded foreign exchange loss of RMB6.1 million and RMB1.1 million in 2014 and 2015, respectively, and foreign exchange gain of RMB9.6 million in 2016, primarily due to the RMB fluctuation against the U.S. dollar. Our operating results are sensitive to changes in exchange rates of the Renminbi. Future fluctuations that are adverse to us could have a material adverse effect on our results of operation, financial condition or liquidity.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legal process, enforcing foreign judgments or bringing original actions in China, based on United States or other foreign laws, against us, our management or the experts named in this annual report.</w:t>
      </w:r>
    </w:p>
    <w:p>
      <w:pPr>
        <w:spacing w:after="0" w:line="159" w:lineRule="exact"/>
        <w:rPr>
          <w:sz w:val="20"/>
          <w:szCs w:val="20"/>
          <w:color w:val="auto"/>
        </w:rPr>
      </w:pPr>
    </w:p>
    <w:p>
      <w:pPr>
        <w:ind w:right="120" w:firstLine="441"/>
        <w:spacing w:after="0" w:line="258" w:lineRule="auto"/>
        <w:rPr>
          <w:sz w:val="20"/>
          <w:szCs w:val="20"/>
          <w:color w:val="auto"/>
        </w:rPr>
      </w:pPr>
      <w:r>
        <w:rPr>
          <w:rFonts w:ascii="Times New Roman" w:cs="Times New Roman" w:eastAsia="Times New Roman" w:hAnsi="Times New Roman"/>
          <w:sz w:val="18"/>
          <w:szCs w:val="18"/>
          <w:color w:val="auto"/>
        </w:rPr>
        <w:t>We conduct substantially all of our operations in China and substantially all of our assets are located in China. In addition, a majority of our senior executive officers reside within China. As a result, it may not be possible to effect service of process within the United States or elsewhere outside China upon our senior executive officers, including with respect to matters arising under U.S. federal securities laws or applicable state securities laws. Moreover, our PRC counsel has advised us that China does not have treaties with the United States or many other countries providing for the reciprocal recognition and enforcement of legal judgments.</w:t>
      </w:r>
    </w:p>
    <w:p>
      <w:pPr>
        <w:spacing w:after="0" w:line="180"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and direct investment by offshore holding companies to PRC entities may delay or prevent us from using the net proceeds from any offshore financing that we may undertake in the future to make loans or additional capital contributions to our PRC subsidiaries and affiliated consolidated entities.</w:t>
      </w:r>
    </w:p>
    <w:p>
      <w:pPr>
        <w:spacing w:after="0" w:line="175" w:lineRule="exact"/>
        <w:rPr>
          <w:sz w:val="20"/>
          <w:szCs w:val="20"/>
          <w:color w:val="auto"/>
        </w:rPr>
      </w:pPr>
    </w:p>
    <w:p>
      <w:pPr>
        <w:ind w:right="20" w:firstLine="441"/>
        <w:spacing w:after="0" w:line="252" w:lineRule="auto"/>
        <w:rPr>
          <w:sz w:val="20"/>
          <w:szCs w:val="20"/>
          <w:color w:val="auto"/>
        </w:rPr>
      </w:pPr>
      <w:r>
        <w:rPr>
          <w:rFonts w:ascii="Times New Roman" w:cs="Times New Roman" w:eastAsia="Times New Roman" w:hAnsi="Times New Roman"/>
          <w:sz w:val="18"/>
          <w:szCs w:val="18"/>
          <w:color w:val="auto"/>
        </w:rPr>
        <w:t>In utilizing the net proceeds from our initial public offering, as an offshore holding company of our PRC subsidiaries and affiliated consolidated entities, we may make loans to our PRC subsidiaries and affiliated consolidated entities, or we may make additional capital contributions to our PRC subsidiaries. Any loans to our subsidiary or affiliated consolidated entities in China are subject to PRC regulations, registrations and/or approvals. For example, loans by us, as an offshore holding company, to our affiliated consolidated entities must be approved by the relevant government authorities and registered with the State Administration of Foreign Exchange or SAFE, or its local counterpart. If we provide loans to our PRC subsidiaries, the total amount of such loans may not exceed the difference between its total investment as approved by the foreign investment authorities and its registered capital at the time of the provision of such loans. Such loans need to be registered with the SAFE which usually takes no more than 20 working days to complete. The cost of completing such registration is minimal. We may also determine to finance our PRC subsidiaries by means of capital contributions. These capital contributions shall go through record-filing procedures from MOFCOM or its local counterpart. Because the affiliated consolidated entities are domestic PRC enterprises, we are not likely to finance their activities by means of capital contributions due to regulatory issues relating to foreign investment in domestic PRC enterprises, as well as the licensing and other regulatory issues. We cannot assure you that we can obtain the required government registrations or record-filings on a timely basis, if at all, with respect to future loans or capital contributions by us to our PRC subsidiaries or any of the affiliated consolidated entities. If we fail to receive such registrations or record-filings, our ability to use the net proceeds from our initial public offering and to fund our operations in China would be negatively affected which would adversely and materially affect our liquidity and our ability to expand our business.</w:t>
      </w:r>
    </w:p>
    <w:p>
      <w:pPr>
        <w:sectPr>
          <w:pgSz w:w="11900" w:h="16838" w:orient="portrait"/>
          <w:cols w:equalWidth="0" w:num="1">
            <w:col w:w="11420"/>
          </w:cols>
          <w:pgMar w:left="240" w:top="121" w:right="239" w:bottom="0" w:gutter="0" w:footer="0" w:header="0"/>
        </w:sectPr>
      </w:pPr>
    </w:p>
    <w:bookmarkStart w:id="27" w:name="page28"/>
    <w:bookmarkEnd w:id="27"/>
    <w:p>
      <w:pPr>
        <w:ind w:firstLine="441"/>
        <w:spacing w:after="0" w:line="252" w:lineRule="auto"/>
        <w:rPr>
          <w:sz w:val="20"/>
          <w:szCs w:val="20"/>
          <w:color w:val="auto"/>
        </w:rPr>
      </w:pPr>
      <w:r>
        <w:rPr>
          <w:rFonts w:ascii="Times New Roman" w:cs="Times New Roman" w:eastAsia="Times New Roman" w:hAnsi="Times New Roman"/>
          <w:sz w:val="18"/>
          <w:szCs w:val="18"/>
          <w:color w:val="auto"/>
        </w:rPr>
        <w:t xml:space="preserve">In addition, on August 29, 2008, SAFE promulgated the </w:t>
      </w:r>
      <w:r>
        <w:rPr>
          <w:rFonts w:ascii="Times New Roman" w:cs="Times New Roman" w:eastAsia="Times New Roman" w:hAnsi="Times New Roman"/>
          <w:sz w:val="18"/>
          <w:szCs w:val="18"/>
          <w:i w:val="1"/>
          <w:iCs w:val="1"/>
          <w:color w:val="auto"/>
        </w:rPr>
        <w:t>Circular on the Relevant Operating Issues Concerning the Improvement of the Administration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Payment and Settlement of Foreign Currency Capital of Foreign Invested Enterprises</w:t>
      </w:r>
      <w:r>
        <w:rPr>
          <w:rFonts w:ascii="Times New Roman" w:cs="Times New Roman" w:eastAsia="Times New Roman" w:hAnsi="Times New Roman"/>
          <w:sz w:val="18"/>
          <w:szCs w:val="18"/>
          <w:color w:val="auto"/>
        </w:rPr>
        <w:t xml:space="preserve">, or SAFE Circular 142, regulating the conversion by a foreign-invested enterprise of foreign currency registered capital into Renminbi by restricting how the converted Renminbi may be used. SAFE Circular 142 provides that the Renminbi capital converted from foreign currency registered capital of a foreign-invested enterprise may only be used within the business scope approved by the applicable governmental authority and may not be used for equity investments within the PRC, unless it is provided for otherwise. In addition, SAFE strengthened its oversight of the flow and use of the Renminbi capital converted from foreign currency registered capital of a foreign-invested company. The use of such Renminbi capital may not be altered without SAFE approval, and such Renminbi capital may not in any case be used to repay Renminbi loans if the proceeds of such loans have not been used. As to the latest development, on March 30, 2015, SAFE issued the </w:t>
      </w:r>
      <w:r>
        <w:rPr>
          <w:rFonts w:ascii="Times New Roman" w:cs="Times New Roman" w:eastAsia="Times New Roman" w:hAnsi="Times New Roman"/>
          <w:sz w:val="18"/>
          <w:szCs w:val="18"/>
          <w:i w:val="1"/>
          <w:iCs w:val="1"/>
          <w:color w:val="auto"/>
        </w:rPr>
        <w:t>Circular 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 Concerning the Reform of the Payment and Settlement of Foreign Currency Capital of Foreign-Invested Enterprises</w:t>
      </w:r>
      <w:r>
        <w:rPr>
          <w:rFonts w:ascii="Times New Roman" w:cs="Times New Roman" w:eastAsia="Times New Roman" w:hAnsi="Times New Roman"/>
          <w:sz w:val="18"/>
          <w:szCs w:val="18"/>
          <w:color w:val="auto"/>
        </w:rPr>
        <w:t>, or SAFE Circular 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became effective on June 1, 2015 and replaced SAFE Circular 142. Pursuant to SAFE Circular 19, up to 100% of foreign currency capital of foreign-invested enterprise may be converted into RMB capital according to the actual operation of the enterprise within the business scope at its will and the RMB capital converted from foreign currency registered capital of a foreign-invested enterprise may be used for equity investments within the PRC. However, under SAFE Circular 19, RMB capital converted from foreign currency registered capital of a foreign-invested company still may not in any case be used to advance the RMB entrusted loan or repay RMB loans if the proceeds of such loans have not been used. As such, if we engage in any offshore financing in the future and convert the net proceeds we may receive from such financing into Renminbi and repatriate these funds into China pursuant to SAFE Circular 19, our use of Renminbi funds will need to be for purposes within the approved business scope of our PRC subsidiaries, which may limit our ability to deploy our funds in the most desirable manner.</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the PRC government finds that our PRC beneficial owners are subject to the SAFE registration requirement under SAFE Circular 37 and the relevant implementing rules and our PRC beneficial owners fail to comply with such registration requirements, such PRC beneficial owners may be subject to personal liability, our ability to acquire PRC companies or to inject capital into our PRC subsidiaries may be limited, our PRC subsidiaries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distribute profits to us may be limited, or our business may be otherwise materially and adversely affected.</w:t>
      </w:r>
    </w:p>
    <w:p>
      <w:pPr>
        <w:spacing w:after="0" w:line="179" w:lineRule="exact"/>
        <w:rPr>
          <w:sz w:val="20"/>
          <w:szCs w:val="20"/>
          <w:color w:val="auto"/>
        </w:rPr>
      </w:pPr>
    </w:p>
    <w:p>
      <w:pPr>
        <w:ind w:right="60" w:firstLine="450"/>
        <w:spacing w:after="0" w:line="254" w:lineRule="auto"/>
        <w:rPr>
          <w:sz w:val="20"/>
          <w:szCs w:val="20"/>
          <w:color w:val="auto"/>
        </w:rPr>
      </w:pPr>
      <w:r>
        <w:rPr>
          <w:rFonts w:ascii="Times New Roman" w:cs="Times New Roman" w:eastAsia="Times New Roman" w:hAnsi="Times New Roman"/>
          <w:sz w:val="18"/>
          <w:szCs w:val="18"/>
          <w:color w:val="auto"/>
        </w:rPr>
        <w:t xml:space="preserve">On July 4, 2014, SAFE issued the </w:t>
      </w:r>
      <w:r>
        <w:rPr>
          <w:rFonts w:ascii="Times New Roman" w:cs="Times New Roman" w:eastAsia="Times New Roman" w:hAnsi="Times New Roman"/>
          <w:sz w:val="18"/>
          <w:szCs w:val="18"/>
          <w:i w:val="1"/>
          <w:iCs w:val="1"/>
          <w:color w:val="auto"/>
        </w:rPr>
        <w:t>Circular on Several Issues Concerning Foreign Exchange Administration of Domestic Residents Engaging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Overseas Investment, Financing and Round-Trip Investment via Special Purpose Vehicles</w:t>
      </w:r>
      <w:r>
        <w:rPr>
          <w:rFonts w:ascii="Times New Roman" w:cs="Times New Roman" w:eastAsia="Times New Roman" w:hAnsi="Times New Roman"/>
          <w:sz w:val="18"/>
          <w:szCs w:val="18"/>
          <w:color w:val="auto"/>
        </w:rPr>
        <w:t>, or SAFE Circular 37, which became effective on the same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SAFE Circular 37 and its detailed guidelines require PRC residents to register with the local branch of SAFE before contributing their legally owned onshore or offshore assets or equity interest into any special purpose vehicle, or SPV, directly established, or indirectly controlled, by them for the purpose of investment or financing; SAFE Circular 37 further requires that when there is (i) any change to the basic information of the SPV, such as any change relating to its individual PRC resident shareholders, name or operation period or (ii) any material change, such as increase or decrease in the share capital held by its individual PRC resident shareholders, a share transfer or exchange of the shares in the SPV, or a merger or split of the SPV, the PRC resident must register such changes with the local branch of SAFE on a timely basis. See “Item 4. Information on the Company—B. Business Overview—Regulatory Matters— Regulation of Foreign Exchange Registration of Offshore Investment by PRC Residents.”</w:t>
      </w:r>
    </w:p>
    <w:p>
      <w:pPr>
        <w:spacing w:after="0" w:line="191"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Based on the opinion of our PRC counsel, Zhong Lun Law Firm, we understand that the aforesaid registration requirement under SAFE Circular 37 and the relevant implementing rules do not apply to our PRC subsidiaries or our PRC resident beneficial owners due to the following reasons: (i) our company was incorporated and controlled by Phoenix TV, a Hong Kong listed company, rather than any PRC residents defined under SAFE Circular 37; (ii) none of the former or current shareholders of our PRC affiliated consolidated entities established or acquired interest in our company by injecting the assets of, or equity interest in, our affiliated consolidated entities; and (iii) before the public listing of our ADSs, all of our PRC resident beneficial owners obtained interest in our company through exercise of options granted to them under our employee share option plan. However, we cannot assure you that the PRC government would hold the same opinion as us, and the relevant government authorities have broad discretion in interpreting these rules and regulations. If SAFE or any of its local branches requires our PRC resident beneficial owners to register their interest in our company pursuant to SAFE Circular 37 and the related implementing rules, we will request our PRC resident beneficial owners to make the necessary registration, filings and amendments as required. However, we cannot provide any assurances that these PRC resident beneficial owners will apply for and complete any applicable registrations, filing and amendments. The failure or inability of such PRC resident beneficial owners to do so may subject our PRC subsidiaries to fines or legal sanctions, restrictions on our cross-border investment activities or our PRC subsidiaries’ ability to distribute dividends to, or obtain foreign-exchange-dominated loans from, our company, or prevent us from making distributions or paying dividends. As a result, our business operations and our ability to make distributions to you could be materially and adversely affected.</w:t>
      </w:r>
    </w:p>
    <w:p>
      <w:pPr>
        <w:spacing w:after="0" w:line="19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PRC regulations regarding the registration requirements for stock incentive plans may subject the plan participants or us to fines and other legal or administrative sanctions.</w:t>
      </w:r>
    </w:p>
    <w:p>
      <w:pPr>
        <w:spacing w:after="0" w:line="159"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color w:val="auto"/>
        </w:rPr>
        <w:t>Under the applicable PRC regulations, “domestic individuals” (including both PRC residents and non-PRC residents who reside in the PRC for a continuous period of not less than one year, excluding the foreign diplomatic personnel and representatives of international organizations) who participate in employee stock plans or stock option plans of an overseas publicly-listed company are required to register with SAFE and complete certain other procedures. If a domestic individual participates in any stock incentive plan of an overseas listed company, a qualified PRC domestic agent, which can be the PRC subsidiaries of such overseas listed company, shall, among other things, file, on behalf of such individual, an application with SAFE to conduct the SAFE registration with respect to such stock incentive plan, and obtain approval for an annual allowance with respect to the foreign exchange conversion in connection with the stock purchase or stock option exercise. Such PRC individuals’ foreign exchange income received from the sale of stocks and dividends distributed by the overseas listed company and any other income shall be fully remitted into a collective foreign currency account in the PRC opened and managed by the PRC domestic agent before distribution to such individuals. See “Item 4. Information on the Company—B. Business Overview—Regulatory Matters—SAFE Regulation of Stock Incentive Plan.” We and our employees who are “domestic individuals” participating in stock incentive plans are subject to these regulations. If we or such employees fail to comply with these regulations, we or such employees may be subject to fines and other legal or administrative sanctions.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400"/>
          </w:cols>
          <w:pgMar w:left="240" w:top="335" w:right="259" w:bottom="36" w:gutter="0" w:footer="0" w:header="0"/>
        </w:sectPr>
      </w:pPr>
    </w:p>
    <w:bookmarkStart w:id="28" w:name="page29"/>
    <w:bookmarkEnd w:id="28"/>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approval of the China Securities Regulatory Commission, or the CSRC, may have been required in connection with our initial public offering. Our failure to obtain this approval, if required, could have a material adverse effect on our business, operating results, reputation and trading price of our ADSs.</w:t>
      </w:r>
    </w:p>
    <w:p>
      <w:pPr>
        <w:spacing w:after="0" w:line="175" w:lineRule="exact"/>
        <w:rPr>
          <w:sz w:val="20"/>
          <w:szCs w:val="20"/>
          <w:color w:val="auto"/>
        </w:rPr>
      </w:pPr>
    </w:p>
    <w:p>
      <w:pPr>
        <w:ind w:right="140" w:firstLine="450"/>
        <w:spacing w:after="0" w:line="256" w:lineRule="auto"/>
        <w:rPr>
          <w:sz w:val="20"/>
          <w:szCs w:val="20"/>
          <w:color w:val="auto"/>
        </w:rPr>
      </w:pPr>
      <w:r>
        <w:rPr>
          <w:rFonts w:ascii="Times New Roman" w:cs="Times New Roman" w:eastAsia="Times New Roman" w:hAnsi="Times New Roman"/>
          <w:sz w:val="18"/>
          <w:szCs w:val="18"/>
          <w:color w:val="auto"/>
        </w:rPr>
        <w:t>According to the 2006 M&amp;A Rules, an offshore special purpose vehicle, or SPV, refers to an overseas company controlled directly or indirectly by domestic companies or individuals for purposes of overseas listing of equity interests in domestic companies (defined as enterprises in the PRC other than foreign invested enterprises). If an SPV purchases, for the purpose of overseas listing and by means of paying consideration in shares of such SPV, domestic interests held by PRC domestic companies or individuals controlling such SPV, then the overseas listing by the SPV must obtain the approval of the CSRC. However, the applicability of the 2006 M&amp;A Rules with respect to CSRC approval is unclear. The CSRC currently has not issued any definitive rule concerning whether offerings like the offering contemplated by our company are subject to the 2006 M&amp;A Rules and related clarifications.</w:t>
      </w:r>
    </w:p>
    <w:p>
      <w:pPr>
        <w:spacing w:after="0" w:line="188" w:lineRule="exact"/>
        <w:rPr>
          <w:sz w:val="20"/>
          <w:szCs w:val="20"/>
          <w:color w:val="auto"/>
        </w:rPr>
      </w:pPr>
    </w:p>
    <w:p>
      <w:pPr>
        <w:ind w:right="280" w:firstLine="441"/>
        <w:spacing w:after="0" w:line="282" w:lineRule="auto"/>
        <w:rPr>
          <w:sz w:val="20"/>
          <w:szCs w:val="20"/>
          <w:color w:val="auto"/>
        </w:rPr>
      </w:pPr>
      <w:r>
        <w:rPr>
          <w:rFonts w:ascii="Times New Roman" w:cs="Times New Roman" w:eastAsia="Times New Roman" w:hAnsi="Times New Roman"/>
          <w:sz w:val="18"/>
          <w:szCs w:val="18"/>
          <w:color w:val="auto"/>
        </w:rPr>
        <w:t>Our PRC counsel, Zhong Lun Law Firm, has advised us that the 2006 M&amp;A Rules do not require that we obtain prior CSRC approval for the listing and trading of our ADSs on the New York Stock Exchange, given that:</w:t>
      </w:r>
    </w:p>
    <w:p>
      <w:pPr>
        <w:spacing w:after="0" w:line="162" w:lineRule="exact"/>
        <w:rPr>
          <w:sz w:val="20"/>
          <w:szCs w:val="20"/>
          <w:color w:val="auto"/>
        </w:rPr>
      </w:pPr>
    </w:p>
    <w:p>
      <w:pPr>
        <w:ind w:left="1100" w:right="160" w:hanging="328"/>
        <w:spacing w:after="0" w:line="282" w:lineRule="auto"/>
        <w:tabs>
          <w:tab w:leader="none" w:pos="109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CSRC approval requirement applies to SPVs that acquired equity interests in PRC companies through share exchanges and seek overseas listing;</w:t>
      </w:r>
    </w:p>
    <w:p>
      <w:pPr>
        <w:spacing w:after="0" w:line="161" w:lineRule="exact"/>
        <w:rPr>
          <w:rFonts w:ascii="Times New Roman" w:cs="Times New Roman" w:eastAsia="Times New Roman" w:hAnsi="Times New Roman"/>
          <w:sz w:val="18"/>
          <w:szCs w:val="18"/>
          <w:color w:val="auto"/>
        </w:rPr>
      </w:pPr>
    </w:p>
    <w:p>
      <w:pPr>
        <w:ind w:left="1100" w:right="220" w:hanging="328"/>
        <w:spacing w:after="0" w:line="282" w:lineRule="auto"/>
        <w:tabs>
          <w:tab w:leader="none" w:pos="109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Fenghuang On-line was incorporated indirectly by Phoenix TV, a Hong Kong-listed company, rather than an SPV as defined under the 2006 M&amp;A Rules; and</w:t>
      </w:r>
    </w:p>
    <w:p>
      <w:pPr>
        <w:spacing w:after="0" w:line="161" w:lineRule="exact"/>
        <w:rPr>
          <w:rFonts w:ascii="Times New Roman" w:cs="Times New Roman" w:eastAsia="Times New Roman" w:hAnsi="Times New Roman"/>
          <w:sz w:val="18"/>
          <w:szCs w:val="18"/>
          <w:color w:val="auto"/>
        </w:rPr>
      </w:pPr>
    </w:p>
    <w:p>
      <w:pPr>
        <w:ind w:left="1100" w:right="80" w:hanging="328"/>
        <w:spacing w:after="0" w:line="261" w:lineRule="auto"/>
        <w:tabs>
          <w:tab w:leader="none" w:pos="109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Fenghuang On-line was incorporated as a wholly foreign-owned enterprise by means of direct investment rather than by merger or acquisition by our company of the equity interest or assets of any “domestic company” as defined under the 2006 M&amp;A Rules, and no provision in the 2006 M&amp;A Rules classifies the contractual arrangements between Fenghuang On-line and each of the affiliated consolidated entities as a type of acquisition transaction falling under the 2006 M&amp;A Rules.</w:t>
      </w:r>
    </w:p>
    <w:p>
      <w:pPr>
        <w:spacing w:after="0" w:line="180"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Our PRC counsel has further advised us that there are uncertainties regarding the interpretation and application of relevant PRC laws, regulations and rules. If the CSRC subsequently determines that its prior approval is required, we may face regulatory actions or other sanctions from the CSRC or other PRC regulatory agencies. These regulatory agencies may impose fines and penalties on our operations, limit our operating privileges, delay or restrict sending the proceeds from our initial public offering into China, or take other actions that could have a material adverse effect on our business, financial condition, operating results, reputation and prospects, as well as the trading price of our ADSs.</w:t>
      </w:r>
    </w:p>
    <w:p>
      <w:pPr>
        <w:spacing w:after="0" w:line="184"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We cannot predict when the CSRC may promulgate additional rules or other guidance, if at all. Implementing rules or guidance, to the extent issued, may fail to resolve current ambiguities under this new PRC regulation. Uncertainties and/or negative publicity regarding this new PRC regulation could have a material adverse effect on the trading price of our ADSs.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approval of MOFCOM may be required in connection with the establishment of our contractual arrangements with the affiliated consolidated entities. Our failure to obtain this approval, if required, could have a material adverse effect on our business, operating results, reputation and trading price of our ADSs.</w:t>
      </w:r>
    </w:p>
    <w:p>
      <w:pPr>
        <w:spacing w:after="0" w:line="175"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The 2006 M&amp;A Rules also provide that approval by MOFCOM is required prior to a foreign company acquiring a PRC domestic company where the foreign company and the domestic company have the same de facto controlling person(s) that are PRC domestic individual(s) or enterprise(s). The applicability of the 2006 M&amp;A Rules with respect to MOFCOM’s approval is unclear.</w:t>
      </w:r>
    </w:p>
    <w:p>
      <w:pPr>
        <w:spacing w:after="0" w:line="176" w:lineRule="exact"/>
        <w:rPr>
          <w:sz w:val="20"/>
          <w:szCs w:val="20"/>
          <w:color w:val="auto"/>
        </w:rPr>
      </w:pPr>
    </w:p>
    <w:p>
      <w:pPr>
        <w:ind w:right="100" w:firstLine="441"/>
        <w:spacing w:after="0" w:line="255" w:lineRule="auto"/>
        <w:rPr>
          <w:sz w:val="20"/>
          <w:szCs w:val="20"/>
          <w:color w:val="auto"/>
        </w:rPr>
      </w:pPr>
      <w:r>
        <w:rPr>
          <w:rFonts w:ascii="Times New Roman" w:cs="Times New Roman" w:eastAsia="Times New Roman" w:hAnsi="Times New Roman"/>
          <w:sz w:val="18"/>
          <w:szCs w:val="18"/>
          <w:color w:val="auto"/>
        </w:rPr>
        <w:t>Our PRC legal counsel has advised us that an approval from MOFCOM is not required under 2006 M&amp;A Rules for our contractual arrangements among Fenghuang On-line and each of the affiliated consolidated entities, based on their understanding of the current PRC laws, rules and regulations, given that Fenghuang On-line was incorporated as a wholly foreign-owned enterprise by means of direct investment rather than by merger or acquisition by our company of the equity interest or assets of any “domestic company” as defined under the 2006 M&amp;A Rules, and no provision in the 2006 M&amp;A</w:t>
      </w:r>
    </w:p>
    <w:p>
      <w:pPr>
        <w:spacing w:after="0" w:line="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Rules classifies the contractual arrangements between Fenghuang On-line and each of the respective affiliated consolidated entities as a type of acquisition transaction falling under the 2006 M&amp;A Rules.</w:t>
      </w:r>
    </w:p>
    <w:p>
      <w:pPr>
        <w:spacing w:after="0" w:line="180" w:lineRule="exact"/>
        <w:rPr>
          <w:sz w:val="20"/>
          <w:szCs w:val="20"/>
          <w:color w:val="auto"/>
        </w:rPr>
      </w:pPr>
    </w:p>
    <w:p>
      <w:pPr>
        <w:ind w:right="180" w:firstLine="441"/>
        <w:spacing w:after="0" w:line="258" w:lineRule="auto"/>
        <w:rPr>
          <w:sz w:val="20"/>
          <w:szCs w:val="20"/>
          <w:color w:val="auto"/>
        </w:rPr>
      </w:pPr>
      <w:r>
        <w:rPr>
          <w:rFonts w:ascii="Times New Roman" w:cs="Times New Roman" w:eastAsia="Times New Roman" w:hAnsi="Times New Roman"/>
          <w:sz w:val="18"/>
          <w:szCs w:val="18"/>
          <w:color w:val="auto"/>
        </w:rPr>
        <w:t>However, if MOFCOM subsequently determines that its prior approval was required for our contractual arrangements with the affiliated consolidated entities, we may face regulatory actions or other sanctions from MOFCOM or other PRC regulatory agencies. These regulatory agencies may impose fines and penalties on us and the affiliated consolidated entities, require us to restructure our ownership structure or operations, limit our operations, delay or restrict sending the net proceeds from our initial public offering into China, or take other actions. These regulatory actions could have a material adverse effect on our business, financial condition, operating results, reputation and prospects, as well as the trading price of our ADSs.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Governmental control of currency conversion may affect the value of your investment.</w:t>
      </w:r>
    </w:p>
    <w:p>
      <w:pPr>
        <w:spacing w:after="0" w:line="229" w:lineRule="exact"/>
        <w:rPr>
          <w:sz w:val="20"/>
          <w:szCs w:val="20"/>
          <w:color w:val="auto"/>
        </w:rPr>
      </w:pPr>
    </w:p>
    <w:p>
      <w:pPr>
        <w:ind w:right="100" w:firstLine="441"/>
        <w:spacing w:after="0" w:line="254" w:lineRule="auto"/>
        <w:rPr>
          <w:sz w:val="20"/>
          <w:szCs w:val="20"/>
          <w:color w:val="auto"/>
        </w:rPr>
      </w:pPr>
      <w:r>
        <w:rPr>
          <w:rFonts w:ascii="Times New Roman" w:cs="Times New Roman" w:eastAsia="Times New Roman" w:hAnsi="Times New Roman"/>
          <w:sz w:val="18"/>
          <w:szCs w:val="18"/>
          <w:color w:val="auto"/>
        </w:rPr>
        <w:t>The PRC government imposes controls on the convertibility of the Renminbi into foreign currencies and, in certain cases, the remittance of currency out of China. We receive substantially all of our revenues in Renminbi. Under our current corporate structure, our income is primarily derived from dividend payments from our PRC subsidiaries. Shortages in the availability of foreign currency may restrict the ability of our PRC subsidiaries to remit sufficient foreign currency to pay dividends or other payments to us, or otherwise satisfy their foreign currency-denominated obligations. Under existing PRC foreign exchange regulations, payments of current account items, including profit distributions, interest payments and expenditures from trade related transactions, can be made in foreign currencies without prior approval from the SAFE by complying with certain procedural requirements. However, approval from the SAFE or its local branch is required where Renminbi is to be converted into foreign currency and remitted out of China to pay capital expenses such as the repayment of loans denominated in foreign currencies. The PRC government may also at its discretion restrict access in the future to foreign currencies for current account transactions. If the foreign exchange control system prevents us from obtaining sufficient foreign currency to satisfy our currency demands, we may not be able to pay dividends in foreign currencies to our shareholders, including holders of our ADSs.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we receive from our PRC subsidiaries located in the PRC may be subject to PRC withholding tax.</w:t>
      </w:r>
    </w:p>
    <w:p>
      <w:pPr>
        <w:sectPr>
          <w:pgSz w:w="11900" w:h="16838" w:orient="portrait"/>
          <w:cols w:equalWidth="0" w:num="1">
            <w:col w:w="11400"/>
          </w:cols>
          <w:pgMar w:left="240" w:top="117" w:right="259" w:bottom="0" w:gutter="0" w:footer="0" w:header="0"/>
        </w:sectPr>
      </w:pPr>
    </w:p>
    <w:bookmarkStart w:id="29" w:name="page30"/>
    <w:bookmarkEnd w:id="29"/>
    <w:p>
      <w:pPr>
        <w:jc w:val="both"/>
        <w:ind w:right="140" w:firstLine="441"/>
        <w:spacing w:after="0" w:line="25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PRC Corporate Income Tax Law</w:t>
      </w:r>
      <w:r>
        <w:rPr>
          <w:rFonts w:ascii="Times New Roman" w:cs="Times New Roman" w:eastAsia="Times New Roman" w:hAnsi="Times New Roman"/>
          <w:sz w:val="18"/>
          <w:szCs w:val="18"/>
          <w:color w:val="auto"/>
        </w:rPr>
        <w:t>, or the CIT Law, provides that a maximum income tax rate of 20% may be applicable to dividends payable to non-PRC investors that are “non-resident enterprises,” to the extent such dividends are derived from sources within the PRC, and the State Council of the PRC has reduced such rate to 10% through the implementation regulations. We are a Cayman Islands holding company and substantially all of our income may be derived from dividends we receive from our subsidiary located in the PRC. Thus, dividends paid to us by our subsidiary in China may be subject to the 10% income tax if we are considered as a “non-resident enterprise” under the CIT Law. If we are required under the CIT Law to pay income tax for any dividends we receive from our subsidiary in China, it would materially and adversely affect the amount of dividends, if any, we may pay to our shareholders and ADS 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deemed a PRC resident enterprise under the CIT Law and be subject to the PRC taxation on our worldwide income.</w:t>
      </w:r>
    </w:p>
    <w:p>
      <w:pPr>
        <w:spacing w:after="0" w:line="22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The CIT Law also provides that enterprises established outside of China whose “de facto management bodies” are located in China are considered “resident enterprises” and are generally subject to the uniform 25% enterprise income tax rate as to their worldwide income. Under the implementation regulations for the CIT Law issued by the PRC State Council, “de facto management body” is defined as a body that has material and overall management and control over the manufacturing and business operations, personnel and human resources, finances and treasury, and acquisition and disposal of properties and other assets of an enterprise. Although substantially all of our PRC operational entities’ management is currently based in the PRC, it is unclear whether PRC tax authorities would treat us as a PRC resident enterprise. Despite the present uncertainties as a result of limited guidance from PRC tax authorities on the issue, we do not believe that our legal entities organized outside of the PRC should be treated as residents under the CIT Law. If we are treated as a resident enterprise for PRC tax purposes, we will be subject to PRC tax on our worldwide income at the 25% uniform tax rate, which could have an impact on our effective tax rate and an adverse effect on our net income and operating results.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payable by us to our foreign investors and gain on the sale of our ADSs or ordinary shares may become subject to taxes under PRC tax laws.</w:t>
      </w:r>
    </w:p>
    <w:p>
      <w:pPr>
        <w:spacing w:after="0" w:line="229" w:lineRule="exact"/>
        <w:rPr>
          <w:sz w:val="20"/>
          <w:szCs w:val="20"/>
          <w:color w:val="auto"/>
        </w:rPr>
      </w:pPr>
    </w:p>
    <w:p>
      <w:pPr>
        <w:ind w:right="20" w:firstLine="441"/>
        <w:spacing w:after="0" w:line="252" w:lineRule="auto"/>
        <w:rPr>
          <w:sz w:val="20"/>
          <w:szCs w:val="20"/>
          <w:color w:val="auto"/>
        </w:rPr>
      </w:pPr>
      <w:r>
        <w:rPr>
          <w:rFonts w:ascii="Times New Roman" w:cs="Times New Roman" w:eastAsia="Times New Roman" w:hAnsi="Times New Roman"/>
          <w:sz w:val="18"/>
          <w:szCs w:val="18"/>
          <w:color w:val="auto"/>
        </w:rPr>
        <w:t>Under the CIT Law and implementation regulations issued by the State Council, PRC withholding tax at the rate of 10% is applicable to dividends payable to investors that are “non-resident enterprises”, which do not have an establishment or place of business in the PRC, or which have such establishment or place of business but the relevant income is not effectively connected with the establishment or place of business, to the extent such dividends have their sources within the PRC. Similarly, any gain realized on the transfer of ADSs or shares by such investors is also subject to 10% PRC income tax if such gain is regarded as income derived from sources within the PRC. The implementation regulations of the CIT Law set forth that, (i) if the enterprise that distributes dividends is domiciled in the PRC, or (ii) if gains are realized from transferring equity interests of enterprises domiciled in the PRC, then such dividends or capital gains are treated as China-sourced income. It is not clear how “domicile” may be interpreted under the CIT Law, and it may be interpreted as the jurisdiction where the enterprise is a tax resident. Therefore, if we are considered a PRC tax resident enterprise for tax purposes, the dividends we pay to our non-PRC enterprise investors with respect to our ordinary shares or ADSs, or the gain our non-PRC enterprise investors may realize from the transfer of our ordinary shares or ADSs, may be treated as income derived from sources within the PRC and be subject to PRC withholding tax. In addition, it is unclear whether our non-PRC individual investors would be subject to any PRC tax in the event we are deemed a “PRC resident enterprise”. If any PRC tax were to apply to such dividends or gains of non-PRC individual investors, it would generally apply at a tax rate of 20%. Furthermore, it is unclear in these circumstances whether holders of our ordinary shares or ADSs would be able to claim the benefit of income tax treaties entered into between China and other countries or regions. If we are required under the PRC law to withhold PRC income tax on dividends payable to our non-PRC investors, or if you are required to pay PRC income tax on the transfer of our ordinary shares or ADSs, the value of your investment in our ordinary shares or ADSs may be materially and adversely affected.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register our operating offices not located at our residence addresses as branch companies under PRC law.</w:t>
      </w:r>
    </w:p>
    <w:p>
      <w:pPr>
        <w:spacing w:after="0" w:line="229" w:lineRule="exact"/>
        <w:rPr>
          <w:sz w:val="20"/>
          <w:szCs w:val="20"/>
          <w:color w:val="auto"/>
        </w:rPr>
      </w:pPr>
    </w:p>
    <w:p>
      <w:pPr>
        <w:ind w:right="280" w:firstLine="441"/>
        <w:spacing w:after="0" w:line="256" w:lineRule="auto"/>
        <w:rPr>
          <w:sz w:val="20"/>
          <w:szCs w:val="20"/>
          <w:color w:val="auto"/>
        </w:rPr>
      </w:pPr>
      <w:r>
        <w:rPr>
          <w:rFonts w:ascii="Times New Roman" w:cs="Times New Roman" w:eastAsia="Times New Roman" w:hAnsi="Times New Roman"/>
          <w:sz w:val="18"/>
          <w:szCs w:val="18"/>
          <w:color w:val="auto"/>
        </w:rPr>
        <w:t>Under PRC law, a company setting up premises outside its resident address for business operations must register such operating offices with the relevant local industry and commerce bureau at the place where such premises are located as branch companies and shall obtain business licenses for such branches. Our affiliated consolidated entities have operations at locations other than their respective resident addresses. If the PRC regulatory authorities determine that we are in violation of relevant laws and regulations, we may be subject to relevant penalties, including fines, confiscation of income, and suspension of operation. If we are subject to these penalties, our business, operating results, financial condition and prospects could be materially and adversely affected.</w:t>
      </w:r>
    </w:p>
    <w:p>
      <w:pPr>
        <w:spacing w:after="0" w:line="18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audit report included in this annual report is prepared by an auditor who is not inspected by the Public Company Accounting Oversight Board and, as such, you are deprived of the benefits of such inspection</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100" w:firstLine="450"/>
        <w:spacing w:after="0" w:line="254" w:lineRule="auto"/>
        <w:rPr>
          <w:sz w:val="20"/>
          <w:szCs w:val="20"/>
          <w:color w:val="auto"/>
        </w:rPr>
      </w:pPr>
      <w:r>
        <w:rPr>
          <w:rFonts w:ascii="Times New Roman" w:cs="Times New Roman" w:eastAsia="Times New Roman" w:hAnsi="Times New Roman"/>
          <w:sz w:val="18"/>
          <w:szCs w:val="18"/>
          <w:color w:val="auto"/>
        </w:rPr>
        <w:t>Auditors of companies that are registered with the US Securities and Exchange Commission and traded publicly in the United States, including our independent registered public accounting firm, must be registered with the United States Public Company Accounting Oversight Board, or the PCAOB, and are required by the rules of the PCAOB to undergo regular inspections by the PCAOB to assess their compliance with the laws of the United States and professional standards. Because our auditors are located in the Peoples’ Republic of China, a jurisdiction where the PCAOB is currently unable to conduct inspections without the approval of the Chinese authorities, our auditors are not currently inspected by the PCAOB. In May 2013, PCAOB announced that it had entered into a Memorandum of Understanding on Enforcement Cooperation with the CSRC and the PRC Ministry of Finance, which establishes a cooperative framework between the parties for the production and exchange of audit documents relevant to investigations undertaken by PCAOB, the CSRC or the PRC Ministry of Finance in the United States and the PRC, respectively. PCAOB continues to be in discussions with the CSRC and the PRC Ministry of Finance to permit joint inspections in the PRC of audit firms that are registered with PCAOB and audit Chinese companies that trade on U.S. exchanges.</w:t>
      </w:r>
    </w:p>
    <w:p>
      <w:pPr>
        <w:spacing w:after="0" w:line="189" w:lineRule="exact"/>
        <w:rPr>
          <w:sz w:val="20"/>
          <w:szCs w:val="20"/>
          <w:color w:val="auto"/>
        </w:rPr>
      </w:pPr>
    </w:p>
    <w:p>
      <w:pPr>
        <w:ind w:right="640" w:firstLine="441"/>
        <w:spacing w:after="0" w:line="282" w:lineRule="auto"/>
        <w:rPr>
          <w:sz w:val="20"/>
          <w:szCs w:val="20"/>
          <w:color w:val="auto"/>
        </w:rPr>
      </w:pPr>
      <w:r>
        <w:rPr>
          <w:rFonts w:ascii="Times New Roman" w:cs="Times New Roman" w:eastAsia="Times New Roman" w:hAnsi="Times New Roman"/>
          <w:sz w:val="18"/>
          <w:szCs w:val="18"/>
          <w:color w:val="auto"/>
        </w:rPr>
        <w:t>This lack of PCAOB inspections in China prevents the PCAOB from regularly evaluating audits and quality control procedures of any auditors operating in China, including our auditors. As a result, investors may be deprived of the benefits of PCAOB inspections.</w:t>
      </w:r>
    </w:p>
    <w:p>
      <w:pPr>
        <w:spacing w:after="0" w:line="162" w:lineRule="exact"/>
        <w:rPr>
          <w:sz w:val="20"/>
          <w:szCs w:val="20"/>
          <w:color w:val="auto"/>
        </w:rPr>
      </w:pPr>
    </w:p>
    <w:p>
      <w:pPr>
        <w:ind w:right="200" w:firstLine="441"/>
        <w:spacing w:after="0" w:line="266" w:lineRule="auto"/>
        <w:rPr>
          <w:sz w:val="20"/>
          <w:szCs w:val="20"/>
          <w:color w:val="auto"/>
        </w:rPr>
      </w:pPr>
      <w:r>
        <w:rPr>
          <w:rFonts w:ascii="Times New Roman" w:cs="Times New Roman" w:eastAsia="Times New Roman" w:hAnsi="Times New Roman"/>
          <w:sz w:val="18"/>
          <w:szCs w:val="18"/>
          <w:color w:val="auto"/>
        </w:rPr>
        <w:t>The inability of the PCAOB to conduct inspections of auditors in China makes it more difficult to evaluate the effectiveness of our auditor’s audit procedures or quality control procedures as compared to auditors outside of China that are subject to PCAOB inspections. Investors may lose confidence in our reported financial information and procedures and the quality of our financial statements.</w:t>
      </w:r>
    </w:p>
    <w:p>
      <w:pPr>
        <w:sectPr>
          <w:pgSz w:w="11900" w:h="16838" w:orient="portrait"/>
          <w:cols w:equalWidth="0" w:num="1">
            <w:col w:w="11400"/>
          </w:cols>
          <w:pgMar w:left="240" w:top="119" w:right="259" w:bottom="104"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19" w:right="259" w:bottom="104" w:gutter="0" w:footer="0" w:header="0"/>
          <w:type w:val="continuous"/>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outcome of the administrative proceedings brought by the SEC against the Big Four PRC-based accounting firms.</w:t>
      </w:r>
    </w:p>
    <w:p>
      <w:pPr>
        <w:spacing w:after="0" w:line="229"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In December 2012, the SEC brought administrative proceedings against the Big Four accounting firms in China, including our independent registered public accounting firm, alleging that these accounting firms had violated U.S. securities laws and the SEC’s rules and regulations thereunder by failing to provide to the SEC the firms’ audit papers and other documents related to certain PRC-based companies that are publicly traded in the United States.</w:t>
      </w:r>
    </w:p>
    <w:p>
      <w:pPr>
        <w:spacing w:after="0" w:line="176"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On January 22, 2014, the Administrative Law Judge presiding over the matter reached an initial decision that the firms had each violated the SEC’s rules of practice by failing to produce the audit work papers and related documents directly to the SEC. The initial decision further determined that each of the firms should be censured and barred from practicing before the SEC for a period of six months. On February 12, 2014, the Big Four PRC-based accounting firms appealed to the SEC against this decision. In February 2015, each of these four PRC-based accounting firms agreed to a censure and to pay a fine to the SEC to settle the dispute and avoid suspension of their ability to practice before the SEC. The settlement requires the firms to follow detailed procedures to seek to provide the SEC with access to Chinese firms’ audit documents via the CSRC. If the firms do not follow these procedures, the SEC could impose penalties such as suspensions, or it could restart the administrative proceedings.</w:t>
      </w:r>
    </w:p>
    <w:p>
      <w:pPr>
        <w:spacing w:after="0" w:line="189"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In the event that the SEC restarts the administrative proceedings, depending upon the final outcome, listed companies in the United States with major PRC operations may find it difficult or impossible to retain auditors in respect of their operations in the PRC, which could result in financial statements being determined to not be in compliance with the requirements of the Exchange Act, including possible delisting. Moreover, any negative news about the proceedings against these audit firms may cause investor uncertainty regarding China-based, U.S.-listed companies and the market price of our ADSs may be adversely affected.</w:t>
      </w:r>
    </w:p>
    <w:p>
      <w:pPr>
        <w:spacing w:after="0" w:line="184"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If our independent registered public accounting firm was denied, even temporarily, the ability to practice before the SEC and we were unable to timely find another registered public accounting firm to audit and issue an opinion on our financial statements, our financial statements could be determined not to be in compliance with the requirements of the Exchange Act. Such a determination could ultimately lead to our delisting from the NYSE or deregistration from the SEC, or both, which would substantially reduce or effectively terminate the trading of our ADSs in the United States.</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uncertainties exist with respect to the enactment timetable, interpretation and implementation of the draft Foreign Investment Law and how it may impact the viability of our current corporate structure, corporate governance and business operations.</w:t>
      </w:r>
    </w:p>
    <w:p>
      <w:pPr>
        <w:spacing w:after="0" w:line="159" w:lineRule="exact"/>
        <w:rPr>
          <w:sz w:val="20"/>
          <w:szCs w:val="20"/>
          <w:color w:val="auto"/>
        </w:rPr>
      </w:pPr>
    </w:p>
    <w:p>
      <w:pPr>
        <w:ind w:right="120" w:firstLine="441"/>
        <w:spacing w:after="0" w:line="255" w:lineRule="auto"/>
        <w:rPr>
          <w:sz w:val="20"/>
          <w:szCs w:val="20"/>
          <w:color w:val="auto"/>
        </w:rPr>
      </w:pPr>
      <w:r>
        <w:rPr>
          <w:rFonts w:ascii="Times New Roman" w:cs="Times New Roman" w:eastAsia="Times New Roman" w:hAnsi="Times New Roman"/>
          <w:sz w:val="18"/>
          <w:szCs w:val="18"/>
          <w:color w:val="auto"/>
        </w:rPr>
        <w:t xml:space="preserve">The MOFCOM, published the Draft FIL on its official website in January 2015. Upon its enactment, it is intended to replace the trio of existing laws regulating foreign investment in China, namely, the </w:t>
      </w:r>
      <w:r>
        <w:rPr>
          <w:rFonts w:ascii="Times New Roman" w:cs="Times New Roman" w:eastAsia="Times New Roman" w:hAnsi="Times New Roman"/>
          <w:sz w:val="18"/>
          <w:szCs w:val="18"/>
          <w:i w:val="1"/>
          <w:iCs w:val="1"/>
          <w:color w:val="auto"/>
        </w:rPr>
        <w:t>Sino-foreign Equity Joint Venture Enterprise Law</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Sino-foreign Cooperative Joint Venture Enterprise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Law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Wholly Foreign-invested Enterprise Law</w:t>
      </w:r>
      <w:r>
        <w:rPr>
          <w:rFonts w:ascii="Times New Roman" w:cs="Times New Roman" w:eastAsia="Times New Roman" w:hAnsi="Times New Roman"/>
          <w:sz w:val="18"/>
          <w:szCs w:val="18"/>
          <w:color w:val="auto"/>
        </w:rPr>
        <w:t>, together with their implementation rules and ancillary regulations. The Draft FIL embodies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PRC regulatory trend to rationalize its foreign investment regulatory regime in line with prevailing international practice and the legislative efforts to unify the corporate legal requirements for both foreign and domestic investments. The MOFCOM is currently soliciting comments on this draft and substantial uncertainties exist with respect to its enactment timetable, interpretation and implementation. The Draft FIL, if enacted as proposed, may materially impact the viability of our current corporate structure, corporate governance and business operations in many aspects.</w:t>
      </w:r>
    </w:p>
    <w:p>
      <w:pPr>
        <w:spacing w:after="0" w:line="189" w:lineRule="exact"/>
        <w:rPr>
          <w:sz w:val="20"/>
          <w:szCs w:val="20"/>
          <w:color w:val="auto"/>
        </w:rPr>
      </w:pPr>
    </w:p>
    <w:p>
      <w:pPr>
        <w:ind w:right="20" w:firstLine="450"/>
        <w:spacing w:after="0" w:line="269" w:lineRule="auto"/>
        <w:rPr>
          <w:sz w:val="20"/>
          <w:szCs w:val="20"/>
          <w:color w:val="auto"/>
        </w:rPr>
      </w:pPr>
      <w:r>
        <w:rPr>
          <w:rFonts w:ascii="Times New Roman" w:cs="Times New Roman" w:eastAsia="Times New Roman" w:hAnsi="Times New Roman"/>
          <w:sz w:val="17"/>
          <w:szCs w:val="17"/>
          <w:color w:val="auto"/>
        </w:rPr>
        <w:t>Among other things, the Draft FIL expands the definition of foreign investment and introduces the principle of “actual control” in determining whether an investment is considered a foreign investment or domestic investment. The Draft FIL specifically provides that an entity established in China but “controlled” by foreign investors will be treated as a foreign investor, whereas an entity set up in a foreign jurisdiction but “controlled” by PRC entities and/or citizens would nonetheless be treated as a PRC domestic investor, provided that the entity should obtain such determination upon market entry clearance by the competent foreign investment authority. In this connection, “control” is broadly defined in the draft law to cover the following summarized categories:</w:t>
      </w:r>
    </w:p>
    <w:p>
      <w:pPr>
        <w:spacing w:after="0" w:line="3" w:lineRule="exact"/>
        <w:rPr>
          <w:sz w:val="20"/>
          <w:szCs w:val="20"/>
          <w:color w:val="auto"/>
        </w:rPr>
      </w:pPr>
    </w:p>
    <w:p>
      <w:pPr>
        <w:ind w:right="220" w:firstLine="8"/>
        <w:spacing w:after="0" w:line="252" w:lineRule="auto"/>
        <w:tabs>
          <w:tab w:leader="none" w:pos="2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 50% or more of shares, equity interests, property shares, voting rights or other similar rights of the subject entity; (ii) holding less than 50% of shares, equity interests, property shares, voting rights or other similar rights, but having the power to secure at least 50% of the seats on the board or other equivalent decision making bodies, or having the voting power to materially influence the board, the shareholders’ meeting or other equivalent decision making bodies; or (iii) having the power to exert decisive influence, via contractual or trust arrangements, over the subject entity’s operations, financial matters or other key aspects of business operations. If a foreign investment is made in an industry within the catalogue of special management measures, or the negative list, to be issued by the State Council, it would be subject to the foreign investment restrictions or prohibitions set forth therein and call for market entry clearance by the competent foreign investment authority.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The “variable interest entity” structure, or the VIE structure, has been adopted by many PRC-based companies, including us, to obtain necessary licenses and permits in the industries that are currently subject to foreign investment restrictions in China. See “Item 3. Key Information—D. Risk Factors— Risks Relating to Our Corporate Structure— If the PRC government finds that the agreements that establish the structure for operating our businesses in China do not comply with PRC governmental restrictions on foreign investment in Internet businesses, or if these regulations or the interpretation of existing regulations change in the future, we would be subject to severe penalties or be forced to relinquish our interests in those operations.” Under the Draft FIL, if a variable interest entity is ultimate controlled by a foreign investor via contractual arrangement, it would be deemed as a foreign investment and thus subject to market entry clearance where such variable interest entity is engaged in the industry on the negative list. If an existing company with a VIE structure continues to engage in an industry on the negative list, the MOFCOM has proposed three possible solutions: (i) the company should declare to the MOFCOM that it is controlled by PRC entities and/or citizens, and the VIE structure would be deemed legitimate; (ii) the company should be determined by the MOFCOM that it is controlled by PRC entities and/or citizens, and the VIE structure would be deemed legitimate; or (iii) the company should pass the market access clearance by the MOFCOM. Conversely, if the actual controlling person is of a foreign nationality, then the variable interest entities will be treated as foreign invested enterprises and any operation in an industry on the negative list without market entry clearance may be considered to be illegal.</w:t>
      </w:r>
    </w:p>
    <w:p>
      <w:pPr>
        <w:spacing w:after="0" w:line="191"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We may not be considered to be ultimately controlled by PRC entities/citizens, as (i) our company was incorporated in Cayman Islands and is currently controlled by Phoenix TV, a company listed in the main board of The Stock Exchange of Hong Kong Limited; and (ii) Mr. Liu Changle, a permanent resident of Hong Kong, is deemed to have control of Phoenix TV as defined in the Codes on Takeovers and Mergers and Share Buy-backs published by the Securities and Futures Commission of Hong Kong. The Draft FIL has not taken a position on what actions will be taken with respect to the existing companies with a VIE structure, whether or not these companies are controlled by PRC entities/citizens, while it is soliciting comments from the public. Moreover, it is uncertain whether the telecommunications and internet information services, online cultural activities, online games and other internet-based industries, in which our variable interest entities operate, will be subject to the foreign investment restrictions or prohibitions set forth in the negative list to be issued. If the</w:t>
      </w:r>
    </w:p>
    <w:p>
      <w:pPr>
        <w:sectPr>
          <w:pgSz w:w="11900" w:h="16838" w:orient="portrait"/>
          <w:cols w:equalWidth="0" w:num="1">
            <w:col w:w="11420"/>
          </w:cols>
          <w:pgMar w:left="240" w:top="121" w:right="239" w:bottom="0" w:gutter="0" w:footer="0" w:header="0"/>
        </w:sectPr>
      </w:pPr>
    </w:p>
    <w:bookmarkStart w:id="31" w:name="page32"/>
    <w:bookmarkEnd w:id="31"/>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enacted version of the </w:t>
      </w:r>
      <w:r>
        <w:rPr>
          <w:rFonts w:ascii="Times New Roman" w:cs="Times New Roman" w:eastAsia="Times New Roman" w:hAnsi="Times New Roman"/>
          <w:sz w:val="18"/>
          <w:szCs w:val="18"/>
          <w:i w:val="1"/>
          <w:iCs w:val="1"/>
          <w:color w:val="auto"/>
        </w:rPr>
        <w:t>Foreign Investment Law</w:t>
      </w:r>
      <w:r>
        <w:rPr>
          <w:rFonts w:ascii="Times New Roman" w:cs="Times New Roman" w:eastAsia="Times New Roman" w:hAnsi="Times New Roman"/>
          <w:sz w:val="18"/>
          <w:szCs w:val="18"/>
          <w:color w:val="auto"/>
        </w:rPr>
        <w:t xml:space="preserve"> and the final negative list mandate further actions, such as MOFCOM market entry clearance or certain restructuring of our corporate structure and operations, to be completed by companies with existing VIE structure like us, we will face substantial uncertainties as to whether these actions can be timely completed, or at all. As a result, our business and financial condition may be materially and adversely affected.</w:t>
      </w:r>
    </w:p>
    <w:p>
      <w:pPr>
        <w:spacing w:after="0" w:line="182" w:lineRule="exact"/>
        <w:rPr>
          <w:sz w:val="20"/>
          <w:szCs w:val="20"/>
          <w:color w:val="auto"/>
        </w:rPr>
      </w:pPr>
    </w:p>
    <w:p>
      <w:pPr>
        <w:jc w:val="both"/>
        <w:ind w:right="120" w:firstLine="441"/>
        <w:spacing w:after="0" w:line="258" w:lineRule="auto"/>
        <w:rPr>
          <w:sz w:val="20"/>
          <w:szCs w:val="20"/>
          <w:color w:val="auto"/>
        </w:rPr>
      </w:pPr>
      <w:r>
        <w:rPr>
          <w:rFonts w:ascii="Times New Roman" w:cs="Times New Roman" w:eastAsia="Times New Roman" w:hAnsi="Times New Roman"/>
          <w:sz w:val="18"/>
          <w:szCs w:val="18"/>
          <w:color w:val="auto"/>
        </w:rPr>
        <w:t>The Draft FIL, if enacted as proposed, may also materially impact our corporate governance practice and increase our compliance costs. For instance, the Draft FIL imposes stringent ad hoc and periodic information reporting requirements on foreign investors and the applicable foreign-invested enterprises. Reports are required whenever we make a new investment and modify or change our investment. Annual reports are mandatory, and large foreign investors meeting certain criteria are required to make reports quarterly. Any company found to be non-compliant with these information reporting obligations may be subject to fines and/or administrative or criminal liability, and the persons directly responsible may be subject to criminal liability.</w:t>
      </w:r>
    </w:p>
    <w:p>
      <w:pPr>
        <w:spacing w:after="0" w:line="18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Press reports concerning possible increased scrutiny by Chinese authorities of the VIE structure used by us and various other Chinese companies publicly-traded in the United States appear to have created concern among investors and caused the price of our common stock to drop, and such reports may have such an effect in the future.</w:t>
      </w:r>
    </w:p>
    <w:p>
      <w:pPr>
        <w:spacing w:after="0" w:line="175"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We operate a VIE structure in which substantially all of our operations in China are conducted by our affiliated consolidated entities, in which we do not own any equity interest, through our contractual arrangements. In the recent past, various prominent Western news outlets reported that the MOFCOM and the China Securities Regulatory Commission, among other Chinese regulatory authorities, may be considering increased scrutiny or enhanced regulation of Chinese companies that use VIE structures as a means of complying with Chinese laws prohibiting or restricting foreign ownership of certain businesses in China, including businesses we are engaged in such as Internet information, content and services, online and mobile advertising, and mobile Internet and other value-added telecommunication services. Some of such news reports have also sought to draw a connection between recent widely reported accounting issues at certain Chinese companies and the use of VIE structures. Such news reports appear to have had the effect of causing significant drops in the market prices of the shares of several Chinese companies, including us, that are publicly-traded in the United States. We believe even if any such Chinese regulatory authorities were to increase scrutiny of VIE structures or adopt regulations specifically governing their use, the possibility is remote that any such scrutiny would have a material adverse impact on us or cause us to change our existing operational structure in any materially adverse way. However, it is possible that there will be such increased scrutiny or enhanced regulation in the future. In addition, while we are not aware of any causal connection between the recently reported accounting scandals and the use of VIE structures, it is possible that investors in our ADSs will believe that such a connection exists. Any of such circumstances could lead to further loss of investor confidence in Chinese companies such as ours and cause fluctuations in the market prices of our common stock and, if such prices were to drop sharply, could subject us to shareholder litigation, which could cause the price for our shares to drop further.</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ADSs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our ADSs may be volatile which could result in a loss to you.</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market price for our ADSs is likely to be highly volatile and subject to wide fluctuations in response to factors, including the following:</w:t>
      </w:r>
    </w:p>
    <w:p>
      <w:pPr>
        <w:spacing w:after="0" w:line="225" w:lineRule="exact"/>
        <w:rPr>
          <w:sz w:val="20"/>
          <w:szCs w:val="20"/>
          <w:color w:val="auto"/>
        </w:rPr>
      </w:pPr>
    </w:p>
    <w:p>
      <w:pPr>
        <w:ind w:left="1680" w:hanging="908"/>
        <w:spacing w:after="0"/>
        <w:tabs>
          <w:tab w:leader="none" w:pos="1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competitive developments;</w:t>
      </w:r>
    </w:p>
    <w:p>
      <w:pPr>
        <w:spacing w:after="0" w:line="225" w:lineRule="exact"/>
        <w:rPr>
          <w:rFonts w:ascii="Times New Roman" w:cs="Times New Roman" w:eastAsia="Times New Roman" w:hAnsi="Times New Roman"/>
          <w:sz w:val="18"/>
          <w:szCs w:val="18"/>
          <w:color w:val="auto"/>
        </w:rPr>
      </w:pPr>
    </w:p>
    <w:p>
      <w:pPr>
        <w:ind w:left="1680" w:hanging="908"/>
        <w:spacing w:after="0"/>
        <w:tabs>
          <w:tab w:leader="none" w:pos="1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China affecting us, our clients or our competitors;</w:t>
      </w:r>
    </w:p>
    <w:p>
      <w:pPr>
        <w:spacing w:after="0" w:line="225" w:lineRule="exact"/>
        <w:rPr>
          <w:rFonts w:ascii="Times New Roman" w:cs="Times New Roman" w:eastAsia="Times New Roman" w:hAnsi="Times New Roman"/>
          <w:sz w:val="18"/>
          <w:szCs w:val="18"/>
          <w:color w:val="auto"/>
        </w:rPr>
      </w:pPr>
    </w:p>
    <w:p>
      <w:pPr>
        <w:ind w:left="1680" w:hanging="908"/>
        <w:spacing w:after="0"/>
        <w:tabs>
          <w:tab w:leader="none" w:pos="1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litigation or administrative proceedings involving us;</w:t>
      </w:r>
    </w:p>
    <w:p>
      <w:pPr>
        <w:spacing w:after="0" w:line="225" w:lineRule="exact"/>
        <w:rPr>
          <w:rFonts w:ascii="Times New Roman" w:cs="Times New Roman" w:eastAsia="Times New Roman" w:hAnsi="Times New Roman"/>
          <w:sz w:val="18"/>
          <w:szCs w:val="18"/>
          <w:color w:val="auto"/>
        </w:rPr>
      </w:pPr>
    </w:p>
    <w:p>
      <w:pPr>
        <w:ind w:left="1680" w:hanging="908"/>
        <w:spacing w:after="0"/>
        <w:tabs>
          <w:tab w:leader="none" w:pos="1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operating results;</w:t>
      </w:r>
    </w:p>
    <w:p>
      <w:pPr>
        <w:spacing w:after="0" w:line="225" w:lineRule="exact"/>
        <w:rPr>
          <w:rFonts w:ascii="Times New Roman" w:cs="Times New Roman" w:eastAsia="Times New Roman" w:hAnsi="Times New Roman"/>
          <w:sz w:val="18"/>
          <w:szCs w:val="18"/>
          <w:color w:val="auto"/>
        </w:rPr>
      </w:pPr>
    </w:p>
    <w:p>
      <w:pPr>
        <w:ind w:left="1680" w:hanging="908"/>
        <w:spacing w:after="0"/>
        <w:tabs>
          <w:tab w:leader="none" w:pos="1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research analysts;</w:t>
      </w:r>
    </w:p>
    <w:p>
      <w:pPr>
        <w:spacing w:after="0" w:line="225" w:lineRule="exact"/>
        <w:rPr>
          <w:rFonts w:ascii="Times New Roman" w:cs="Times New Roman" w:eastAsia="Times New Roman" w:hAnsi="Times New Roman"/>
          <w:sz w:val="18"/>
          <w:szCs w:val="18"/>
          <w:color w:val="auto"/>
        </w:rPr>
      </w:pPr>
    </w:p>
    <w:p>
      <w:pPr>
        <w:ind w:left="1680" w:hanging="908"/>
        <w:spacing w:after="0"/>
        <w:tabs>
          <w:tab w:leader="none" w:pos="1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or departure of our executive officers;</w:t>
      </w:r>
    </w:p>
    <w:p>
      <w:pPr>
        <w:spacing w:after="0" w:line="225" w:lineRule="exact"/>
        <w:rPr>
          <w:rFonts w:ascii="Times New Roman" w:cs="Times New Roman" w:eastAsia="Times New Roman" w:hAnsi="Times New Roman"/>
          <w:sz w:val="18"/>
          <w:szCs w:val="18"/>
          <w:color w:val="auto"/>
        </w:rPr>
      </w:pPr>
    </w:p>
    <w:p>
      <w:pPr>
        <w:ind w:left="1680" w:hanging="908"/>
        <w:spacing w:after="0"/>
        <w:tabs>
          <w:tab w:leader="none" w:pos="1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expiry of lock-up or other transfer restrictions on our outstanding ordinary shares or ADSs; and</w:t>
      </w:r>
    </w:p>
    <w:p>
      <w:pPr>
        <w:spacing w:after="0" w:line="225" w:lineRule="exact"/>
        <w:rPr>
          <w:rFonts w:ascii="Times New Roman" w:cs="Times New Roman" w:eastAsia="Times New Roman" w:hAnsi="Times New Roman"/>
          <w:sz w:val="18"/>
          <w:szCs w:val="18"/>
          <w:color w:val="auto"/>
        </w:rPr>
      </w:pPr>
    </w:p>
    <w:p>
      <w:pPr>
        <w:ind w:left="1680" w:hanging="908"/>
        <w:spacing w:after="0"/>
        <w:tabs>
          <w:tab w:leader="none" w:pos="1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sales of additional ordinary shares or ADSs.</w:t>
      </w:r>
    </w:p>
    <w:p>
      <w:pPr>
        <w:spacing w:after="0" w:line="225" w:lineRule="exact"/>
        <w:rPr>
          <w:sz w:val="20"/>
          <w:szCs w:val="20"/>
          <w:color w:val="auto"/>
        </w:rPr>
      </w:pPr>
    </w:p>
    <w:p>
      <w:pPr>
        <w:ind w:right="540" w:firstLine="441"/>
        <w:spacing w:after="0" w:line="282" w:lineRule="auto"/>
        <w:rPr>
          <w:sz w:val="20"/>
          <w:szCs w:val="20"/>
          <w:color w:val="auto"/>
        </w:rPr>
      </w:pPr>
      <w:r>
        <w:rPr>
          <w:rFonts w:ascii="Times New Roman" w:cs="Times New Roman" w:eastAsia="Times New Roman" w:hAnsi="Times New Roman"/>
          <w:sz w:val="18"/>
          <w:szCs w:val="18"/>
          <w:color w:val="auto"/>
        </w:rPr>
        <w:t>In addition, the securities market has from time to time experienced significant price and volume fluctuations that are not related to the operating performance of particular companies. These market fluctuations may also have a material adverse effect on the market price of our ADSs.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or perceived sales of our ADSs in the public market could cause the price of our ADSs to decline.</w:t>
      </w:r>
    </w:p>
    <w:p>
      <w:pPr>
        <w:spacing w:after="0" w:line="229"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Sales of our ADSs or ordinary shares in the public market, or the perception that these sales could occur, could cause the market price of our ADSs to decline. As of March 31, 2017, we had 572,259,650 ordinary shares outstanding, including 317,325,360 Class B ordinary shares and 254,934,290 Class A ordinary shares part of which are represented by 30,962,694 ADSs. All ADSs sold in our initial public offering are freely transferable without restriction or additional registration under the Securities Act of 1933, as amended, or the Securities Act. The remaining ordinary shares outstanding are available for sale upon the expiration of any relevant lock-up periods, subject to volume and other restrictions that may be applicable under Rule 144 and Rule 701 under the Securities Act. In addition, ordinary shares that certain option holders will receive when they exercise their share options will not be available for sale until the expiration of any relevant lock-up periods, subject to volume and other restrictions that may be applicable under Rule 144 and Rule 701 under the Securities Act. We cannot predict what effect, if any, market sales of securities held by our significant shareholders or any other shareholder or the availability of these securities for future sale will have on the market price of our ADSs.</w:t>
      </w:r>
    </w:p>
    <w:p>
      <w:pPr>
        <w:spacing w:after="0" w:line="18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dual-class ordinary share structure with different voting rights could discourage others from pursuing any change of control transactions that holders of our Class A ordinary shares and ADSs may view as beneficial.</w:t>
      </w:r>
    </w:p>
    <w:p>
      <w:pPr>
        <w:sectPr>
          <w:pgSz w:w="11900" w:h="16838" w:orient="portrait"/>
          <w:cols w:equalWidth="0" w:num="1">
            <w:col w:w="11420"/>
          </w:cols>
          <w:pgMar w:left="240" w:top="119" w:right="239" w:bottom="37" w:gutter="0" w:footer="0" w:header="0"/>
        </w:sectPr>
      </w:pPr>
    </w:p>
    <w:bookmarkStart w:id="32" w:name="page33"/>
    <w:bookmarkEnd w:id="32"/>
    <w:p>
      <w:pPr>
        <w:spacing w:after="0" w:line="28" w:lineRule="exact"/>
        <w:rPr>
          <w:sz w:val="20"/>
          <w:szCs w:val="20"/>
          <w:color w:val="auto"/>
        </w:rPr>
      </w:pPr>
    </w:p>
    <w:p>
      <w:pPr>
        <w:ind w:right="60" w:firstLine="441"/>
        <w:spacing w:after="0" w:line="255" w:lineRule="auto"/>
        <w:rPr>
          <w:sz w:val="20"/>
          <w:szCs w:val="20"/>
          <w:color w:val="auto"/>
        </w:rPr>
      </w:pPr>
      <w:r>
        <w:rPr>
          <w:rFonts w:ascii="Times New Roman" w:cs="Times New Roman" w:eastAsia="Times New Roman" w:hAnsi="Times New Roman"/>
          <w:sz w:val="18"/>
          <w:szCs w:val="18"/>
          <w:color w:val="auto"/>
        </w:rPr>
        <w:t>We have Class A ordinary shares and Class B ordinary shares, which are all at par value of US$0.01 each. Holders of Class A ordinary shares are entitled to one vote per share, while holders of Class B ordinary shares are entitled to 1.3 votes per share. Phoenix TV (BVI), which is wholly owned by Phoenix TV, holds Class B ordinary shares, each of which is convertible into one Class A ordinary share at any time by the holder thereof. Class A ordinary shares are not convertible into Class B ordinary shares under any circumstances. Due to the disparate voting rights attached to these two classes, Phoenix TV (BVI) has significant voting rights over matters requiring shareholder approval, including the election and removal of directors and certain corporate transactions, such as mergers, consolidations and other business combinations. This concentrated control could discourage others from pursuing any potential merger, takeover or other change of control transactions that holders of Class A ordinary shares and ADSs may view as beneficial.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articles of association may discourage a third party from offering to acquire our company, which could limit your opportunity to sell your ADSs at a premium.</w:t>
      </w:r>
    </w:p>
    <w:p>
      <w:pPr>
        <w:spacing w:after="0" w:line="159"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Our currently effective, second amended and restated articles of association include provisions that could limit the ability of others to acquire control of us, modify our structure or cause us to engage in change of control transactions. These provisions could have the effect of depriving our shareholders of an opportunity to sell their shares at a premium over prevailing market prices by discouraging third parties from seeking to obtain control of us in a tender offer or similar transaction.</w:t>
      </w:r>
    </w:p>
    <w:p>
      <w:pPr>
        <w:spacing w:after="0" w:line="180"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For example, our board of directors have the authority, without further action by our shareholders, to issue preference shares in one or more series and to fix the powers and rights of these shares, including dividend rights, conversion rights, voting rights, terms of redemption and liquidation preferences, any or all of which may be greater than the rights associated with our ordinary shares. Preference shares could thus be issued quickly with terms calculated to delay or prevent a change in control or make removal of management more difficult. In addition, if our board of directors issues preference shares, the market price of our ordinary shares may fall and the voting and other rights of the holders of our ordinary shares may be adversely affected.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permitted to, and we may, rely on exemptions from certain NYSE corporate governance standards applicable to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issuers. This may afford less protection to holders of our ordinary shares and ADSs.</w:t>
      </w:r>
    </w:p>
    <w:p>
      <w:pPr>
        <w:spacing w:after="0" w:line="207"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The NYSE Listed Company Manual in general require listed companies to have, among other things, a majority of its board be independent, an audit committee consisting of a minimum of three members and a nominating and corporate governance committee consisting solely of independent directors. As a foreign private issuer, we are permitted to follow, and we follow, certain home country corporate governance practices instead of the above requirements of the NYSE Listed Company Manual. The corporate governance practice in our home country, the Cayman Islands, does not require a majority of our board to consist of independent directors or the implementation of an audit committee or nominating and corporate governance committee. We rely upon the relevant home country exemption and exemptions afforded to controlled companies in lieu of certain corporate governance practices, such as having less than a majority of the board be independent and establishing an audit committee consisting of two independent directors. As a result, the level of independent oversight over management of our company may afford less protection to holders of our ordinary shares and ADSs.</w:t>
      </w:r>
    </w:p>
    <w:p>
      <w:pPr>
        <w:spacing w:after="0" w:line="18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not subject to U.S. proxy rules and are subject to Exchange Act reporting obligations that, to some extent, are more lenient and less frequent than those of a U.S. issuer.</w:t>
      </w:r>
    </w:p>
    <w:p>
      <w:pPr>
        <w:spacing w:after="0" w:line="159" w:lineRule="exact"/>
        <w:rPr>
          <w:sz w:val="20"/>
          <w:szCs w:val="20"/>
          <w:color w:val="auto"/>
        </w:rPr>
      </w:pPr>
    </w:p>
    <w:p>
      <w:pPr>
        <w:ind w:right="300" w:firstLine="441"/>
        <w:spacing w:after="0" w:line="261" w:lineRule="auto"/>
        <w:rPr>
          <w:sz w:val="20"/>
          <w:szCs w:val="20"/>
          <w:color w:val="auto"/>
        </w:rPr>
      </w:pPr>
      <w:r>
        <w:rPr>
          <w:rFonts w:ascii="Times New Roman" w:cs="Times New Roman" w:eastAsia="Times New Roman" w:hAnsi="Times New Roman"/>
          <w:sz w:val="18"/>
          <w:szCs w:val="18"/>
          <w:color w:val="auto"/>
        </w:rPr>
        <w:t>As a foreign private issuer, we are exempt from certain provisions of the Exchange Act that are applicable to U.S. domestic issuers, including (i) the sections of the Exchange Act regulating the solicitation of proxies, consents or authorizations in respect of a security registered under the Exchange Act,</w:t>
      </w:r>
    </w:p>
    <w:p>
      <w:pPr>
        <w:ind w:right="40" w:firstLine="8"/>
        <w:spacing w:after="0" w:line="251" w:lineRule="auto"/>
        <w:tabs>
          <w:tab w:leader="none" w:pos="2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the executive compensation disclosure requirements to which we are subject under Form 20-F are less rigorous than those required of U.S. issuers under Form 10-K. Furthermore, foreign private issuers are not required to file their annual report on Form 20-F until 120 days after the end of each fiscal year, while U.S. domestic issuers that are not large accelerated filers or accelerated filers are required to file their annual report on Form 10-K within 90 days after the end of each fiscal year. Foreign private issuers are also exempt from the Regulation FD, aimed at preventing issuers from making selective disclosures of material information. Although we intend to make quarterly reports available to our shareholders in a timely manner and are required under the Exchange Act to provide current reports on Form 6-K, you may not have the same protections afforded to stockholders of companies that are not foreign private issuers.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Cayman Islands company and, because judicial precedent regarding the rights of shareholders is more limited under Cayman Islands law than under U.S. law, you may have less protection of your shareholder rights than you would under U.S. law.</w:t>
      </w:r>
    </w:p>
    <w:p>
      <w:pPr>
        <w:spacing w:after="0" w:line="159"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Our corporate affairs are governed by our second amended and restated memorandum and articles of association, the Cayman Islands Companies Law (as amended)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which has persuasive, but not binding, authority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less developed body of securities laws than the United States. In addition, some U.S. states, such as Delaware, have more fully developed and judicially interpreted bodies of corporate law than the Cayman Islands. Furthermore, Cayman Islands companies may not have standing to initiate a shareholder derivative action in a federal court of the United States. As a result, public shareholders may have more difficulties in protecting their interests in the face of actions taken by management, members of the board of directors or controlling shareholders than they would as shareholders of a Delaware company.</w:t>
      </w:r>
    </w:p>
    <w:p>
      <w:pPr>
        <w:sectPr>
          <w:pgSz w:w="11900" w:h="16866" w:orient="portrait"/>
          <w:cols w:equalWidth="0" w:num="1">
            <w:col w:w="11420"/>
          </w:cols>
          <w:pgMar w:left="240" w:top="121" w:right="239" w:bottom="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Judgments obtained against us by our shareholders may not be enforceable.</w:t>
      </w:r>
    </w:p>
    <w:p>
      <w:pPr>
        <w:sectPr>
          <w:pgSz w:w="11900" w:h="16866" w:orient="portrait"/>
          <w:cols w:equalWidth="0" w:num="1">
            <w:col w:w="11420"/>
          </w:cols>
          <w:pgMar w:left="240" w:top="121" w:right="239" w:bottom="0" w:gutter="0" w:footer="0" w:header="0"/>
          <w:type w:val="continuous"/>
        </w:sectPr>
      </w:pPr>
    </w:p>
    <w:bookmarkStart w:id="33" w:name="page34"/>
    <w:bookmarkEnd w:id="33"/>
    <w:p>
      <w:pPr>
        <w:spacing w:after="0" w:line="28"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We are a Cayman Islands company and substantially all of our assets are located outside of the United States. Substantially all of our current operations are conducted in the PRC. In addition, most of our directors and officers are nationals and residents of countries other than the United States. A substantial portion of the assets of these persons are located outside the United States. As a result, it may be difficult for you to effect service of process within the United States upon these persons. It may also be difficult for you to enforce in U.S. courts judgments obtained in U.S. courts based on the civil liability provisions of the U.S. federal securities laws against us and our officers and directors. Moreover, there is uncertainty as to whether the courts of the Cayman Islands or the PRC would recognize or enforce judgments of United States courts against us or such persons predicated upon the civil liability provisions of the securities laws of the United States or any state. In addition, there is uncertainty as to whether such Cayman Islands or PRC courts would be competent to hear original actions brought in the Cayman Islands or the PRC against us or such persons predicated upon the securities laws of the United States or any state.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ADSs must act through the depositary to exercise their rights as shareholders of our company.</w:t>
      </w:r>
    </w:p>
    <w:p>
      <w:pPr>
        <w:spacing w:after="0" w:line="229"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Holders of our ADSs do not have the same rights of our shareholders and may only exercise the voting rights with respect to the underlying ordinary shares in accordance with the provisions of the deposit agreement for the ADSs. Under our second amended and restated memorandum and articles of association, the minimum notice period required to convene a general meeting is 10 days. When a general meeting is convened, you may not receive sufficient notice of a shareholders’ meeting to permit you to withdraw your ordinary shares to allow you to cast your vote with respect to any specific matter. In addition, the depositary and its agents may not be able to send voting instructions to you or carry out your voting instructions in a timely manner. We will make all reasonable efforts to cause the depositary to extend voting rights to you in a timely manner, but we cannot assure you that you will receive the voting materials in time to ensure that you can instruct the depositary to vote your ADSs. Furthermore, the depositary and its agents will not be responsible for any failure to carry out any instructions to vote, for the manner in which any vote is cast or for the effect of any such vote. As a result, you may not be able to exercise your right to vote and you may lack recourse if your ADSs are not voted as you requested. In addition, in your capacity as an ADS holder, you will not be able to call a shareholders’ meeting.</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depositary for our ADSs will give us a discretionary proxy to vote our ordinary shares underlying your ADSs if you do not vote at shareholders’ meetings, except in limited circumstances, which could adversely affect your interests.</w:t>
      </w:r>
    </w:p>
    <w:p>
      <w:pPr>
        <w:spacing w:after="0" w:line="159" w:lineRule="exact"/>
        <w:rPr>
          <w:sz w:val="20"/>
          <w:szCs w:val="20"/>
          <w:color w:val="auto"/>
        </w:rPr>
      </w:pPr>
    </w:p>
    <w:p>
      <w:pPr>
        <w:ind w:right="520" w:firstLine="441"/>
        <w:spacing w:after="0" w:line="282" w:lineRule="auto"/>
        <w:rPr>
          <w:sz w:val="20"/>
          <w:szCs w:val="20"/>
          <w:color w:val="auto"/>
        </w:rPr>
      </w:pPr>
      <w:r>
        <w:rPr>
          <w:rFonts w:ascii="Times New Roman" w:cs="Times New Roman" w:eastAsia="Times New Roman" w:hAnsi="Times New Roman"/>
          <w:sz w:val="18"/>
          <w:szCs w:val="18"/>
          <w:color w:val="auto"/>
        </w:rPr>
        <w:t>Under the deposit agreement for the ADSs, the depositary will give us a discretionary proxy to vote our ordinary shares underlying your ADSs at shareholders’ meetings if you do not vote, unless:</w:t>
      </w:r>
    </w:p>
    <w:p>
      <w:pPr>
        <w:spacing w:after="0" w:line="162" w:lineRule="exact"/>
        <w:rPr>
          <w:sz w:val="20"/>
          <w:szCs w:val="20"/>
          <w:color w:val="auto"/>
        </w:rPr>
      </w:pPr>
    </w:p>
    <w:p>
      <w:pPr>
        <w:ind w:left="1080" w:hanging="307"/>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failed to timely provide the depositary with our notice of meeting and related voting materials;</w:t>
      </w:r>
    </w:p>
    <w:p>
      <w:pPr>
        <w:spacing w:after="0" w:line="225" w:lineRule="exact"/>
        <w:rPr>
          <w:rFonts w:ascii="Times New Roman" w:cs="Times New Roman" w:eastAsia="Times New Roman" w:hAnsi="Times New Roman"/>
          <w:sz w:val="18"/>
          <w:szCs w:val="18"/>
          <w:color w:val="auto"/>
        </w:rPr>
      </w:pPr>
    </w:p>
    <w:p>
      <w:pPr>
        <w:ind w:left="1080" w:hanging="307"/>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instructed the depositary that we do not wish a discretionary proxy to be given;</w:t>
      </w:r>
    </w:p>
    <w:p>
      <w:pPr>
        <w:spacing w:after="0" w:line="225" w:lineRule="exact"/>
        <w:rPr>
          <w:rFonts w:ascii="Times New Roman" w:cs="Times New Roman" w:eastAsia="Times New Roman" w:hAnsi="Times New Roman"/>
          <w:sz w:val="18"/>
          <w:szCs w:val="18"/>
          <w:color w:val="auto"/>
        </w:rPr>
      </w:pPr>
    </w:p>
    <w:p>
      <w:pPr>
        <w:ind w:left="1080" w:hanging="307"/>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informed the depositary that there is substantial opposition as to a matter to be voted on at the meeting; or</w:t>
      </w:r>
    </w:p>
    <w:p>
      <w:pPr>
        <w:spacing w:after="0" w:line="225" w:lineRule="exact"/>
        <w:rPr>
          <w:rFonts w:ascii="Times New Roman" w:cs="Times New Roman" w:eastAsia="Times New Roman" w:hAnsi="Times New Roman"/>
          <w:sz w:val="18"/>
          <w:szCs w:val="18"/>
          <w:color w:val="auto"/>
        </w:rPr>
      </w:pPr>
    </w:p>
    <w:p>
      <w:pPr>
        <w:ind w:left="1080" w:hanging="307"/>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matter to be voted on at the meeting would have a material adverse impact on shareholders.</w:t>
      </w:r>
    </w:p>
    <w:p>
      <w:pPr>
        <w:spacing w:after="0" w:line="225" w:lineRule="exact"/>
        <w:rPr>
          <w:sz w:val="20"/>
          <w:szCs w:val="20"/>
          <w:color w:val="auto"/>
        </w:rPr>
      </w:pPr>
    </w:p>
    <w:p>
      <w:pPr>
        <w:jc w:val="both"/>
        <w:ind w:right="440" w:firstLine="441"/>
        <w:spacing w:after="0" w:line="266" w:lineRule="auto"/>
        <w:rPr>
          <w:sz w:val="20"/>
          <w:szCs w:val="20"/>
          <w:color w:val="auto"/>
        </w:rPr>
      </w:pPr>
      <w:r>
        <w:rPr>
          <w:rFonts w:ascii="Times New Roman" w:cs="Times New Roman" w:eastAsia="Times New Roman" w:hAnsi="Times New Roman"/>
          <w:sz w:val="18"/>
          <w:szCs w:val="18"/>
          <w:color w:val="auto"/>
        </w:rPr>
        <w:t>The effect of this discretionary proxy is that you cannot prevent our ordinary shares underlying your ADSs from being voted, absent the situations described above, and it may make it more difficult for shareholders to influence the management of our company. Holders of our ordinary shares are not subject to this discretionary proxy.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transfers of your ADSs.</w:t>
      </w:r>
    </w:p>
    <w:p>
      <w:pPr>
        <w:spacing w:after="0" w:line="229"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right to participate in any future rights offerings may be limited, which may cause dilution to your holdings and you may not receive cash dividends or other distributions if it is impractical to make them available to you.</w:t>
      </w:r>
    </w:p>
    <w:p>
      <w:pPr>
        <w:spacing w:after="0" w:line="159" w:lineRule="exact"/>
        <w:rPr>
          <w:sz w:val="20"/>
          <w:szCs w:val="20"/>
          <w:color w:val="auto"/>
        </w:rPr>
      </w:pPr>
    </w:p>
    <w:p>
      <w:pPr>
        <w:ind w:right="60" w:firstLine="441"/>
        <w:spacing w:after="0" w:line="255"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our securities. However, we cannot make rights available to you in the United States unless we register the rights and the securities to which the rights relate under the Securities Act or an exemption from the registration requirements is available. Also, under the deposit agreement, the depositary will not make rights available to you unless either both the rights and any related securities are registered under the Securities Act, or the distribution of them to ADS holders is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you may be unable to participate in our rights offerings and may experience dilution in your holdings.</w:t>
      </w:r>
    </w:p>
    <w:p>
      <w:pPr>
        <w:spacing w:after="0" w:line="189"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In addition, the depositary has agreed to pay to you the cash dividends or other distributions it or the custodian receives on our ordinary shares or other deposited securities after deducting its fees and expenses. You will receive these distributions in proportion to the number of ordinary shares your ADSs represent. However, the depositary may, at its discretion, decide that it is impractical to make a distribution available to any holders of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and you will not receive any such distribution.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INFORMATION ON THE COMPANY</w:t>
      </w:r>
    </w:p>
    <w:p>
      <w:pPr>
        <w:sectPr>
          <w:pgSz w:w="11900" w:h="16866" w:orient="portrait"/>
          <w:cols w:equalWidth="0" w:num="1">
            <w:col w:w="11420"/>
          </w:cols>
          <w:pgMar w:left="240" w:top="337" w:right="239" w:bottom="0" w:gutter="0" w:footer="0" w:header="0"/>
        </w:sectPr>
      </w:pPr>
    </w:p>
    <w:bookmarkStart w:id="34" w:name="page35"/>
    <w:bookmarkEnd w:id="34"/>
    <w:p>
      <w:pPr>
        <w:ind w:left="1180" w:hanging="1172"/>
        <w:spacing w:after="0"/>
        <w:tabs>
          <w:tab w:leader="none" w:pos="11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History and Development of the Company</w:t>
      </w:r>
    </w:p>
    <w:p>
      <w:pPr>
        <w:spacing w:after="0" w:line="229" w:lineRule="exact"/>
        <w:rPr>
          <w:sz w:val="20"/>
          <w:szCs w:val="20"/>
          <w:color w:val="auto"/>
        </w:rPr>
      </w:pPr>
    </w:p>
    <w:p>
      <w:pPr>
        <w:ind w:right="320" w:firstLine="441"/>
        <w:spacing w:after="0" w:line="266" w:lineRule="auto"/>
        <w:rPr>
          <w:sz w:val="20"/>
          <w:szCs w:val="20"/>
          <w:color w:val="auto"/>
        </w:rPr>
      </w:pPr>
      <w:r>
        <w:rPr>
          <w:rFonts w:ascii="Times New Roman" w:cs="Times New Roman" w:eastAsia="Times New Roman" w:hAnsi="Times New Roman"/>
          <w:sz w:val="18"/>
          <w:szCs w:val="18"/>
          <w:color w:val="auto"/>
        </w:rPr>
        <w:t>Phoenix TV registered the domain name phoenixtv.com for its corporate website in 1998. Tianying Jiuzhou began operating this website after its establishment in April 2000. As part of the reorganization before its initial public offering, in September 1999, Phoenix TV incorporated Phoenix Satellite Television Information Limited in the British Virgin Islands to be the holding company of its new media business.</w:t>
      </w:r>
    </w:p>
    <w:p>
      <w:pPr>
        <w:spacing w:after="0" w:line="176"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In November 2005, Mr. Shuang Liu, a vice president of Phoenix TV, was appointed to lead Phoenix TV’s new media business. Upon his appointment, Mr. Liu began implementing his vision to transform the business from a mere corporate website of Phoenix TV into a new media company capitalizing on the future of new media convergence. Yifeng Lianhe was established in June 2006 to provide new media mobile services in China. In July 2007, Tianying Jiuzhou registered the domain name ifeng.com and redirected the traffic of phoenixtv.com and phoenixtv.com.cn to ifeng.com.</w:t>
      </w:r>
    </w:p>
    <w:p>
      <w:pPr>
        <w:spacing w:after="0" w:line="180"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On November 22, 2007, Phoenix New Media Limited, an exempted limited liability company, was incorporated in the Cayman Islands as a subsidiary of Phoenix TV to be the holding company for its new media business. In May 2008, Phoenix Satellite Television (B.V.I.) Holding Limited transferred the sole outstanding share of Phoenix Satellite Television Information Limited to us in exchange for 319,999,999 ordinary shares of our company.</w:t>
      </w:r>
    </w:p>
    <w:p>
      <w:pPr>
        <w:spacing w:after="0" w:line="176"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Fenghuang On-line was established in December 2005. On December 31, 2009, Fenghuang On-line entered into a series of contractual arrangements with each of our affiliated consolidated entities, Tianying Jiuzhou and Yifeng Lianhe, and their respective shareholders to govern our relationships with the affiliated consolidated entities, at which time we became operational in our current corporate structure. These contractual arrangements allow us to effectively control the affiliated consolidated entities and to derive substantially all of the economic benefits from them. See “—C. Organizational Structure — Contractual Arrangements with Our Affiliated Consolidated Entities.”</w:t>
      </w:r>
    </w:p>
    <w:p>
      <w:pPr>
        <w:spacing w:after="0" w:line="184"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On May 12, 2011, our ADSs began trading on the New York Stock Exchange under the ticker symbol “FENG.” We closed our initial public offering on May 17, 2011 and the underwriters subsequently exercised their over-allotment option on June 8, 2011. We issued and sold a total of 13,415,125 ADSs in these transactions, representing 107,321,000 Class A ordinary shares in the form of ADSs, raising US$137.2 million in proceeds to us before expenses but after underwriting discounts and commissions.</w:t>
      </w:r>
    </w:p>
    <w:p>
      <w:pPr>
        <w:spacing w:after="0" w:line="180"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Sinolight Plaza, Floor 16, No. 4 Qiyang Road, Wangjing, Chaoyang District, Beijing 100102, People’s Republic of China. Our telephone number at this address is +(86) 10 6067 6000. Our registered office in the Cayman Islands is located at the offices of Codan Trust Company (Cayman) Limited, Cricket Square, Hutchins Drive, P.O. Box 2681, Grand Cayman, KY1-1111, Cayman Islands. Our agent for service of process in the United States is Law Debenture Corporate Services Inc., located at 400 Madison Avenue, 4th Floor, New York, New York 20017.</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160" w:hanging="1152"/>
        <w:spacing w:after="0"/>
        <w:tabs>
          <w:tab w:leader="none" w:pos="11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We are a leading new media company providing premium content on an integrated Internet platform, including PC and mobile, in China. Having originated from a leading global Chinese language TV network based in Hong Kong, Phoenix TV, we enable consumers to access professional news and other quality information and UGC, on the Internet and through their PCs and mobile devices. We also transmit our UGC and in-house produced content to TV viewers primarily through Phoenix TV. Our PC channel includes major verticals such as news, military, finance, web-based games, and digital reading. Our mobile channel includes our mobile news applications, mobile video application, mobile Internet website (“WAP”), mobile digital reading application, and fashion application. We also act as a service provider for telecom operators, providing content and mobile value-added services. The appeal of our brand is enhanced by its affiliation with the “Phoenix” ( ) brand of Phoenix TV.</w:t>
      </w:r>
    </w:p>
    <w:p>
      <w:pPr>
        <w:spacing w:after="0" w:line="189" w:lineRule="exact"/>
        <w:rPr>
          <w:sz w:val="20"/>
          <w:szCs w:val="20"/>
          <w:color w:val="auto"/>
        </w:rPr>
      </w:pPr>
    </w:p>
    <w:p>
      <w:pPr>
        <w:ind w:right="140" w:firstLine="441"/>
        <w:spacing w:after="0" w:line="261" w:lineRule="auto"/>
        <w:rPr>
          <w:sz w:val="20"/>
          <w:szCs w:val="20"/>
          <w:color w:val="auto"/>
        </w:rPr>
      </w:pPr>
      <w:r>
        <w:rPr>
          <w:rFonts w:ascii="Times New Roman" w:cs="Times New Roman" w:eastAsia="Times New Roman" w:hAnsi="Times New Roman"/>
          <w:sz w:val="18"/>
          <w:szCs w:val="18"/>
          <w:color w:val="auto"/>
        </w:rPr>
        <w:t>According to iResearch, our number of PC daily unique visitors was 37.7 million, and number of monthly unique visitors was 274.1 million in December 2016. We have ranked third among all Internet portals in China in terms of daily unique visitors in December 2016, according to iResearch. According to our internal data, our aggregated mobile daily unique visitors from mobile website i.ifeng.com and mobile applications reached 35.0 million in December 2016. We earn revenues from advertising and paid services, which accounted for 85.3% and 14.7% of our total revenues, respectively, in 2016.</w:t>
      </w:r>
    </w:p>
    <w:p>
      <w:pPr>
        <w:spacing w:after="0" w:line="180"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Our net advertising revenues accounted for 72.7%, 76.2% and 85.3% of our total revenues in 2014, 2015 and 2016, respectively. We provide advertising services through PC channel and mobile channel, which accounted for 56.7% and 43.3% of our net advertising revenues respectively in 2016. We recognize revenues from our advertising services on a net basis, after deducting the agency service fees we pay to advertising agencies.</w:t>
      </w:r>
    </w:p>
    <w:p>
      <w:pPr>
        <w:spacing w:after="0" w:line="176" w:lineRule="exact"/>
        <w:rPr>
          <w:sz w:val="20"/>
          <w:szCs w:val="20"/>
          <w:color w:val="auto"/>
        </w:rPr>
      </w:pPr>
    </w:p>
    <w:p>
      <w:pPr>
        <w:ind w:right="120" w:firstLine="441"/>
        <w:spacing w:after="0" w:line="254" w:lineRule="auto"/>
        <w:rPr>
          <w:sz w:val="20"/>
          <w:szCs w:val="20"/>
          <w:color w:val="auto"/>
        </w:rPr>
      </w:pPr>
      <w:r>
        <w:rPr>
          <w:rFonts w:ascii="Times New Roman" w:cs="Times New Roman" w:eastAsia="Times New Roman" w:hAnsi="Times New Roman"/>
          <w:sz w:val="18"/>
          <w:szCs w:val="18"/>
          <w:color w:val="auto"/>
        </w:rPr>
        <w:t>We see mobile devices as the primary gateway for news and other media content consumption going forward. In recent years, we have taken steps to evolve our business and shift our revenue mix towards our mobile channels, which we believe have greater potential for sustainable growth over the long term, and which have demonstrated robust growth in recent quarters. Our mobile advertising revenues increased by 53.8% to RMB533.8 million (US$76.9 million) in 2016 from RMB347.1 million in 2015. As part of our mobile strategy, we invested in convertible redeemable preferred shares of Particle and accounted for the investments as available-for-sale investments. Particle operates Yidian, a personalized news and life-style information application in China that allows users to define and explore desired content on their mobile devices. By partnering with Yidian and by continuing to strengthen our core competencies of content production capability, dedication to serious journalism and cutting-edge technology, we believe that we will be better positioned to capitalize on emerging opportunities as increasing numbers of consumers in China use Internet-enabled mobile devices to consume news and other media content.</w:t>
      </w:r>
    </w:p>
    <w:p>
      <w:pPr>
        <w:spacing w:after="0" w:line="189" w:lineRule="exact"/>
        <w:rPr>
          <w:sz w:val="20"/>
          <w:szCs w:val="20"/>
          <w:color w:val="auto"/>
        </w:rPr>
      </w:pPr>
    </w:p>
    <w:p>
      <w:pPr>
        <w:ind w:right="100" w:firstLine="441"/>
        <w:spacing w:after="0" w:line="276" w:lineRule="auto"/>
        <w:rPr>
          <w:sz w:val="20"/>
          <w:szCs w:val="20"/>
          <w:color w:val="auto"/>
        </w:rPr>
      </w:pPr>
      <w:r>
        <w:rPr>
          <w:rFonts w:ascii="Times New Roman" w:cs="Times New Roman" w:eastAsia="Times New Roman" w:hAnsi="Times New Roman"/>
          <w:sz w:val="17"/>
          <w:szCs w:val="17"/>
          <w:color w:val="auto"/>
        </w:rPr>
        <w:t>We offer a wide variety of paid services primarily through our mobile channel and operations with the telecom operators. We classify our paid services into (i) digital entertainment, which includes mobile value-added services delivered through telecom operators’ platforms, or MVAS, and digital reading, and</w:t>
      </w:r>
    </w:p>
    <w:p>
      <w:pPr>
        <w:spacing w:after="0" w:line="1" w:lineRule="exact"/>
        <w:rPr>
          <w:sz w:val="20"/>
          <w:szCs w:val="20"/>
          <w:color w:val="auto"/>
        </w:rPr>
      </w:pPr>
    </w:p>
    <w:p>
      <w:pPr>
        <w:ind w:right="180" w:firstLine="8"/>
        <w:spacing w:after="0" w:line="252" w:lineRule="auto"/>
        <w:tabs>
          <w:tab w:leader="none" w:pos="2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games and others, which includes web-based games, mobile games, content sales, and other online and mobile paid services through our own platforms. Prior to 2016, our paid service revenues mainly comprised of the revenues generated from MVAS and games and others. Digital reading was previously classified under “games and others”. In order to align with our overall strategies, in 2016, digital reading was re-classified from “Games and others”, and digital reading together with MVAS was determined as “Digital entertainment”. We derived 74.6% and 25.4% of our paid services revenues, respectively, from our digital entertainment and games and others in 2016. Due to a decrease in revenues generated from MVAS, our paid services revenues decreased from RMB382.7 million in 2015 to RMB212.7 million (US$30.6 million) in 2016.</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333" w:right="239" w:bottom="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Relationship with Phoenix TV</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are a subsidiary of Phoenix TV, a leading Hong Kong-based satellite TV network broadcasting Chinese language content globally and into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Phoenix TV indirectly owned 55.5% of our ordinary shares and 61.8% of the voting power of our ordinary shares as of March 31, 2017.</w:t>
      </w:r>
    </w:p>
    <w:p>
      <w:pPr>
        <w:spacing w:after="0" w:line="207" w:lineRule="exact"/>
        <w:rPr>
          <w:sz w:val="20"/>
          <w:szCs w:val="20"/>
          <w:color w:val="auto"/>
        </w:rPr>
      </w:pPr>
    </w:p>
    <w:p>
      <w:pPr>
        <w:ind w:right="120" w:firstLine="441"/>
        <w:spacing w:after="0" w:line="253" w:lineRule="auto"/>
        <w:rPr>
          <w:sz w:val="20"/>
          <w:szCs w:val="20"/>
          <w:color w:val="auto"/>
        </w:rPr>
      </w:pPr>
      <w:r>
        <w:rPr>
          <w:rFonts w:ascii="Times New Roman" w:cs="Times New Roman" w:eastAsia="Times New Roman" w:hAnsi="Times New Roman"/>
          <w:sz w:val="18"/>
          <w:szCs w:val="18"/>
          <w:color w:val="auto"/>
        </w:rPr>
        <w:t>Fenghuang On-line and Phoenix TV entered into a cooperation agreement, or the Phoenix TV Cooperation Agreement, on November 24, 2009, which expired on May 27, 2016. Under this agreement, Fenghuang On-line and Phoenix TV agreed to certain cooperative arrangements in the areas of content, branding promotion and technology. Pursuant to the Phoenix TV Cooperation Agreement, in November 2009 each of our affiliated consolidated entities entered into a program content license agreement, or Content License Agreement, with Phoenix Satellite Television Company Limited and a trademark license agreement, or Trademark License Agreement, with Phoenix Satellite Television Trademark Limited. Considering the significant growth and changes in our business since execution of these agreements in 2009, we and Phoenix TV Group entered into a new set of agreements in May 2016, or the New Agreements, to amend and replace the previous agreements and provide the terms of our continued cooperation. The New Agreements include Program Resource License Agreements and Program Text/Graphics Resource License Agreements, or the Program License Agreements, between Phoenix Satellite Television Company Limited and each of Tianying Jiuzhou, Yifeng Lianhe, and another subsidiary of us, and a Third Supplemental Agreement to the Trademark License Agreement by and among Phoenix Satellite Television Trademark Limited and both Tianying Jiuzhou and Yifeng Lianhe. Unlike the previous agreements, the New Agreements do not grant us the right to sublicense Phoenix TV Group’s copyrighted content to third parties. While we are in the process of negotiating with Phoenix TV Group to potentially re-acquire such right of sublicense, we cannot assure you that we will be able to re-acquire such right at reasonable costs or at all.</w:t>
      </w:r>
    </w:p>
    <w:p>
      <w:pPr>
        <w:spacing w:after="0" w:line="189"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We have a mutually beneficial relationship with Phoenix TV. We and Phoenix TV share a common vision of the convergence of traditional and new media channels, and work together to realize this vision. While we furnish Phoenix TV with access to our new media delivery channels, Phoenix TV enables us to display our proprietary content on its TV programs. Pursuant to the Program License Agreements, Phoenix TV Group agreed to grant our affiliated consolidated entities and another subsidiary of us the license with priority over any third party to broadcast Phoenix TV Group’s copyrighted video content from three television channels of Phoenix TV Group on ifeng.com (our main Internet channel), i.ifeng.com (a mobile Internet channel of ours), and ifeng News, ifeng Video and ifeng VIP (three mobile applications of ours) in China (excluding Hong Kong, Macau and Taiwan) concurrently with such content broadcasted on the three television channels of Phoenix TV Group. Phoenix TV Group also agreed to grant our affiliated consolidated entities and another subsidiary of us a non-exclusive license to use Phoenix TV Group’s copyrighted text and graphics on the same Internet and mobile channels of ours in China for which Phoenix TV Group’s copyrighted video content license, above, was granted. These licenses help to distinguish our content offerings from those of other Internet and new media companies in China. We believe that our and Phoenix TV’s active promotion of one another’s brands on our respective Internet-enabled and TV platforms helps to grow our combined audience synergistically.</w:t>
      </w:r>
    </w:p>
    <w:p>
      <w:pPr>
        <w:spacing w:after="0" w:line="193"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On February 17, 2014, our Chief Executive Officer, Mr. Shuang Liu, was also promoted to the position of chief operating officer of Phoenix TV. The key initiative for his new position at Phoenix TV is to accelerate the convergence of TV, Internet and mobile platforms of the two companies. In his new role, Mr. Liu is tasked with strategizing, overseeing and allocating resources to implement this convergence strategy. Through this appointment, both companies can more seamlessly expand user reach on each of its media platforms, provide advertisers a one-stop shop solution, more effectively monetize the Phoenix brand across all verticals, and achieve greater cost synergies.</w:t>
      </w:r>
    </w:p>
    <w:p>
      <w:pPr>
        <w:spacing w:after="0" w:line="184"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For more information about the terms of each of the New Agreements, see “—C. Organizational Structure—Our Relationship with Phoenix TV.” For more information about the risks associated with our relationship with Phoenix TV, see “Item 3. Key Information—D. Risk Factors—Risks Relating to Our Business and Industry—We may not be able to continue to receive the same level of support from Phoenix TV Group in the future. We could lose our license and priority over any third party to broadcast Phoenix TV Group’s content, which would have an adverse effect on our paid services business, and would also negatively affect our video advertising business. Together, these impacts could have an adverse effect on our business and operating results” and “Item 3. Key Information—D. Risk Factors—Risks Relating to Our Corporate Structure—We may have conflicts of interest with Phoenix TV and, because of Phoenix TV’s controlling beneficial ownership interest in our company, may not be able to resolve such conflicts on terms favorable for us.”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Content</w:t>
      </w:r>
    </w:p>
    <w:p>
      <w:pPr>
        <w:spacing w:after="0" w:line="229"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We strive to deliver the most up-to-date, in-depth, exclusive and thought-provoking content to our users. Content selection, editing and production are core focuses of our business. We obtain our content from four sources: third-party professional media companies, Phoenix TV, our in-house production, we-media accounts and UGC. The content we acquire covers a wide spectrum of user-targeted subjects, including news, current affairs, finance, technology, automobiles, fashion and entertainment, among others. We believe that we have provided the earliest video and text media coverage among Chinese media companies of certain major world events. We are uniquely positioned among our peers in China to be able to distribute our content on TV. We feed a substantial amount of in-house produced content and UGC to a number of Phoenix TV’s regular prime-time programs each day. We also provide our in-house produced content to domestic TV networks, such as Liaoning Satellite TV.</w:t>
      </w:r>
    </w:p>
    <w:p>
      <w:pPr>
        <w:spacing w:after="0" w:line="187" w:lineRule="exact"/>
        <w:rPr>
          <w:sz w:val="20"/>
          <w:szCs w:val="20"/>
          <w:color w:val="auto"/>
        </w:rPr>
      </w:pPr>
    </w:p>
    <w:p>
      <w:pPr>
        <w:ind w:right="140"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Third-Party Professional Content</w:t>
      </w:r>
      <w:r>
        <w:rPr>
          <w:rFonts w:ascii="Times New Roman" w:cs="Times New Roman" w:eastAsia="Times New Roman" w:hAnsi="Times New Roman"/>
          <w:sz w:val="18"/>
          <w:szCs w:val="18"/>
          <w:color w:val="auto"/>
        </w:rPr>
        <w:t>. We have entered into content licensing agreements with approximately 700 professional content providers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We obtain our print content from major Chinese print media and news wires and selected international sources. Our Chinese content sources include companies such as China News Service, Xinhua News Agency and the People’s Daily, as well as China’s top ten image providers. Our international sources include Reuters, The Associated Press and Agence France Presse, among others. The video content we source from third parties is primarily comprised of news and documentaries, which cater to our users’ preferences. We obtain our third-party video content from major Chinese television broadcasters, such as CCTV, Beijing Satellite TV and Shenzhen Satellite TV. The content that we source from professional third parties comprises the majority of the content on our website.</w:t>
      </w:r>
    </w:p>
    <w:p>
      <w:pPr>
        <w:spacing w:after="0" w:line="183" w:lineRule="exact"/>
        <w:rPr>
          <w:sz w:val="20"/>
          <w:szCs w:val="20"/>
          <w:color w:val="auto"/>
        </w:rPr>
      </w:pPr>
    </w:p>
    <w:p>
      <w:pPr>
        <w:jc w:val="both"/>
        <w:ind w:right="40"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Phoenix TV Content</w:t>
      </w:r>
      <w:r>
        <w:rPr>
          <w:rFonts w:ascii="Times New Roman" w:cs="Times New Roman" w:eastAsia="Times New Roman" w:hAnsi="Times New Roman"/>
          <w:sz w:val="18"/>
          <w:szCs w:val="18"/>
          <w:color w:val="auto"/>
        </w:rPr>
        <w:t>. Phoenix Satellite Television Company Limited, a wholly owned subsidiary of Phoenix TV, has granted Tianying Jiuzhou, Yifeng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Lianhe and another subsidiary of us the license with priority over any third party effective until May 26, 2019 to broadcast Phoenix TV Group’s copyrighted video content from three television channels of Phoenix TV Group on ifeng.com (our main Internet channel), i.ifeng.com (a mobile Internet channel of ours), and ifeng News, ifeng Video and ifeng VIP (three mobile applications of ours) in China (excluding Hong Kong, Macau and Taiwan) concurrently with such</w:t>
      </w:r>
    </w:p>
    <w:p>
      <w:pPr>
        <w:sectPr>
          <w:pgSz w:w="11900" w:h="16838" w:orient="portrait"/>
          <w:cols w:equalWidth="0" w:num="1">
            <w:col w:w="11380"/>
          </w:cols>
          <w:pgMar w:left="240" w:top="513" w:right="279" w:bottom="0" w:gutter="0" w:footer="0" w:header="0"/>
        </w:sectPr>
      </w:pPr>
    </w:p>
    <w:bookmarkStart w:id="36" w:name="page37"/>
    <w:bookmarkEnd w:id="36"/>
    <w:p>
      <w:pPr>
        <w:ind w:right="160"/>
        <w:spacing w:after="0" w:line="258" w:lineRule="auto"/>
        <w:rPr>
          <w:sz w:val="20"/>
          <w:szCs w:val="20"/>
          <w:color w:val="auto"/>
        </w:rPr>
      </w:pPr>
      <w:r>
        <w:rPr>
          <w:rFonts w:ascii="Times New Roman" w:cs="Times New Roman" w:eastAsia="Times New Roman" w:hAnsi="Times New Roman"/>
          <w:sz w:val="18"/>
          <w:szCs w:val="18"/>
          <w:color w:val="auto"/>
        </w:rPr>
        <w:t>content broadcasted on the three television channels of Phoenix TV Group, pursuant to the Program License Agreements. Since Phoenix TV’s satellite landing rights in China, outside of Guangdong Province, are limited to international residences and hotels, our integrated platform provides a convenient alternative means for people in China to view Phoenix TV’s programs. We offer live streaming broadcasts of the Phoenix Chinese Channel, the Phoenix InfoNews Channel and the Phoenix Hong Kong Channel on ifeng.com, and deliver updated clips from a broad range of Phoenix TV’s programs on both our Internet and mobile channels. We are also able to leverage Phoenix Satellite’s global media resources, particularly for our news and finance channels.</w:t>
      </w:r>
    </w:p>
    <w:p>
      <w:pPr>
        <w:spacing w:after="0" w:line="182" w:lineRule="exact"/>
        <w:rPr>
          <w:sz w:val="20"/>
          <w:szCs w:val="20"/>
          <w:color w:val="auto"/>
        </w:rPr>
      </w:pPr>
    </w:p>
    <w:p>
      <w:pPr>
        <w:ind w:right="180"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In-house Produced Content</w:t>
      </w:r>
      <w:r>
        <w:rPr>
          <w:rFonts w:ascii="Times New Roman" w:cs="Times New Roman" w:eastAsia="Times New Roman" w:hAnsi="Times New Roman"/>
          <w:sz w:val="18"/>
          <w:szCs w:val="18"/>
          <w:color w:val="auto"/>
        </w:rPr>
        <w:t>. We produce investigative reports, exclusive video programs and event-based coverage in-house. We frequently conduct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interviews with government officials, thought leaders, celebrities and other compelling public figures and we have provided coverage on hundreds of conferences and forums. We transmit a considerable amount of our in-house produced content to Phoenix TV on a frequent basis and to certain Chinese TV networks from time to time.</w:t>
      </w:r>
    </w:p>
    <w:p>
      <w:pPr>
        <w:spacing w:after="0" w:line="180" w:lineRule="exact"/>
        <w:rPr>
          <w:sz w:val="20"/>
          <w:szCs w:val="20"/>
          <w:color w:val="auto"/>
        </w:rPr>
      </w:pPr>
    </w:p>
    <w:p>
      <w:pPr>
        <w:ind w:right="10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We-media Content</w:t>
      </w:r>
      <w:r>
        <w:rPr>
          <w:rFonts w:ascii="Times New Roman" w:cs="Times New Roman" w:eastAsia="Times New Roman" w:hAnsi="Times New Roman"/>
          <w:sz w:val="18"/>
          <w:szCs w:val="18"/>
          <w:color w:val="auto"/>
        </w:rPr>
        <w:t>. We-media content covers various verticals in the form of text, photos, videos, etc., adding an important complementary component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content we deliver. We obtain content from over 200,000 we-media accounts, including content from top public intellectual, commentators, scholars, key opinion leaders, or KOLs, professors, etc.</w:t>
      </w:r>
    </w:p>
    <w:p>
      <w:pPr>
        <w:spacing w:after="0" w:line="174" w:lineRule="exact"/>
        <w:rPr>
          <w:sz w:val="20"/>
          <w:szCs w:val="20"/>
          <w:color w:val="auto"/>
        </w:rPr>
      </w:pPr>
    </w:p>
    <w:p>
      <w:pPr>
        <w:ind w:right="220"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UGC</w:t>
      </w:r>
      <w:r>
        <w:rPr>
          <w:rFonts w:ascii="Times New Roman" w:cs="Times New Roman" w:eastAsia="Times New Roman" w:hAnsi="Times New Roman"/>
          <w:sz w:val="18"/>
          <w:szCs w:val="18"/>
          <w:color w:val="auto"/>
        </w:rPr>
        <w:t>. UGC adds an important interactive component to the content we deliver. We generate text UGC through our comment-posting and user survey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We feed UGC from our comment-posting and surveys to Phoenix TV on a number of its regular TV programs.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Editing and Production</w:t>
      </w:r>
    </w:p>
    <w:p>
      <w:pPr>
        <w:spacing w:after="0" w:line="229" w:lineRule="exact"/>
        <w:rPr>
          <w:sz w:val="20"/>
          <w:szCs w:val="20"/>
          <w:color w:val="auto"/>
        </w:rPr>
      </w:pPr>
    </w:p>
    <w:p>
      <w:pPr>
        <w:ind w:right="240" w:firstLine="441"/>
        <w:spacing w:after="0" w:line="256" w:lineRule="auto"/>
        <w:rPr>
          <w:sz w:val="20"/>
          <w:szCs w:val="20"/>
          <w:color w:val="auto"/>
        </w:rPr>
      </w:pPr>
      <w:r>
        <w:rPr>
          <w:rFonts w:ascii="Times New Roman" w:cs="Times New Roman" w:eastAsia="Times New Roman" w:hAnsi="Times New Roman"/>
          <w:sz w:val="18"/>
          <w:szCs w:val="18"/>
          <w:color w:val="auto"/>
        </w:rPr>
        <w:t>Content editing and production are critical components of our content production process. We had a team of 480 editors as of December 31, 2016 organized generally by interest-based vertical. We believe that we possess a strong ability to select and distill compelling news stories and frame issues for our users in a distinctive way. Beyond distributing a large amount of news and information in a timely fashion, we provide independent social commentary and analyses. We edit our videos, primarily consisting of news, documentaries and interviews, into short clips. We organize our content by interest-based vertical and segment it further by featured topic. We actively combine text, image and video content and integrate interactive UGC, aimed at producing an engaging user experience.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Monitoring</w:t>
      </w:r>
    </w:p>
    <w:p>
      <w:pPr>
        <w:spacing w:after="0" w:line="229"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We implement monitoring procedures to remove inappropriate or illegal content, including UGC from our discussion forum, comments postings and user survey services. Our content screening team consists of 36 full-time editors and more than 100 outsourced staff members who are responsible for monitoring and preventing the public release of inappropriate illegal content. Text and images are screened by our content screening team, which reviews the content on a 24-hour, 3-shift basis and employs monitoring procedures, including (i) technology screening, where a text filtering system screens content based on pre-set key words and identifies suspected information; and (ii) manual review, where the content that passes the technology screening is reviewed by the content screening team and the flagged content identified by our technology is reviewed and confirmed before it can be released. For technology screening, we use an in-house developed identification system which enables us to filter UGC in order to comply with PRC regulatory requirements regarding Internet content.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Channels</w:t>
      </w:r>
    </w:p>
    <w:p>
      <w:pPr>
        <w:spacing w:after="0" w:line="229" w:lineRule="exact"/>
        <w:rPr>
          <w:sz w:val="20"/>
          <w:szCs w:val="20"/>
          <w:color w:val="auto"/>
        </w:rPr>
      </w:pPr>
    </w:p>
    <w:p>
      <w:pPr>
        <w:jc w:val="both"/>
        <w:ind w:right="60" w:firstLine="441"/>
        <w:spacing w:after="0" w:line="258" w:lineRule="auto"/>
        <w:rPr>
          <w:sz w:val="20"/>
          <w:szCs w:val="20"/>
          <w:color w:val="auto"/>
        </w:rPr>
      </w:pPr>
      <w:r>
        <w:rPr>
          <w:rFonts w:ascii="Times New Roman" w:cs="Times New Roman" w:eastAsia="Times New Roman" w:hAnsi="Times New Roman"/>
          <w:sz w:val="18"/>
          <w:szCs w:val="18"/>
          <w:color w:val="auto"/>
        </w:rPr>
        <w:t>We provide our content and services through three major channels, including our PC channel, our mobile channel, and our operations with the telecom operators. We also transmit our content to TV viewers, primarily through Phoenix TV. Together, these channels form a single converged platform providing integrated text, image and video content, and employing a variety of interactive formats to create a rich, personalized and hands-on experience for our users. We derive advertising revenues through our PC channel and mobile channel. We generate paid services revenues through mobile channel and operations with the telecom operators.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PC Channel</w:t>
      </w:r>
    </w:p>
    <w:p>
      <w:pPr>
        <w:spacing w:after="0" w:line="229"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Our PC channel consists of our website at ifeng.com, which comprises our interest-based verticals and interactive services. According to iResearch, our number of PC daily unique visitors was 37.7 million, and number of monthly unique visitors was 274.1 million in December 2016. We have ranked third among all Internet portals in China in terms of daily unique visitors in December 2016.</w:t>
      </w:r>
    </w:p>
    <w:p>
      <w:pPr>
        <w:spacing w:after="0" w:line="174" w:lineRule="exact"/>
        <w:rPr>
          <w:sz w:val="20"/>
          <w:szCs w:val="20"/>
          <w:color w:val="auto"/>
        </w:rPr>
      </w:pPr>
    </w:p>
    <w:p>
      <w:pPr>
        <w:ind w:right="140"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Interest-based Verticals</w:t>
      </w:r>
      <w:r>
        <w:rPr>
          <w:rFonts w:ascii="Times New Roman" w:cs="Times New Roman" w:eastAsia="Times New Roman" w:hAnsi="Times New Roman"/>
          <w:sz w:val="18"/>
          <w:szCs w:val="18"/>
          <w:color w:val="auto"/>
        </w:rPr>
        <w:t>. We currently provide over 40 interest-based verticals, each of which features integrated text, image and video content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embedded interactive services, such as user surveys and comment postings. Since ifeng.com is one of multiple access points to our converged platform, our users can also access a significant portion of our interest-based verticals’ content through our mobile channel and operations with the telecom operators, and can view in-house produced content and UGC created on these verticals on Phoenix TV’s regular programs. Our most popular verticals include:</w:t>
      </w:r>
    </w:p>
    <w:p>
      <w:pPr>
        <w:spacing w:after="0" w:line="180" w:lineRule="exact"/>
        <w:rPr>
          <w:sz w:val="20"/>
          <w:szCs w:val="20"/>
          <w:color w:val="auto"/>
        </w:rPr>
      </w:pPr>
    </w:p>
    <w:p>
      <w:pPr>
        <w:ind w:left="1100" w:right="220" w:hanging="328"/>
        <w:spacing w:after="0" w:line="261" w:lineRule="auto"/>
        <w:tabs>
          <w:tab w:leader="none" w:pos="109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News</w:t>
      </w:r>
      <w:r>
        <w:rPr>
          <w:rFonts w:ascii="Times New Roman" w:cs="Times New Roman" w:eastAsia="Times New Roman" w:hAnsi="Times New Roman"/>
          <w:sz w:val="18"/>
          <w:szCs w:val="18"/>
          <w:color w:val="auto"/>
        </w:rPr>
        <w:t>. Through our news vertical, ifeng News, users have easy access to breaking news coverage from multiple sources and points of view.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news vertical also features a large amount of in-depth special reports and embedded interactive services. For our special reports, we not only have dedicated teams deliver in-depth analysis and reports, but also integrated user surveys and comment postings into the featured website, which are often was transmitted to and displayed on Phoenix TV.</w:t>
      </w:r>
    </w:p>
    <w:p>
      <w:pPr>
        <w:spacing w:after="0" w:line="180" w:lineRule="exact"/>
        <w:rPr>
          <w:rFonts w:ascii="Times New Roman" w:cs="Times New Roman" w:eastAsia="Times New Roman" w:hAnsi="Times New Roman"/>
          <w:sz w:val="18"/>
          <w:szCs w:val="18"/>
          <w:color w:val="auto"/>
        </w:rPr>
      </w:pPr>
    </w:p>
    <w:p>
      <w:pPr>
        <w:ind w:left="1100" w:right="20" w:hanging="328"/>
        <w:spacing w:after="0" w:line="261" w:lineRule="auto"/>
        <w:tabs>
          <w:tab w:leader="none" w:pos="109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Finance</w:t>
      </w:r>
      <w:r>
        <w:rPr>
          <w:rFonts w:ascii="Times New Roman" w:cs="Times New Roman" w:eastAsia="Times New Roman" w:hAnsi="Times New Roman"/>
          <w:sz w:val="18"/>
          <w:szCs w:val="18"/>
          <w:color w:val="auto"/>
        </w:rPr>
        <w:t>. Our finance vertical, ifeng Finance, provides up-to-date information about financial news, securities and personal finance.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formed relationships with individual industry leaders who contribute to our in-depth reports and discussions we feature on our finance vertical. We also obtain independent finance content from Phoenix TV. Our finance vertical also offers stock quotes from the major exchanges, as well as breaking news from individual listed companies.</w:t>
      </w:r>
    </w:p>
    <w:p>
      <w:pPr>
        <w:spacing w:after="0" w:line="180" w:lineRule="exact"/>
        <w:rPr>
          <w:rFonts w:ascii="Times New Roman" w:cs="Times New Roman" w:eastAsia="Times New Roman" w:hAnsi="Times New Roman"/>
          <w:sz w:val="18"/>
          <w:szCs w:val="18"/>
          <w:color w:val="auto"/>
        </w:rPr>
      </w:pPr>
    </w:p>
    <w:p>
      <w:pPr>
        <w:ind w:left="1100" w:right="20" w:hanging="328"/>
        <w:spacing w:after="0" w:line="290" w:lineRule="auto"/>
        <w:tabs>
          <w:tab w:leader="none" w:pos="1091"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Fashion</w:t>
      </w:r>
      <w:r>
        <w:rPr>
          <w:rFonts w:ascii="Times New Roman" w:cs="Times New Roman" w:eastAsia="Times New Roman" w:hAnsi="Times New Roman"/>
          <w:sz w:val="17"/>
          <w:szCs w:val="17"/>
          <w:color w:val="auto"/>
        </w:rPr>
        <w:t>. Our fashion vertical provides coverage on fashion, beauty, weight loss, luxury goods, travel, furniture, art and other popular topics,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all centered on the theme of refined lifestyle. It offers information on international fashion trends and new fashion concepts. Our fashion vertical covers a variety of luxury topics, including wines, cigars, high-end brand apparel and accessories, as well as services aimed at the high</w:t>
      </w:r>
    </w:p>
    <w:p>
      <w:pPr>
        <w:sectPr>
          <w:pgSz w:w="11900" w:h="16838" w:orient="portrait"/>
          <w:cols w:equalWidth="0" w:num="1">
            <w:col w:w="11400"/>
          </w:cols>
          <w:pgMar w:left="240" w:top="121" w:right="259" w:bottom="0" w:gutter="0" w:footer="0" w:header="0"/>
        </w:sectPr>
      </w:pPr>
    </w:p>
    <w:bookmarkStart w:id="37" w:name="page38"/>
    <w:bookmarkEnd w:id="37"/>
    <w:p>
      <w:pPr>
        <w:ind w:left="1100"/>
        <w:spacing w:after="0"/>
        <w:rPr>
          <w:sz w:val="20"/>
          <w:szCs w:val="20"/>
          <w:color w:val="auto"/>
        </w:rPr>
      </w:pPr>
      <w:r>
        <w:rPr>
          <w:rFonts w:ascii="Times New Roman" w:cs="Times New Roman" w:eastAsia="Times New Roman" w:hAnsi="Times New Roman"/>
          <w:sz w:val="18"/>
          <w:szCs w:val="18"/>
          <w:color w:val="auto"/>
        </w:rPr>
        <w:t>net worth population. It also provides real-time coverage of major world fashion events, bringing users the latest information on styles and</w:t>
      </w:r>
    </w:p>
    <w:p>
      <w:pPr>
        <w:spacing w:after="0" w:line="27" w:lineRule="exact"/>
        <w:rPr>
          <w:sz w:val="20"/>
          <w:szCs w:val="20"/>
          <w:color w:val="auto"/>
        </w:rPr>
      </w:pPr>
    </w:p>
    <w:p>
      <w:pPr>
        <w:ind w:left="1100"/>
        <w:spacing w:after="0"/>
        <w:tabs>
          <w:tab w:leader="none" w:pos="8820" w:val="left"/>
        </w:tabs>
        <w:rPr>
          <w:sz w:val="20"/>
          <w:szCs w:val="20"/>
          <w:color w:val="auto"/>
        </w:rPr>
      </w:pPr>
      <w:r>
        <w:rPr>
          <w:rFonts w:ascii="Times New Roman" w:cs="Times New Roman" w:eastAsia="Times New Roman" w:hAnsi="Times New Roman"/>
          <w:sz w:val="18"/>
          <w:szCs w:val="18"/>
          <w:color w:val="auto"/>
        </w:rPr>
        <w:t>trends. Our fashion vertical also contributes we-media content to Phoenix TV’s “Trendy Guide” (“</w:t>
      </w:r>
      <w:r>
        <w:rPr>
          <w:sz w:val="20"/>
          <w:szCs w:val="20"/>
          <w:color w:val="auto"/>
        </w:rPr>
        <w:tab/>
      </w:r>
      <w:r>
        <w:rPr>
          <w:rFonts w:ascii="Times New Roman" w:cs="Times New Roman" w:eastAsia="Times New Roman" w:hAnsi="Times New Roman"/>
          <w:sz w:val="17"/>
          <w:szCs w:val="17"/>
          <w:color w:val="auto"/>
        </w:rPr>
        <w:t>”) TV program.</w:t>
      </w:r>
    </w:p>
    <w:p>
      <w:pPr>
        <w:spacing w:after="0" w:line="205" w:lineRule="exact"/>
        <w:rPr>
          <w:sz w:val="20"/>
          <w:szCs w:val="20"/>
          <w:color w:val="auto"/>
        </w:rPr>
      </w:pPr>
    </w:p>
    <w:p>
      <w:pPr>
        <w:ind w:left="1100" w:right="100" w:hanging="328"/>
        <w:spacing w:after="0" w:line="261" w:lineRule="auto"/>
        <w:tabs>
          <w:tab w:leader="none" w:pos="109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Entertainment</w:t>
      </w:r>
      <w:r>
        <w:rPr>
          <w:rFonts w:ascii="Times New Roman" w:cs="Times New Roman" w:eastAsia="Times New Roman" w:hAnsi="Times New Roman"/>
          <w:sz w:val="18"/>
          <w:szCs w:val="18"/>
          <w:color w:val="auto"/>
        </w:rPr>
        <w:t>. Our entertainment vertical spans greater China and strives to cover entertainment news and developments in China, Hong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Kong, Taiwan and globally among the Chinese community. This vertical provides broad coverage of the latest entertainment news, including dining, movies, television programs, plays, operas, as well as popular and classical music. It features our in-house produced video program of candid celebrity interviews.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1100" w:right="580" w:hanging="328"/>
        <w:spacing w:after="0" w:line="284" w:lineRule="auto"/>
        <w:tabs>
          <w:tab w:leader="none" w:pos="109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Automobiles</w:t>
      </w:r>
      <w:r>
        <w:rPr>
          <w:rFonts w:ascii="Times New Roman" w:cs="Times New Roman" w:eastAsia="Times New Roman" w:hAnsi="Times New Roman"/>
          <w:sz w:val="18"/>
          <w:szCs w:val="18"/>
          <w:color w:val="auto"/>
        </w:rPr>
        <w:t>. Our automobiles vertical, ifeng Auto, offers the latest automobile-related news and information to provide car buyers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automobile enthusiasts with the most current information on automotive pricing, reviews and featured guides.</w:t>
      </w:r>
    </w:p>
    <w:p>
      <w:pPr>
        <w:spacing w:after="0" w:line="158" w:lineRule="exact"/>
        <w:rPr>
          <w:sz w:val="20"/>
          <w:szCs w:val="20"/>
          <w:color w:val="auto"/>
        </w:rPr>
      </w:pPr>
    </w:p>
    <w:p>
      <w:pPr>
        <w:ind w:left="780"/>
        <w:spacing w:after="0"/>
        <w:tabs>
          <w:tab w:leader="none" w:pos="1060" w:val="left"/>
          <w:tab w:leader="none" w:pos="60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i w:val="1"/>
          <w:iCs w:val="1"/>
          <w:color w:val="auto"/>
        </w:rPr>
        <w:t>Live Broadcasting</w:t>
      </w:r>
      <w:r>
        <w:rPr>
          <w:rFonts w:ascii="Times New Roman" w:cs="Times New Roman" w:eastAsia="Times New Roman" w:hAnsi="Times New Roman"/>
          <w:sz w:val="18"/>
          <w:szCs w:val="18"/>
          <w:color w:val="auto"/>
        </w:rPr>
        <w:t>. Our live broadcasting vertical, FENG Live (“</w:t>
      </w:r>
      <w:r>
        <w:rPr>
          <w:sz w:val="20"/>
          <w:szCs w:val="20"/>
          <w:color w:val="auto"/>
        </w:rPr>
        <w:tab/>
      </w:r>
      <w:r>
        <w:rPr>
          <w:rFonts w:ascii="Times New Roman" w:cs="Times New Roman" w:eastAsia="Times New Roman" w:hAnsi="Times New Roman"/>
          <w:sz w:val="18"/>
          <w:szCs w:val="18"/>
          <w:color w:val="auto"/>
        </w:rPr>
        <w:t>”), offers live broadcasting news and information to provide real-time</w:t>
      </w:r>
    </w:p>
    <w:p>
      <w:pPr>
        <w:spacing w:after="0" w:line="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professional reports of hit events, conferences and etc.</w:t>
      </w:r>
    </w:p>
    <w:p>
      <w:pPr>
        <w:spacing w:after="0" w:line="205" w:lineRule="exact"/>
        <w:rPr>
          <w:sz w:val="20"/>
          <w:szCs w:val="20"/>
          <w:color w:val="auto"/>
        </w:rPr>
      </w:pPr>
    </w:p>
    <w:p>
      <w:pPr>
        <w:ind w:left="780"/>
        <w:spacing w:after="0"/>
        <w:tabs>
          <w:tab w:leader="none" w:pos="1060" w:val="left"/>
          <w:tab w:leader="none" w:pos="52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i w:val="1"/>
          <w:iCs w:val="1"/>
          <w:color w:val="auto"/>
        </w:rPr>
        <w:t xml:space="preserve">We-media. </w:t>
      </w:r>
      <w:r>
        <w:rPr>
          <w:rFonts w:ascii="Times New Roman" w:cs="Times New Roman" w:eastAsia="Times New Roman" w:hAnsi="Times New Roman"/>
          <w:sz w:val="18"/>
          <w:szCs w:val="18"/>
          <w:color w:val="auto"/>
        </w:rPr>
        <w:t>Our we-media vertical, Fenghuanghao, (“</w:t>
      </w:r>
      <w:r>
        <w:rPr>
          <w:sz w:val="20"/>
          <w:szCs w:val="20"/>
          <w:color w:val="auto"/>
        </w:rPr>
        <w:tab/>
      </w:r>
      <w:r>
        <w:rPr>
          <w:rFonts w:ascii="Times New Roman" w:cs="Times New Roman" w:eastAsia="Times New Roman" w:hAnsi="Times New Roman"/>
          <w:sz w:val="17"/>
          <w:szCs w:val="17"/>
          <w:color w:val="auto"/>
        </w:rPr>
        <w:t>”) offers various we-media content which produced by over 100,000 we-media</w:t>
      </w:r>
    </w:p>
    <w:p>
      <w:pPr>
        <w:spacing w:after="0" w:line="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outlets, public intellectual, commentators, scholars, KOLS, professors, etc.</w:t>
      </w:r>
    </w:p>
    <w:p>
      <w:pPr>
        <w:spacing w:after="0" w:line="205" w:lineRule="exact"/>
        <w:rPr>
          <w:sz w:val="20"/>
          <w:szCs w:val="20"/>
          <w:color w:val="auto"/>
        </w:rPr>
      </w:pPr>
    </w:p>
    <w:p>
      <w:pPr>
        <w:ind w:left="1100" w:right="80" w:hanging="328"/>
        <w:spacing w:after="0" w:line="277" w:lineRule="auto"/>
        <w:tabs>
          <w:tab w:leader="none" w:pos="1091"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Military affairs</w:t>
      </w:r>
      <w:r>
        <w:rPr>
          <w:rFonts w:ascii="Times New Roman" w:cs="Times New Roman" w:eastAsia="Times New Roman" w:hAnsi="Times New Roman"/>
          <w:sz w:val="17"/>
          <w:szCs w:val="17"/>
          <w:color w:val="auto"/>
        </w:rPr>
        <w:t>. Our military affairs vertical provides updated information and commentary on military affairs and defense matters and targets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broad audience, from military professionals to hobbyists. It also provides UGC content to Phoenix TV’s “Military Observatory Post” (“</w:t>
      </w:r>
    </w:p>
    <w:p>
      <w:pPr>
        <w:spacing w:after="0" w:line="1" w:lineRule="exact"/>
        <w:rPr>
          <w:rFonts w:ascii="Times New Roman" w:cs="Times New Roman" w:eastAsia="Times New Roman" w:hAnsi="Times New Roman"/>
          <w:sz w:val="17"/>
          <w:szCs w:val="17"/>
          <w:color w:val="auto"/>
        </w:rPr>
      </w:pPr>
    </w:p>
    <w:p>
      <w:pPr>
        <w:ind w:left="12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TV program.</w:t>
      </w:r>
    </w:p>
    <w:p>
      <w:pPr>
        <w:spacing w:after="0" w:line="204" w:lineRule="exact"/>
        <w:rPr>
          <w:rFonts w:ascii="Times New Roman" w:cs="Times New Roman" w:eastAsia="Times New Roman" w:hAnsi="Times New Roman"/>
          <w:sz w:val="17"/>
          <w:szCs w:val="17"/>
          <w:color w:val="auto"/>
        </w:rPr>
      </w:pPr>
    </w:p>
    <w:p>
      <w:pPr>
        <w:ind w:left="1100" w:right="140" w:hanging="328"/>
        <w:spacing w:after="0" w:line="284" w:lineRule="auto"/>
        <w:tabs>
          <w:tab w:leader="none" w:pos="109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Sports. </w:t>
      </w:r>
      <w:r>
        <w:rPr>
          <w:rFonts w:ascii="Times New Roman" w:cs="Times New Roman" w:eastAsia="Times New Roman" w:hAnsi="Times New Roman"/>
          <w:sz w:val="18"/>
          <w:szCs w:val="18"/>
          <w:color w:val="auto"/>
        </w:rPr>
        <w:t>Our sports vertical offers multimedia news and information on a wide range of sporting events, and broadcasts both live and recorded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domestic and international sports matches.</w:t>
      </w:r>
    </w:p>
    <w:p>
      <w:pPr>
        <w:spacing w:after="0" w:line="158" w:lineRule="exact"/>
        <w:rPr>
          <w:rFonts w:ascii="Times New Roman" w:cs="Times New Roman" w:eastAsia="Times New Roman" w:hAnsi="Times New Roman"/>
          <w:sz w:val="18"/>
          <w:szCs w:val="18"/>
          <w:color w:val="auto"/>
        </w:rPr>
      </w:pPr>
    </w:p>
    <w:p>
      <w:pPr>
        <w:ind w:left="1100" w:hanging="328"/>
        <w:spacing w:after="0" w:line="267" w:lineRule="auto"/>
        <w:tabs>
          <w:tab w:leader="none" w:pos="109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History</w:t>
      </w:r>
      <w:r>
        <w:rPr>
          <w:rFonts w:ascii="Times New Roman" w:cs="Times New Roman" w:eastAsia="Times New Roman" w:hAnsi="Times New Roman"/>
          <w:sz w:val="18"/>
          <w:szCs w:val="18"/>
          <w:color w:val="auto"/>
        </w:rPr>
        <w:t>. Our history vertical provides content about Chinese and international modern history. We investigate relatively unexplored historical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turning points and events and provide in-depth analyses of historical figures and events. Phoenix TV’s high quality history programs are one of the sources of material for this vertical.</w:t>
      </w:r>
    </w:p>
    <w:p>
      <w:pPr>
        <w:spacing w:after="0" w:line="173" w:lineRule="exact"/>
        <w:rPr>
          <w:rFonts w:ascii="Times New Roman" w:cs="Times New Roman" w:eastAsia="Times New Roman" w:hAnsi="Times New Roman"/>
          <w:sz w:val="18"/>
          <w:szCs w:val="18"/>
          <w:color w:val="auto"/>
        </w:rPr>
      </w:pPr>
    </w:p>
    <w:p>
      <w:pPr>
        <w:ind w:left="1100" w:hanging="328"/>
        <w:spacing w:after="0" w:line="254" w:lineRule="auto"/>
        <w:tabs>
          <w:tab w:leader="none" w:pos="109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Video. </w:t>
      </w:r>
      <w:r>
        <w:rPr>
          <w:rFonts w:ascii="Times New Roman" w:cs="Times New Roman" w:eastAsia="Times New Roman" w:hAnsi="Times New Roman"/>
          <w:sz w:val="18"/>
          <w:szCs w:val="18"/>
          <w:color w:val="auto"/>
        </w:rPr>
        <w:t>Our v.ifeng.com vertical offers the following four categories of video products and services, (i) free online video on demand, or VOD.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free online VOD typically consist of short clips of up to five minutes of news programs, interviews, documentaries and other programs. Our VOD content is easily searchable on our website and is organized into 12 verticals of v.ifeng.com for easy browsing, including news, military affairs, documentaries, entertainment, variety shows, movies and dramas, amusements, open course, Phoenix TV, live broadcast, original works, and VIP channel. In addition, we organize and present video content, supplemented by text, images, user surveys and comment postings on our v.ifeng.com vertical to create a value-added user experience that we believe is richer than that of watching traditional TV.</w:t>
      </w:r>
    </w:p>
    <w:p>
      <w:pPr>
        <w:spacing w:after="0" w:line="2" w:lineRule="exact"/>
        <w:rPr>
          <w:rFonts w:ascii="Times New Roman" w:cs="Times New Roman" w:eastAsia="Times New Roman" w:hAnsi="Times New Roman"/>
          <w:sz w:val="18"/>
          <w:szCs w:val="18"/>
          <w:color w:val="auto"/>
        </w:rPr>
      </w:pPr>
    </w:p>
    <w:p>
      <w:pPr>
        <w:ind w:left="1100" w:right="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live Phoenix TV broadcasts. We offer live streams of Phoenix TV’s flagship channels, such as the Phoenix Chinese Channel, the Phoenix InfoNews Channel, and the Phoenix Hong Kong Channel. These broadcasts provide our users with exclusive online access to up-to-the-minute, quality news and other programs from Phoenix TV. These live broadcasts on our v.ifeng.com vertical provide a convenient alternative means for viewing these popular Phoenix TV programs through an Internet-enabled device. (iii) online video subscription service. Our online video subscription service enables users to watch advertisement-free premium content, such as feature-length documentaries and exclusive online Phoenix TV programming. (iv) online video pay-per-view service. Our online video pay-per-view service enables users to watch advertisement-free premium videos by purchasing access to particular videos on vip.v.ifeng.com. Like our online video subscription, our online video pay-per-view also include generally longer videos of up to 45 minutes in length.</w:t>
      </w:r>
    </w:p>
    <w:p>
      <w:pPr>
        <w:spacing w:after="0" w:line="185" w:lineRule="exact"/>
        <w:rPr>
          <w:rFonts w:ascii="Times New Roman" w:cs="Times New Roman" w:eastAsia="Times New Roman" w:hAnsi="Times New Roman"/>
          <w:sz w:val="18"/>
          <w:szCs w:val="18"/>
          <w:color w:val="auto"/>
        </w:rPr>
      </w:pPr>
    </w:p>
    <w:p>
      <w:pPr>
        <w:ind w:left="1100" w:hanging="328"/>
        <w:spacing w:after="0" w:line="254" w:lineRule="auto"/>
        <w:tabs>
          <w:tab w:leader="none" w:pos="109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Web-based Game. </w:t>
      </w:r>
      <w:r>
        <w:rPr>
          <w:rFonts w:ascii="Times New Roman" w:cs="Times New Roman" w:eastAsia="Times New Roman" w:hAnsi="Times New Roman"/>
          <w:sz w:val="18"/>
          <w:szCs w:val="18"/>
          <w:color w:val="auto"/>
        </w:rPr>
        <w:t>We operate third-party developed web-based games on our game platform, play.ifeng.com. Web-based games are games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be played directly from the user’s Internet browser without downloading additional software. Currently our game platform only offers web-based games licensed from third parties. Our game portfolio includes role-playing, strategy and casual games. As of December 31, 2016, we offered a total of 52 licensed web-based games on our platform. We collect payments from game players through the sale of in-game virtual currencies and remit certain agreed-upon percentages of the proceeds to the game developers. The in-game virtual currencies are used by game players to purchase virtual items in the games. We record revenue from selling in-game virtual currencies net of remittances to game developers and deferred until the estimated consumption date of the virtual items, which is typically within a short period of time after purchase of the in-game virtual currency. Revenues generated from web-based games are recorded in games and others under paid services revenues.</w:t>
      </w:r>
    </w:p>
    <w:p>
      <w:pPr>
        <w:spacing w:after="0" w:line="189" w:lineRule="exact"/>
        <w:rPr>
          <w:rFonts w:ascii="Times New Roman" w:cs="Times New Roman" w:eastAsia="Times New Roman" w:hAnsi="Times New Roman"/>
          <w:sz w:val="18"/>
          <w:szCs w:val="18"/>
          <w:color w:val="auto"/>
        </w:rPr>
      </w:pPr>
    </w:p>
    <w:p>
      <w:pPr>
        <w:ind w:left="1100" w:right="60" w:hanging="328"/>
        <w:spacing w:after="0" w:line="267" w:lineRule="auto"/>
        <w:tabs>
          <w:tab w:leader="none" w:pos="109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PC Digital Reading. </w:t>
      </w:r>
      <w:r>
        <w:rPr>
          <w:rFonts w:ascii="Times New Roman" w:cs="Times New Roman" w:eastAsia="Times New Roman" w:hAnsi="Times New Roman"/>
          <w:sz w:val="18"/>
          <w:szCs w:val="18"/>
          <w:color w:val="auto"/>
        </w:rPr>
        <w:t>Our PC digital reading service provides fee-based internet literatures from writers and digital format books licensed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third-party publishers to customers on our PC platforms. Revenues generated from digital reading are recorded in digital entertainment under paid services revenues.</w:t>
      </w:r>
    </w:p>
    <w:p>
      <w:pPr>
        <w:spacing w:after="0" w:line="174" w:lineRule="exact"/>
        <w:rPr>
          <w:sz w:val="20"/>
          <w:szCs w:val="20"/>
          <w:color w:val="auto"/>
        </w:rPr>
      </w:pPr>
    </w:p>
    <w:p>
      <w:pPr>
        <w:ind w:right="200" w:firstLine="441"/>
        <w:spacing w:after="0" w:line="259" w:lineRule="auto"/>
        <w:rPr>
          <w:sz w:val="20"/>
          <w:szCs w:val="20"/>
          <w:color w:val="auto"/>
        </w:rPr>
      </w:pPr>
      <w:r>
        <w:rPr>
          <w:rFonts w:ascii="Times New Roman" w:cs="Times New Roman" w:eastAsia="Times New Roman" w:hAnsi="Times New Roman"/>
          <w:sz w:val="18"/>
          <w:szCs w:val="18"/>
          <w:i w:val="1"/>
          <w:iCs w:val="1"/>
          <w:color w:val="auto"/>
        </w:rPr>
        <w:t>Interactive Services</w:t>
      </w:r>
      <w:r>
        <w:rPr>
          <w:rFonts w:ascii="Times New Roman" w:cs="Times New Roman" w:eastAsia="Times New Roman" w:hAnsi="Times New Roman"/>
          <w:sz w:val="18"/>
          <w:szCs w:val="18"/>
          <w:color w:val="auto"/>
        </w:rPr>
        <w:t>. Our interactive services aim at turning our website into an active venue for social networking and community interaction.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allow our users to interact with the content we provide, opening up avenues for lively exchange of information. Our blog and comment posting services are available on both our Internet and mobile channels. Also through our converged platform, we feed a substantial amount of UGC to prime-time programs of Phoenix TV on a daily basis. By furnishing an engaging user experience across Internet, mobile and TV channels, we believe that community-based interactive services increase user loyalty and stickiness. We currently offer the following interactive services:</w:t>
      </w:r>
    </w:p>
    <w:p>
      <w:pPr>
        <w:spacing w:after="0" w:line="180" w:lineRule="exact"/>
        <w:rPr>
          <w:sz w:val="20"/>
          <w:szCs w:val="20"/>
          <w:color w:val="auto"/>
        </w:rPr>
      </w:pPr>
    </w:p>
    <w:p>
      <w:pPr>
        <w:ind w:left="1100" w:right="40" w:hanging="328"/>
        <w:spacing w:after="0" w:line="267" w:lineRule="auto"/>
        <w:tabs>
          <w:tab w:leader="none" w:pos="109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User surveys</w:t>
      </w:r>
      <w:r>
        <w:rPr>
          <w:rFonts w:ascii="Times New Roman" w:cs="Times New Roman" w:eastAsia="Times New Roman" w:hAnsi="Times New Roman"/>
          <w:sz w:val="18"/>
          <w:szCs w:val="18"/>
          <w:color w:val="auto"/>
        </w:rPr>
        <w:t>. Our user surveys allow users to express their opinions on topics featured on our ifeng.com and mobile channels, view up-to-date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opinion polls of users generally and compare their views with those of our user community at large. We offer opinion surveys on major featured topics on most of ifeng.com and v.ifeng.com. Our survey results also frequently appear on Phoenix TV’s programs.</w:t>
      </w:r>
    </w:p>
    <w:p>
      <w:pPr>
        <w:spacing w:after="0" w:line="173" w:lineRule="exact"/>
        <w:rPr>
          <w:rFonts w:ascii="Times New Roman" w:cs="Times New Roman" w:eastAsia="Times New Roman" w:hAnsi="Times New Roman"/>
          <w:sz w:val="18"/>
          <w:szCs w:val="18"/>
          <w:color w:val="auto"/>
        </w:rPr>
      </w:pPr>
    </w:p>
    <w:p>
      <w:pPr>
        <w:ind w:left="1100" w:right="200" w:hanging="328"/>
        <w:spacing w:after="0" w:line="315" w:lineRule="auto"/>
        <w:tabs>
          <w:tab w:leader="none" w:pos="1091"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Comment posting</w:t>
      </w:r>
      <w:r>
        <w:rPr>
          <w:rFonts w:ascii="Times New Roman" w:cs="Times New Roman" w:eastAsia="Times New Roman" w:hAnsi="Times New Roman"/>
          <w:sz w:val="17"/>
          <w:szCs w:val="17"/>
          <w:color w:val="auto"/>
        </w:rPr>
        <w:t>. Our comment posting feature allows registered users to post their reactions to and thoughts on our articles and videos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browse the input of other members of the ifeng.com community. Our comment postings also frequently appear on Phoenix TV’s programs.</w:t>
      </w:r>
    </w:p>
    <w:p>
      <w:pPr>
        <w:sectPr>
          <w:pgSz w:w="11900" w:h="16838" w:orient="portrait"/>
          <w:cols w:equalWidth="0" w:num="1">
            <w:col w:w="11400"/>
          </w:cols>
          <w:pgMar w:left="240" w:top="121" w:right="259" w:bottom="0" w:gutter="0" w:footer="0" w:header="0"/>
        </w:sectPr>
      </w:pP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121" w:right="259" w:bottom="0" w:gutter="0" w:footer="0" w:header="0"/>
          <w:type w:val="continuous"/>
        </w:sectPr>
      </w:pPr>
    </w:p>
    <w:bookmarkStart w:id="38" w:name="page39"/>
    <w:bookmarkEnd w:id="38"/>
    <w:p>
      <w:pPr>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Mobile Channel</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mobile channel includes (i) ifeng news application, (ii) ifeng video application, (iii) digital reading application, (iv) fashion application, and</w:t>
      </w:r>
    </w:p>
    <w:p>
      <w:pPr>
        <w:spacing w:after="0" w:line="27" w:lineRule="exact"/>
        <w:rPr>
          <w:sz w:val="20"/>
          <w:szCs w:val="20"/>
          <w:color w:val="auto"/>
        </w:rPr>
      </w:pPr>
    </w:p>
    <w:p>
      <w:pPr>
        <w:ind w:right="680" w:firstLine="8"/>
        <w:spacing w:after="0" w:line="261" w:lineRule="auto"/>
        <w:tabs>
          <w:tab w:leader="none" w:pos="2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Internet website i.ifeng.com (“WAP”). According to our internal data, our aggregated number of mobile daily unique visitors from mobile applications and WAP reached 35.0 million in December 2016.</w:t>
      </w:r>
    </w:p>
    <w:p>
      <w:pPr>
        <w:spacing w:after="0" w:line="177" w:lineRule="exact"/>
        <w:rPr>
          <w:rFonts w:ascii="Times New Roman" w:cs="Times New Roman" w:eastAsia="Times New Roman" w:hAnsi="Times New Roman"/>
          <w:sz w:val="18"/>
          <w:szCs w:val="18"/>
          <w:color w:val="auto"/>
        </w:rPr>
      </w:pPr>
    </w:p>
    <w:p>
      <w:pPr>
        <w:ind w:left="680" w:right="120" w:hanging="279"/>
        <w:spacing w:after="0" w:line="284" w:lineRule="auto"/>
        <w:tabs>
          <w:tab w:leader="none" w:pos="67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ifeng News </w:t>
      </w:r>
      <w:r>
        <w:rPr>
          <w:rFonts w:ascii="Times New Roman" w:cs="Times New Roman" w:eastAsia="Times New Roman" w:hAnsi="Times New Roman"/>
          <w:sz w:val="18"/>
          <w:szCs w:val="18"/>
          <w:color w:val="auto"/>
        </w:rPr>
        <w:t>(formerly named “</w:t>
      </w:r>
      <w:r>
        <w:rPr>
          <w:rFonts w:ascii="Times New Roman" w:cs="Times New Roman" w:eastAsia="Times New Roman" w:hAnsi="Times New Roman"/>
          <w:sz w:val="18"/>
          <w:szCs w:val="18"/>
          <w:i w:val="1"/>
          <w:iCs w:val="1"/>
          <w:color w:val="auto"/>
        </w:rPr>
        <w:t>Phoenix News</w:t>
      </w:r>
      <w:r>
        <w:rPr>
          <w:rFonts w:ascii="Times New Roman" w:cs="Times New Roman" w:eastAsia="Times New Roman" w:hAnsi="Times New Roman"/>
          <w:sz w:val="18"/>
          <w:szCs w:val="18"/>
          <w:color w:val="auto"/>
        </w:rPr>
        <w:t>”). We offer a wide range of mobile applications for different mobile devices. Ifeng news application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flagship mobile product, which provides news feeds and other contents in the form of text, image and video.</w:t>
      </w:r>
    </w:p>
    <w:p>
      <w:pPr>
        <w:spacing w:after="0" w:line="158" w:lineRule="exact"/>
        <w:rPr>
          <w:rFonts w:ascii="Times New Roman" w:cs="Times New Roman" w:eastAsia="Times New Roman" w:hAnsi="Times New Roman"/>
          <w:sz w:val="18"/>
          <w:szCs w:val="18"/>
          <w:color w:val="auto"/>
        </w:rPr>
      </w:pPr>
    </w:p>
    <w:p>
      <w:pPr>
        <w:ind w:left="680" w:right="420" w:hanging="279"/>
        <w:spacing w:after="0" w:line="284" w:lineRule="auto"/>
        <w:tabs>
          <w:tab w:leader="none" w:pos="67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ifeng Video </w:t>
      </w:r>
      <w:r>
        <w:rPr>
          <w:rFonts w:ascii="Times New Roman" w:cs="Times New Roman" w:eastAsia="Times New Roman" w:hAnsi="Times New Roman"/>
          <w:sz w:val="18"/>
          <w:szCs w:val="18"/>
          <w:color w:val="auto"/>
        </w:rPr>
        <w:t>(formerly named “</w:t>
      </w:r>
      <w:r>
        <w:rPr>
          <w:rFonts w:ascii="Times New Roman" w:cs="Times New Roman" w:eastAsia="Times New Roman" w:hAnsi="Times New Roman"/>
          <w:sz w:val="18"/>
          <w:szCs w:val="18"/>
          <w:i w:val="1"/>
          <w:iCs w:val="1"/>
          <w:color w:val="auto"/>
        </w:rPr>
        <w:t>Phoenix Mobile Station</w:t>
      </w:r>
      <w:r>
        <w:rPr>
          <w:rFonts w:ascii="Times New Roman" w:cs="Times New Roman" w:eastAsia="Times New Roman" w:hAnsi="Times New Roman"/>
          <w:sz w:val="18"/>
          <w:szCs w:val="18"/>
          <w:color w:val="auto"/>
        </w:rPr>
        <w:t>”). ifeng video application provides video news and other video content, live Phoenix TV</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broadcasts, etc.</w:t>
      </w:r>
    </w:p>
    <w:p>
      <w:pPr>
        <w:spacing w:after="0" w:line="158" w:lineRule="exact"/>
        <w:rPr>
          <w:rFonts w:ascii="Times New Roman" w:cs="Times New Roman" w:eastAsia="Times New Roman" w:hAnsi="Times New Roman"/>
          <w:sz w:val="18"/>
          <w:szCs w:val="18"/>
          <w:color w:val="auto"/>
        </w:rPr>
      </w:pPr>
    </w:p>
    <w:p>
      <w:pPr>
        <w:ind w:left="680" w:right="320" w:hanging="279"/>
        <w:spacing w:after="0" w:line="267" w:lineRule="auto"/>
        <w:tabs>
          <w:tab w:leader="none" w:pos="67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Digital reading application. </w:t>
      </w:r>
      <w:r>
        <w:rPr>
          <w:rFonts w:ascii="Times New Roman" w:cs="Times New Roman" w:eastAsia="Times New Roman" w:hAnsi="Times New Roman"/>
          <w:sz w:val="18"/>
          <w:szCs w:val="18"/>
          <w:color w:val="auto"/>
        </w:rPr>
        <w:t>Our digital reading application provides fee-based Internet literatures from writers and digital format books licensed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third-party publishers to customers on our mobile platform. Revenues generated from digital reading are recorded in digital entertainment under paid services revenues.</w:t>
      </w:r>
    </w:p>
    <w:p>
      <w:pPr>
        <w:spacing w:after="0" w:line="173" w:lineRule="exact"/>
        <w:rPr>
          <w:rFonts w:ascii="Times New Roman" w:cs="Times New Roman" w:eastAsia="Times New Roman" w:hAnsi="Times New Roman"/>
          <w:sz w:val="18"/>
          <w:szCs w:val="18"/>
          <w:color w:val="auto"/>
        </w:rPr>
      </w:pPr>
    </w:p>
    <w:p>
      <w:pPr>
        <w:ind w:left="680" w:right="660" w:hanging="279"/>
        <w:spacing w:after="0" w:line="284" w:lineRule="auto"/>
        <w:tabs>
          <w:tab w:leader="none" w:pos="67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Fashion Application</w:t>
      </w:r>
      <w:r>
        <w:rPr>
          <w:rFonts w:ascii="Times New Roman" w:cs="Times New Roman" w:eastAsia="Times New Roman" w:hAnsi="Times New Roman"/>
          <w:sz w:val="18"/>
          <w:szCs w:val="18"/>
          <w:color w:val="auto"/>
        </w:rPr>
        <w:t>, Shizhuang (“ ”). Fashion application provides UGC and user communication and interaction in fashion industry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community.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680" w:right="20" w:hanging="279"/>
        <w:spacing w:after="0" w:line="261" w:lineRule="auto"/>
        <w:tabs>
          <w:tab w:leader="none" w:pos="67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WAP</w:t>
      </w:r>
      <w:r>
        <w:rPr>
          <w:rFonts w:ascii="Times New Roman" w:cs="Times New Roman" w:eastAsia="Times New Roman" w:hAnsi="Times New Roman"/>
          <w:sz w:val="18"/>
          <w:szCs w:val="18"/>
          <w:color w:val="auto"/>
        </w:rPr>
        <w:t>. Our i.ifeng.com website is a modified version of our ifeng.com site reformatted for use on mobile devices and tailored to the preferences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mobile users. As part of our converged platform, i.ifeng.com allows our users to access quality ifeng.com and v.ifeng.com content while they are on-the-go. Similar to ifeng.com, our i.ifeng.com features an array of interest-based and interactive verticals, as well as a mobile video site for watching free mobile VOD. There are two of fee-based products, including mobile digital reading and mobile games.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with the Telecom Operators.</w:t>
      </w:r>
    </w:p>
    <w:p>
      <w:pPr>
        <w:spacing w:after="0" w:line="229" w:lineRule="exact"/>
        <w:rPr>
          <w:sz w:val="20"/>
          <w:szCs w:val="20"/>
          <w:color w:val="auto"/>
        </w:rPr>
      </w:pPr>
    </w:p>
    <w:p>
      <w:pPr>
        <w:ind w:right="60" w:firstLine="450"/>
        <w:spacing w:after="0" w:line="282" w:lineRule="auto"/>
        <w:rPr>
          <w:sz w:val="20"/>
          <w:szCs w:val="20"/>
          <w:color w:val="auto"/>
        </w:rPr>
      </w:pPr>
      <w:r>
        <w:rPr>
          <w:rFonts w:ascii="Times New Roman" w:cs="Times New Roman" w:eastAsia="Times New Roman" w:hAnsi="Times New Roman"/>
          <w:sz w:val="18"/>
          <w:szCs w:val="18"/>
          <w:color w:val="auto"/>
        </w:rPr>
        <w:t>As part of our converged platform, we provide a convenient means for our users to access our quality content through the telecom operators’ platforms, or MVAS, while they are on-the-go. MVAS consist mainly of the following product lines:</w:t>
      </w:r>
    </w:p>
    <w:p>
      <w:pPr>
        <w:spacing w:after="0" w:line="160"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Mobile Newspaper Service, </w:t>
      </w:r>
      <w:r>
        <w:rPr>
          <w:rFonts w:ascii="Times New Roman" w:cs="Times New Roman" w:eastAsia="Times New Roman" w:hAnsi="Times New Roman"/>
          <w:sz w:val="18"/>
          <w:szCs w:val="18"/>
          <w:color w:val="auto"/>
        </w:rPr>
        <w:t>We edit content from our content library to deliver mobile newspapers to mobile users of China Mobile, China Telecom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China Unicom via MMS. Our mobile newspapers provide periodicals in digital form reformatted for convenient viewing on mobile devices. China Mobile’s VIP subscribers can receive our mobile newspaper service as part of their subscription and other mobile users can subscribe to this service independently through any one of the three mobile operators.</w:t>
      </w:r>
    </w:p>
    <w:p>
      <w:pPr>
        <w:spacing w:after="0" w:line="180" w:lineRule="exact"/>
        <w:rPr>
          <w:sz w:val="20"/>
          <w:szCs w:val="20"/>
          <w:color w:val="auto"/>
        </w:rPr>
      </w:pPr>
    </w:p>
    <w:p>
      <w:pPr>
        <w:ind w:right="180" w:firstLine="45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Mobile Video Service. </w:t>
      </w:r>
      <w:r>
        <w:rPr>
          <w:rFonts w:ascii="Times New Roman" w:cs="Times New Roman" w:eastAsia="Times New Roman" w:hAnsi="Times New Roman"/>
          <w:sz w:val="18"/>
          <w:szCs w:val="18"/>
          <w:color w:val="auto"/>
        </w:rPr>
        <w:t>We offer video content through the mobile video platforms of all three of the telecom operators. Users pay a monthly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subscription fee for access to our mobile channel on the telecom operators’ platforms or pay on a per-clip pay-per-view basis, and we share the fees charged for such services with the telecom operators.</w:t>
      </w:r>
    </w:p>
    <w:p>
      <w:pPr>
        <w:spacing w:after="0" w:line="174" w:lineRule="exact"/>
        <w:rPr>
          <w:sz w:val="20"/>
          <w:szCs w:val="20"/>
          <w:color w:val="auto"/>
        </w:rPr>
      </w:pPr>
    </w:p>
    <w:p>
      <w:pPr>
        <w:ind w:right="20" w:firstLine="450"/>
        <w:spacing w:after="0" w:line="284" w:lineRule="auto"/>
        <w:rPr>
          <w:sz w:val="20"/>
          <w:szCs w:val="20"/>
          <w:color w:val="auto"/>
        </w:rPr>
      </w:pPr>
      <w:r>
        <w:rPr>
          <w:rFonts w:ascii="Times New Roman" w:cs="Times New Roman" w:eastAsia="Times New Roman" w:hAnsi="Times New Roman"/>
          <w:sz w:val="18"/>
          <w:szCs w:val="18"/>
          <w:i w:val="1"/>
          <w:iCs w:val="1"/>
          <w:color w:val="auto"/>
        </w:rPr>
        <w:t>Mobile Games Service delivered through the Telecom Operators’ Platforms</w:t>
      </w:r>
      <w:r>
        <w:rPr>
          <w:rFonts w:ascii="Times New Roman" w:cs="Times New Roman" w:eastAsia="Times New Roman" w:hAnsi="Times New Roman"/>
          <w:sz w:val="18"/>
          <w:szCs w:val="18"/>
          <w:color w:val="auto"/>
        </w:rPr>
        <w:t>. We currently offer mobile games through China Mobile’s, China Unicom’s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China Telecom’s gaming platforms, which allow users to download our mobile games programs.</w:t>
      </w:r>
    </w:p>
    <w:p>
      <w:pPr>
        <w:spacing w:after="0" w:line="158" w:lineRule="exact"/>
        <w:rPr>
          <w:sz w:val="20"/>
          <w:szCs w:val="20"/>
          <w:color w:val="auto"/>
        </w:rPr>
      </w:pPr>
    </w:p>
    <w:p>
      <w:pPr>
        <w:ind w:right="240" w:firstLine="450"/>
        <w:spacing w:after="0" w:line="284" w:lineRule="auto"/>
        <w:rPr>
          <w:sz w:val="20"/>
          <w:szCs w:val="20"/>
          <w:color w:val="auto"/>
        </w:rPr>
      </w:pPr>
      <w:r>
        <w:rPr>
          <w:rFonts w:ascii="Times New Roman" w:cs="Times New Roman" w:eastAsia="Times New Roman" w:hAnsi="Times New Roman"/>
          <w:sz w:val="18"/>
          <w:szCs w:val="18"/>
          <w:i w:val="1"/>
          <w:iCs w:val="1"/>
          <w:color w:val="auto"/>
        </w:rPr>
        <w:t>WVAS</w:t>
      </w:r>
      <w:r>
        <w:rPr>
          <w:rFonts w:ascii="Times New Roman" w:cs="Times New Roman" w:eastAsia="Times New Roman" w:hAnsi="Times New Roman"/>
          <w:sz w:val="18"/>
          <w:szCs w:val="18"/>
          <w:color w:val="auto"/>
        </w:rPr>
        <w:t>. We also provide wireless value-added services, or WVAS, through telecom operation’s payment platform to our users. We offer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WVAS: (i) </w:t>
      </w:r>
      <w:r>
        <w:rPr>
          <w:rFonts w:ascii="Times New Roman" w:cs="Times New Roman" w:eastAsia="Times New Roman" w:hAnsi="Times New Roman"/>
          <w:sz w:val="18"/>
          <w:szCs w:val="18"/>
          <w:i w:val="1"/>
          <w:iCs w:val="1"/>
          <w:color w:val="auto"/>
        </w:rPr>
        <w:t>SMS-based Services</w:t>
      </w:r>
      <w:r>
        <w:rPr>
          <w:rFonts w:ascii="Times New Roman" w:cs="Times New Roman" w:eastAsia="Times New Roman" w:hAnsi="Times New Roman"/>
          <w:sz w:val="18"/>
          <w:szCs w:val="18"/>
          <w:color w:val="auto"/>
        </w:rPr>
        <w:t xml:space="preserve">, (ii) </w:t>
      </w:r>
      <w:r>
        <w:rPr>
          <w:rFonts w:ascii="Times New Roman" w:cs="Times New Roman" w:eastAsia="Times New Roman" w:hAnsi="Times New Roman"/>
          <w:sz w:val="18"/>
          <w:szCs w:val="18"/>
          <w:i w:val="1"/>
          <w:iCs w:val="1"/>
          <w:color w:val="auto"/>
        </w:rPr>
        <w:t>Music Services</w:t>
      </w:r>
      <w:r>
        <w:rPr>
          <w:rFonts w:ascii="Times New Roman" w:cs="Times New Roman" w:eastAsia="Times New Roman" w:hAnsi="Times New Roman"/>
          <w:sz w:val="18"/>
          <w:szCs w:val="18"/>
          <w:color w:val="auto"/>
        </w:rPr>
        <w:t xml:space="preserve">, (iii) </w:t>
      </w:r>
      <w:r>
        <w:rPr>
          <w:rFonts w:ascii="Times New Roman" w:cs="Times New Roman" w:eastAsia="Times New Roman" w:hAnsi="Times New Roman"/>
          <w:sz w:val="18"/>
          <w:szCs w:val="18"/>
          <w:i w:val="1"/>
          <w:iCs w:val="1"/>
          <w:color w:val="auto"/>
        </w:rPr>
        <w:t>IVR-based Services</w:t>
      </w:r>
      <w:r>
        <w:rPr>
          <w:rFonts w:ascii="Times New Roman" w:cs="Times New Roman" w:eastAsia="Times New Roman" w:hAnsi="Times New Roman"/>
          <w:sz w:val="18"/>
          <w:szCs w:val="18"/>
          <w:color w:val="auto"/>
        </w:rPr>
        <w:t xml:space="preserve">, (iv) </w:t>
      </w:r>
      <w:r>
        <w:rPr>
          <w:rFonts w:ascii="Times New Roman" w:cs="Times New Roman" w:eastAsia="Times New Roman" w:hAnsi="Times New Roman"/>
          <w:sz w:val="18"/>
          <w:szCs w:val="18"/>
          <w:i w:val="1"/>
          <w:iCs w:val="1"/>
          <w:color w:val="auto"/>
        </w:rPr>
        <w:t>MMS-based Services</w:t>
      </w:r>
      <w:r>
        <w:rPr>
          <w:rFonts w:ascii="Times New Roman" w:cs="Times New Roman" w:eastAsia="Times New Roman" w:hAnsi="Times New Roman"/>
          <w:sz w:val="18"/>
          <w:szCs w:val="18"/>
          <w:color w:val="auto"/>
        </w:rPr>
        <w:t xml:space="preserve">, (v) </w:t>
      </w:r>
      <w:r>
        <w:rPr>
          <w:rFonts w:ascii="Times New Roman" w:cs="Times New Roman" w:eastAsia="Times New Roman" w:hAnsi="Times New Roman"/>
          <w:sz w:val="18"/>
          <w:szCs w:val="18"/>
          <w:i w:val="1"/>
          <w:iCs w:val="1"/>
          <w:color w:val="auto"/>
        </w:rPr>
        <w:t>Animation Services.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Sources of Revenues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Services</w:t>
      </w:r>
    </w:p>
    <w:p>
      <w:pPr>
        <w:spacing w:after="0" w:line="229" w:lineRule="exact"/>
        <w:rPr>
          <w:sz w:val="20"/>
          <w:szCs w:val="20"/>
          <w:color w:val="auto"/>
        </w:rPr>
      </w:pPr>
    </w:p>
    <w:p>
      <w:pPr>
        <w:ind w:right="160" w:firstLine="441"/>
        <w:spacing w:after="0" w:line="266" w:lineRule="auto"/>
        <w:rPr>
          <w:sz w:val="20"/>
          <w:szCs w:val="20"/>
          <w:color w:val="auto"/>
        </w:rPr>
      </w:pPr>
      <w:r>
        <w:rPr>
          <w:rFonts w:ascii="Times New Roman" w:cs="Times New Roman" w:eastAsia="Times New Roman" w:hAnsi="Times New Roman"/>
          <w:sz w:val="18"/>
          <w:szCs w:val="18"/>
          <w:color w:val="auto"/>
        </w:rPr>
        <w:t>We provide advertising services primarily through our ifeng.com, our mobile Internet website i.ifeng.com and our mobile applications in our mobile channel. Our advertising team consists of direct sales, agency sales, customer support, advertising design and production, resource management, advertising strategy and sales promotion and other functions.</w:t>
      </w:r>
    </w:p>
    <w:p>
      <w:pPr>
        <w:spacing w:after="0" w:line="176"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As is typical in China’s online advertising industry, we primarily enter into advertising service contracts through third-party advertising agencies. We mainly have three types of pricing models, consisting of the Fixed Price model, the Cost Per Impression (“CPM”) model, and the Cost Per Click (“CPC”) model. Although our advertising services are primarily on our PC platform at present, we expect our advertising services on our mobile channel to continue to increase going forward. In addition, together with Phoenix TV, we provide bundled new media and TV advertising solutions to certain of Phoenix TV’s advertisers.</w:t>
      </w:r>
    </w:p>
    <w:p>
      <w:pPr>
        <w:spacing w:after="0" w:line="184" w:lineRule="exact"/>
        <w:rPr>
          <w:sz w:val="20"/>
          <w:szCs w:val="20"/>
          <w:color w:val="auto"/>
        </w:rPr>
      </w:pPr>
    </w:p>
    <w:p>
      <w:pPr>
        <w:ind w:right="60" w:firstLine="441"/>
        <w:spacing w:after="0" w:line="289" w:lineRule="auto"/>
        <w:rPr>
          <w:sz w:val="20"/>
          <w:szCs w:val="20"/>
          <w:color w:val="auto"/>
        </w:rPr>
      </w:pPr>
      <w:r>
        <w:rPr>
          <w:rFonts w:ascii="Times New Roman" w:cs="Times New Roman" w:eastAsia="Times New Roman" w:hAnsi="Times New Roman"/>
          <w:sz w:val="17"/>
          <w:szCs w:val="17"/>
          <w:color w:val="auto"/>
        </w:rPr>
        <w:t>We strive to provide our advertisers with high-quality customer service. Our experienced sales professionals help advertisers to analyze their target audiences and create innovative campaign strategies and designs. We provide a variety of advertising solutions, including online advertisements, online video advertisements, user activities, live promotions and cross media public relations campaigns. We have an advertising tracking system, which records and</w:t>
      </w:r>
    </w:p>
    <w:p>
      <w:pPr>
        <w:sectPr>
          <w:pgSz w:w="11900" w:h="16838" w:orient="portrait"/>
          <w:cols w:equalWidth="0" w:num="1">
            <w:col w:w="11420"/>
          </w:cols>
          <w:pgMar w:left="240" w:top="513" w:right="239" w:bottom="0" w:gutter="0" w:footer="0" w:header="0"/>
        </w:sectPr>
      </w:pPr>
    </w:p>
    <w:bookmarkStart w:id="39" w:name="page40"/>
    <w:bookmarkEnd w:id="39"/>
    <w:p>
      <w:pPr>
        <w:ind w:right="360"/>
        <w:spacing w:after="0" w:line="282" w:lineRule="auto"/>
        <w:rPr>
          <w:sz w:val="20"/>
          <w:szCs w:val="20"/>
          <w:color w:val="auto"/>
        </w:rPr>
      </w:pPr>
      <w:r>
        <w:rPr>
          <w:rFonts w:ascii="Times New Roman" w:cs="Times New Roman" w:eastAsia="Times New Roman" w:hAnsi="Times New Roman"/>
          <w:sz w:val="18"/>
          <w:szCs w:val="18"/>
          <w:color w:val="auto"/>
        </w:rPr>
        <w:t>maintains the traffic statistics and other data that can be used to measure the effectiveness of advertisements. After the release of a customer’s advertising campaign, we furnish them with a report on the campaign’s effectiveness either prepared in-house or by an independent research firm.</w:t>
      </w:r>
    </w:p>
    <w:p>
      <w:pPr>
        <w:spacing w:after="0" w:line="162" w:lineRule="exact"/>
        <w:rPr>
          <w:sz w:val="20"/>
          <w:szCs w:val="20"/>
          <w:color w:val="auto"/>
        </w:rPr>
      </w:pPr>
    </w:p>
    <w:p>
      <w:pPr>
        <w:jc w:val="both"/>
        <w:ind w:right="200" w:firstLine="441"/>
        <w:spacing w:after="0" w:line="266" w:lineRule="auto"/>
        <w:rPr>
          <w:sz w:val="20"/>
          <w:szCs w:val="20"/>
          <w:color w:val="auto"/>
        </w:rPr>
      </w:pPr>
      <w:r>
        <w:rPr>
          <w:rFonts w:ascii="Times New Roman" w:cs="Times New Roman" w:eastAsia="Times New Roman" w:hAnsi="Times New Roman"/>
          <w:sz w:val="18"/>
          <w:szCs w:val="18"/>
          <w:color w:val="auto"/>
        </w:rPr>
        <w:t>We have a diverse advertising client base, including both Chinese and international brand advertisers. Our top ten advertisers accounted for 30.5% of our total advertising revenues in 2016. Our advertisers generally are in the automobile, food &amp; beverages, e-commerce, financial services, Internet services, medical services, IT products, cosmetic products, luxury brands, airline, health care, education and communication services industries.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Paid Services</w:t>
      </w:r>
    </w:p>
    <w:p>
      <w:pPr>
        <w:spacing w:after="0" w:line="229"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paid services offerings on telecom operators’ platforms and our own platforms and the percentage contribution of our various paid services to our paid services revenues and our total revenues in 2016.</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Paid Services Offerings</w:t>
            </w:r>
          </w:p>
        </w:tc>
        <w:tc>
          <w:tcPr>
            <w:tcW w:w="16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 of Paid</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73"/>
        </w:trPr>
        <w:tc>
          <w:tcPr>
            <w:tcW w:w="8300" w:type="dxa"/>
            <w:vAlign w:val="bottom"/>
            <w:gridSpan w:val="2"/>
            <w:vMerge w:val="continue"/>
          </w:tcPr>
          <w:p>
            <w:pPr>
              <w:spacing w:after="0"/>
              <w:rPr>
                <w:sz w:val="15"/>
                <w:szCs w:val="15"/>
                <w:color w:val="auto"/>
              </w:rPr>
            </w:pPr>
          </w:p>
        </w:tc>
        <w:tc>
          <w:tcPr>
            <w:tcW w:w="16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Service Revenues</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0" w:type="dxa"/>
            <w:vAlign w:val="bottom"/>
          </w:tcPr>
          <w:p>
            <w:pPr>
              <w:spacing w:after="0"/>
              <w:rPr>
                <w:sz w:val="1"/>
                <w:szCs w:val="1"/>
                <w:color w:val="auto"/>
              </w:rPr>
            </w:pPr>
          </w:p>
        </w:tc>
      </w:tr>
      <w:tr>
        <w:trPr>
          <w:trHeight w:val="210"/>
        </w:trPr>
        <w:tc>
          <w:tcPr>
            <w:tcW w:w="8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Entertainment</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Mobile value-added services delivered through telecom operators’ platforms, or MVAS, and digital reading</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74.6</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Games and others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30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Web-based games, mobile games, content sales, and other online and mobile paid services through our own</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platforms</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25.4</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Advertising Execution Team</w:t>
      </w:r>
    </w:p>
    <w:p>
      <w:pPr>
        <w:spacing w:after="0" w:line="229" w:lineRule="exact"/>
        <w:rPr>
          <w:sz w:val="20"/>
          <w:szCs w:val="20"/>
          <w:color w:val="auto"/>
        </w:rPr>
      </w:pPr>
    </w:p>
    <w:p>
      <w:pPr>
        <w:ind w:right="300" w:firstLine="441"/>
        <w:spacing w:after="0" w:line="261" w:lineRule="auto"/>
        <w:rPr>
          <w:sz w:val="20"/>
          <w:szCs w:val="20"/>
          <w:color w:val="auto"/>
        </w:rPr>
      </w:pPr>
      <w:r>
        <w:rPr>
          <w:rFonts w:ascii="Times New Roman" w:cs="Times New Roman" w:eastAsia="Times New Roman" w:hAnsi="Times New Roman"/>
          <w:sz w:val="18"/>
          <w:szCs w:val="18"/>
          <w:color w:val="auto"/>
        </w:rPr>
        <w:t>We have a dedicated team to manage the advertising execution which includes a series of review procedures on our advertising material before we display such material on our platform interfaces. This team checks advertisements for form and reviews them to ensure that they do not contain any racial, violent, pornographic or other inappropriate content. This team also verifies that advertisers have provided relevant government approvals if their advertisements are subject to special government requirements.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Promotion</w:t>
      </w:r>
    </w:p>
    <w:p>
      <w:pPr>
        <w:spacing w:after="0" w:line="229" w:lineRule="exact"/>
        <w:rPr>
          <w:sz w:val="20"/>
          <w:szCs w:val="20"/>
          <w:color w:val="auto"/>
        </w:rPr>
      </w:pPr>
    </w:p>
    <w:p>
      <w:pPr>
        <w:jc w:val="both"/>
        <w:ind w:right="560" w:firstLine="441"/>
        <w:spacing w:after="0" w:line="261" w:lineRule="auto"/>
        <w:rPr>
          <w:sz w:val="20"/>
          <w:szCs w:val="20"/>
          <w:color w:val="auto"/>
        </w:rPr>
      </w:pPr>
      <w:r>
        <w:rPr>
          <w:rFonts w:ascii="Times New Roman" w:cs="Times New Roman" w:eastAsia="Times New Roman" w:hAnsi="Times New Roman"/>
          <w:sz w:val="18"/>
          <w:szCs w:val="18"/>
          <w:color w:val="auto"/>
        </w:rPr>
        <w:t>We employ a variety of traditional and online marketing programs and promotional activities to build our brand as part of our overall marketing strategy. We focus on building brand awareness and growing our user base through proactive public relations and innovative and interactive marketing activities and events. We and Phoenix TV also actively promote one another’s brand on our respective Internet and TV platforms as part of our mutual promotion arrangement included in the Phoenix TV Cooperation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believe that our distinguished content and high-quality services lead to strong word-of-mouth promotion, which drives consumer awareness of our</w:t>
      </w:r>
    </w:p>
    <w:p>
      <w:pPr>
        <w:spacing w:after="0" w:line="27" w:lineRule="exact"/>
        <w:rPr>
          <w:sz w:val="20"/>
          <w:szCs w:val="20"/>
          <w:color w:val="auto"/>
        </w:rPr>
      </w:pPr>
    </w:p>
    <w:p>
      <w:pPr>
        <w:ind w:right="660"/>
        <w:spacing w:after="0" w:line="261" w:lineRule="auto"/>
        <w:rPr>
          <w:sz w:val="20"/>
          <w:szCs w:val="20"/>
          <w:color w:val="auto"/>
        </w:rPr>
      </w:pPr>
      <w:r>
        <w:rPr>
          <w:rFonts w:ascii="Times New Roman" w:cs="Times New Roman" w:eastAsia="Times New Roman" w:hAnsi="Times New Roman"/>
          <w:sz w:val="18"/>
          <w:szCs w:val="18"/>
          <w:color w:val="auto"/>
        </w:rPr>
        <w:t xml:space="preserve">brand in China. In addition, our engagement in philanthropic activities, such as our </w:t>
      </w:r>
      <w:r>
        <w:rPr>
          <w:rFonts w:ascii="Times New Roman" w:cs="Times New Roman" w:eastAsia="Times New Roman" w:hAnsi="Times New Roman"/>
          <w:sz w:val="18"/>
          <w:szCs w:val="18"/>
          <w:i w:val="1"/>
          <w:iCs w:val="1"/>
          <w:color w:val="auto"/>
        </w:rPr>
        <w:t>Annual Forever Happiness Charity Gala Dinner</w:t>
      </w:r>
      <w:r>
        <w:rPr>
          <w:rFonts w:ascii="Times New Roman" w:cs="Times New Roman" w:eastAsia="Times New Roman" w:hAnsi="Times New Roman"/>
          <w:sz w:val="18"/>
          <w:szCs w:val="18"/>
          <w:color w:val="auto"/>
        </w:rPr>
        <w:t xml:space="preserve"> (“ ”), helps associate our brand with social responsibility.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Seasonal fluctuations and industry cyclicality have affected, and are likely to continue to affect our business. We generally generate less revenue from brand advertising sales and paid services revenues during national holidays in China, in particular during the Chinese New Year holidays in the first quarter of each year. We typically generate higher net advertising revenues in the fourth quarter due to greater advertising spending by our advertisers near the end of each calendar year when they spend the remaining portions of their annual budgets. In addition, advertising spending in China has historically been cyclical, reflecting overall economic conditions as well as the budgeting and buying patterns of our advertisers. Our rapid growth has lessened the impact of the seasonal fluctuations and cyclicality. However, we expect that the seasonal fluctuations and cyclicality to cause our quarterly and annual operating results to fluctuate. See “Item 3. Key Information—D. Risk Factors — Risks Relating to Our Business and Industry—Our quarterly revenues and operating results may fluctuate, which makes our operating results difficult to predict and may cause our quarterly operating results to fall short of expectations.”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60" w:firstLine="441"/>
        <w:spacing w:after="0" w:line="257" w:lineRule="auto"/>
        <w:rPr>
          <w:sz w:val="20"/>
          <w:szCs w:val="20"/>
          <w:color w:val="auto"/>
        </w:rPr>
      </w:pPr>
      <w:r>
        <w:rPr>
          <w:rFonts w:ascii="Times New Roman" w:cs="Times New Roman" w:eastAsia="Times New Roman" w:hAnsi="Times New Roman"/>
          <w:sz w:val="18"/>
          <w:szCs w:val="18"/>
          <w:color w:val="auto"/>
        </w:rPr>
        <w:t xml:space="preserve">In 2016, we continued to improve our advertising solution products as well as focus on improving our convergence model across PC, mobile and TV in order to provide our users easier access to our premium content through any device. In particular, we continued to introduce and improve our mobile applications and strengthened commercial products in certain of our verticals. For example, we internally developed an analytic platform named </w:t>
      </w:r>
      <w:r>
        <w:rPr>
          <w:rFonts w:ascii="Times New Roman" w:cs="Times New Roman" w:eastAsia="Times New Roman" w:hAnsi="Times New Roman"/>
          <w:sz w:val="18"/>
          <w:szCs w:val="18"/>
          <w:i w:val="1"/>
          <w:iCs w:val="1"/>
          <w:color w:val="auto"/>
        </w:rPr>
        <w:t>Feng Yan</w:t>
      </w:r>
      <w:r>
        <w:rPr>
          <w:rFonts w:ascii="Times New Roman" w:cs="Times New Roman" w:eastAsia="Times New Roman" w:hAnsi="Times New Roman"/>
          <w:sz w:val="18"/>
          <w:szCs w:val="18"/>
          <w:color w:val="auto"/>
        </w:rPr>
        <w:t xml:space="preserve"> (“</w:t>
      </w:r>
    </w:p>
    <w:p>
      <w:pPr>
        <w:spacing w:after="0" w:line="2" w:lineRule="exact"/>
        <w:rPr>
          <w:sz w:val="20"/>
          <w:szCs w:val="20"/>
          <w:color w:val="auto"/>
        </w:rPr>
      </w:pPr>
    </w:p>
    <w:p>
      <w:pPr>
        <w:ind w:firstLine="108"/>
        <w:spacing w:after="0" w:line="252" w:lineRule="auto"/>
        <w:rPr>
          <w:sz w:val="20"/>
          <w:szCs w:val="20"/>
          <w:color w:val="auto"/>
        </w:rPr>
      </w:pPr>
      <w:r>
        <w:rPr>
          <w:rFonts w:ascii="Times New Roman" w:cs="Times New Roman" w:eastAsia="Times New Roman" w:hAnsi="Times New Roman"/>
          <w:sz w:val="18"/>
          <w:szCs w:val="18"/>
          <w:color w:val="auto"/>
        </w:rPr>
        <w:t xml:space="preserve">”) to track and analyze real-time traffic data. Through Feng Yan we can better understand user’s profile and reading preference, and provide reference data for future content production and performance advertising solution. Another platform we launched in 2016 is </w:t>
      </w:r>
      <w:r>
        <w:rPr>
          <w:rFonts w:ascii="Times New Roman" w:cs="Times New Roman" w:eastAsia="Times New Roman" w:hAnsi="Times New Roman"/>
          <w:sz w:val="18"/>
          <w:szCs w:val="18"/>
          <w:i w:val="1"/>
          <w:iCs w:val="1"/>
          <w:color w:val="auto"/>
        </w:rPr>
        <w:t>Feng Yu</w:t>
      </w: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i w:val="1"/>
          <w:iCs w:val="1"/>
          <w:color w:val="auto"/>
        </w:rPr>
        <w:t>Feng Yu</w:t>
      </w:r>
      <w:r>
        <w:rPr>
          <w:rFonts w:ascii="Times New Roman" w:cs="Times New Roman" w:eastAsia="Times New Roman" w:hAnsi="Times New Roman"/>
          <w:sz w:val="18"/>
          <w:szCs w:val="18"/>
          <w:color w:val="auto"/>
        </w:rPr>
        <w:t xml:space="preserve"> is a customizable and self-service marketing solution that operates under a bidding system. Customers are able to target users based on gender, age, geographic location, interests, device type, etc. Customers can place performance-based ads directly by themselves using our self-service advertising system. In 2014, 2015 and 2016, our total technology and product development expenses, including related share-based compensation were RMB150.0 million, RMB170.7 million and RMB161.9 million (US$23.3 million),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Infrastructure and Technology</w:t>
      </w:r>
    </w:p>
    <w:p>
      <w:pPr>
        <w:spacing w:after="0" w:line="229"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Our technology platform has been designed for reliability, speed, scalability and flexibility and is administered by our in-house technology department. We have access to a network of approximately 4,000 self-owned and leased servers across China mainland, Hong Kong and North America with power supply and power generator backup. We have developed our server operations based on Linux and other open source software, which has allowed us to lower software related investment and enhance our network reliability.</w:t>
      </w:r>
    </w:p>
    <w:p>
      <w:pPr>
        <w:spacing w:after="0" w:line="178" w:lineRule="exact"/>
        <w:rPr>
          <w:sz w:val="20"/>
          <w:szCs w:val="20"/>
          <w:color w:val="auto"/>
        </w:rPr>
      </w:pPr>
    </w:p>
    <w:p>
      <w:pPr>
        <w:ind w:right="50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Content Management Technology</w:t>
      </w:r>
      <w:r>
        <w:rPr>
          <w:rFonts w:ascii="Times New Roman" w:cs="Times New Roman" w:eastAsia="Times New Roman" w:hAnsi="Times New Roman"/>
          <w:sz w:val="18"/>
          <w:szCs w:val="18"/>
          <w:color w:val="auto"/>
        </w:rPr>
        <w:t>. We have internally developed a leading new media content management system, which fully integrates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ifeng.com, video and mobile channels. We have also developed a new consolidated system, CMPP (Content Management Programmable Platform), for content management and delivery, which focuses on HTML5 and mobile applications.</w:t>
      </w:r>
    </w:p>
    <w:p>
      <w:pPr>
        <w:sectPr>
          <w:pgSz w:w="11900" w:h="16838" w:orient="portrait"/>
          <w:cols w:equalWidth="0" w:num="1">
            <w:col w:w="11420"/>
          </w:cols>
          <w:pgMar w:left="240" w:top="121" w:right="239" w:bottom="0" w:gutter="0" w:footer="0" w:header="0"/>
        </w:sectPr>
      </w:pPr>
    </w:p>
    <w:bookmarkStart w:id="40" w:name="page41"/>
    <w:bookmarkEnd w:id="40"/>
    <w:p>
      <w:pPr>
        <w:spacing w:after="0" w:line="95"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Bandwidth Saving Technology</w:t>
      </w:r>
      <w:r>
        <w:rPr>
          <w:rFonts w:ascii="Times New Roman" w:cs="Times New Roman" w:eastAsia="Times New Roman" w:hAnsi="Times New Roman"/>
          <w:sz w:val="18"/>
          <w:szCs w:val="18"/>
          <w:color w:val="auto"/>
        </w:rPr>
        <w:t>. Our CDN allows us to provide ample bandwidth to our users, thereby enhancing their user experience. Our CDN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seamlessly integrates our self-developed CDN and commercial CDNs, which allows us to ensure bandwidth for users located in remote areas on an efficient and cost-effective basis. We have established approximately 40 CDN nodes across with telecommunication operators. We developed and deployed hybrid CDN-P2P for streaming and on-demand video to improve cost-effectiveness.</w:t>
      </w:r>
    </w:p>
    <w:p>
      <w:pPr>
        <w:spacing w:after="0" w:line="180" w:lineRule="exact"/>
        <w:rPr>
          <w:sz w:val="20"/>
          <w:szCs w:val="20"/>
          <w:color w:val="auto"/>
        </w:rPr>
      </w:pPr>
    </w:p>
    <w:p>
      <w:pPr>
        <w:ind w:right="700"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Integration with Phoenix TV</w:t>
      </w:r>
      <w:r>
        <w:rPr>
          <w:rFonts w:ascii="Times New Roman" w:cs="Times New Roman" w:eastAsia="Times New Roman" w:hAnsi="Times New Roman"/>
          <w:sz w:val="18"/>
          <w:szCs w:val="18"/>
          <w:color w:val="auto"/>
        </w:rPr>
        <w:t>. The integration of our and Phoenix TV’s content management systems allows us to directly access Phoenix TV’s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digitally, in addition to our access via satellite signal, and to expedite the transmission of our content to Phoenix TV.</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right="80" w:firstLine="441"/>
        <w:spacing w:after="0" w:line="259" w:lineRule="auto"/>
        <w:rPr>
          <w:sz w:val="20"/>
          <w:szCs w:val="20"/>
          <w:color w:val="auto"/>
        </w:rPr>
      </w:pPr>
      <w:r>
        <w:rPr>
          <w:rFonts w:ascii="Times New Roman" w:cs="Times New Roman" w:eastAsia="Times New Roman" w:hAnsi="Times New Roman"/>
          <w:sz w:val="18"/>
          <w:szCs w:val="18"/>
          <w:i w:val="1"/>
          <w:iCs w:val="1"/>
          <w:color w:val="auto"/>
        </w:rPr>
        <w:t>Data Analysis Technology</w:t>
      </w:r>
      <w:r>
        <w:rPr>
          <w:rFonts w:ascii="Times New Roman" w:cs="Times New Roman" w:eastAsia="Times New Roman" w:hAnsi="Times New Roman"/>
          <w:sz w:val="18"/>
          <w:szCs w:val="18"/>
          <w:color w:val="auto"/>
        </w:rPr>
        <w:t>. Based on commercial big data, we developed a data analytical system which has successfully helped build a comprehensive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analytical chain of big data and helping us achieve our goals of making precise and efficient commercial strategy decisions. This system delivers comprehensive and consultative data ranging from distribution channel, content to manpower. We can access advertising exposure data as well as clicks and its corresponding costs on all business platforms, such as application, WAP website and PC website. In addition, this system possesses flexible mechanics for organizing and analyzing data, with relatively lower cost.</w:t>
      </w:r>
    </w:p>
    <w:p>
      <w:pPr>
        <w:spacing w:after="0" w:line="180" w:lineRule="exact"/>
        <w:rPr>
          <w:sz w:val="20"/>
          <w:szCs w:val="20"/>
          <w:color w:val="auto"/>
        </w:rPr>
      </w:pPr>
    </w:p>
    <w:p>
      <w:pPr>
        <w:ind w:right="40"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Cloud Computing</w:t>
      </w:r>
      <w:r>
        <w:rPr>
          <w:rFonts w:ascii="Times New Roman" w:cs="Times New Roman" w:eastAsia="Times New Roman" w:hAnsi="Times New Roman"/>
          <w:sz w:val="18"/>
          <w:szCs w:val="18"/>
          <w:color w:val="auto"/>
        </w:rPr>
        <w:t>. Our technology department began researching the use of a cloud computing system in 2011 to modify our network and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and lower our content delivery and system maintenance costs. We have built a distributed file system, which provides file access services to our content management system, and is anticipated to become a streaming media service and core storage system for each of our CDN nodes. We have commenced our distributed computing platform project, which provide large-scale computer capacity support for our raw access log and transcoding computing-intensive applications. We have also deployed an open source virtualization cluster to integrate multiple small applications, which significantly reduced our IT costs.</w:t>
      </w:r>
    </w:p>
    <w:p>
      <w:pPr>
        <w:spacing w:after="0" w:line="183"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Intelligent Recommender System (IRS). </w:t>
      </w:r>
      <w:r>
        <w:rPr>
          <w:rFonts w:ascii="Times New Roman" w:cs="Times New Roman" w:eastAsia="Times New Roman" w:hAnsi="Times New Roman"/>
          <w:sz w:val="18"/>
          <w:szCs w:val="18"/>
          <w:color w:val="auto"/>
        </w:rPr>
        <w:t>Our technical department developed a real-time, personalized recommender system, which produce a list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contents through collaborative and content-based filtering, to predict contents that the user may have an interest in, and to recommend additional items with similar properties. Powered by cutting-edge algorithm technology, we are able to provide useful and relative news and information to our users, and also well-equipped to provide enhanced advertising solutions that target users based on their exhibited preferences.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We operate in the market of Internet and mobile Internet content and services in China. The industry is highly competitive and rapidly changing due to the fast growing market and technological developments. Our ability to compete successfully depends on many factors, including the quality and relevance of our content, the demographic composition of our users, brand recognition and reputation, user experience, the robustness of our technology platform, our ability to provide innovative advertising services to our customers and our relationships with our advertisers.</w:t>
      </w:r>
    </w:p>
    <w:p>
      <w:pPr>
        <w:spacing w:after="0" w:line="180" w:lineRule="exact"/>
        <w:rPr>
          <w:sz w:val="20"/>
          <w:szCs w:val="20"/>
          <w:color w:val="auto"/>
        </w:rPr>
      </w:pPr>
    </w:p>
    <w:p>
      <w:pPr>
        <w:ind w:right="200" w:firstLine="441"/>
        <w:spacing w:after="0" w:line="256" w:lineRule="auto"/>
        <w:rPr>
          <w:sz w:val="20"/>
          <w:szCs w:val="20"/>
          <w:color w:val="auto"/>
        </w:rPr>
      </w:pPr>
      <w:r>
        <w:rPr>
          <w:rFonts w:ascii="Times New Roman" w:cs="Times New Roman" w:eastAsia="Times New Roman" w:hAnsi="Times New Roman"/>
          <w:sz w:val="18"/>
          <w:szCs w:val="18"/>
          <w:color w:val="auto"/>
        </w:rPr>
        <w:t>While we believe that our integrated platform business model and targeted user base is unique, on the whole, from other companies in China, we compete with other content and service providers in each of our individual channels for user traffic, advertising revenues and fee-based services. In online content and service provision, we compete primarily with NetEase, Inc., Sina Corporation, Sohu.com Inc. and Tencent Technology Limited. In mobile Internet, especially among mobile news and information application and personalized feed application, we primarily compete against Jinri Toutiao, Tencent Technology Limited, Alibaba Group (UC Toutiao), NetEase, Inc., Sina Corporation, Sohu.com Inc., and Baidu Inc. In video, we compete with a number of online video companies, including Youku Tudou Inc., iqiyi.com, Sohu video, QQ video, PPlive.com and China Network Television, or CNTV.</w:t>
      </w:r>
    </w:p>
    <w:p>
      <w:pPr>
        <w:spacing w:after="0" w:line="188"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We also compete with traditional advertising media, such as television, radio, print media, as well as billboards and other forms of outdoor media. We expect large companies’ proportionate spending on new media advertising of their advertising budgets relative to traditional media advertising to continue increase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color w:val="auto"/>
        </w:rPr>
        <w:t>We rely on a combination of trademark, copyright and trade secret protection laws in China and other jurisdictions, as well as confidentiality procedures and contractual provisions to protect our intellectual property and our brand. We also enter into confidentiality, non-compete and invention assignment agreements with our employees and consultants and nondisclosure agreements with selected third parties. We had 137 PRC software registrations and owned 24 domain names, including ifeng.com, as of March 31, 2017.</w:t>
      </w:r>
    </w:p>
    <w:p>
      <w:pPr>
        <w:spacing w:after="0" w:line="180"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We have also designed proprietary logos for use in the respective businesses of Tianying Jiuzhou and Yifeng Lianhe. As of March 31, 2017, Tianying Jiuzhou owned 112 PRC registered trademarks, six of which were transferred from Phoenix Satellite Trademark Limited, and Yifeng Lianhe owned 20 PRC registered trademarks. In addition, Tianying Jiuzhou had submitted 144 registration applications relating to 25 logo designs, and Yifeng Lianhe had submitted one registration application relating to one logo design, to the PRC Trademark Office. Both of our affiliated consolidated entities continue to use certain of Phoenix TV’s logos that are licensed from Phoenix Satellite Television Trademark Limited. Therefore we are currently not in compliance with a notice of the MIIT which requires ICP License-holders to own the trademarks used in their value-added telecommunications businesses. For information about the risks related to our use of licensed trademarks and our plans to remedy such risks, see “Item 3. Key Information—D. Risk Factors—Risks Relating to Our Business and Industry—Our affiliated consolidated entities and their respective shareholders do not own all the trademarks used in their value-added telecommunications services, which may subject them to revocation of their licenses or other penalties or sanctions.”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We had approximately 1,969, 1,521 and 1,528 employees as of December 31, 2014, 2015 and 2016, respectively. The table below sets forth the number of employees categorized by function as of December 31, 2016:</w:t>
      </w:r>
    </w:p>
    <w:p>
      <w:pPr>
        <w:sectPr>
          <w:pgSz w:w="11900" w:h="16933" w:orient="portrait"/>
          <w:cols w:equalWidth="0" w:num="1">
            <w:col w:w="11420"/>
          </w:cols>
          <w:pgMar w:left="240" w:top="335" w:right="239" w:bottom="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73"/>
        </w:trPr>
        <w:tc>
          <w:tcPr>
            <w:tcW w:w="9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Employees</w:t>
            </w:r>
          </w:p>
        </w:tc>
      </w:tr>
      <w:tr>
        <w:trPr>
          <w:trHeight w:val="210"/>
        </w:trPr>
        <w:tc>
          <w:tcPr>
            <w:tcW w:w="9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and administration</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Content development</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tcPr>
          <w:p>
            <w:pPr>
              <w:spacing w:after="0"/>
              <w:rPr>
                <w:sz w:val="18"/>
                <w:szCs w:val="18"/>
                <w:color w:val="auto"/>
              </w:rPr>
            </w:pPr>
          </w:p>
        </w:tc>
      </w:tr>
      <w:tr>
        <w:trPr>
          <w:trHeight w:val="216"/>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Mobile products and services</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18"/>
                <w:szCs w:val="18"/>
                <w:color w:val="auto"/>
              </w:rPr>
            </w:pP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 and product development</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Pr>
          <w:p>
            <w:pPr>
              <w:spacing w:after="0"/>
              <w:rPr>
                <w:sz w:val="18"/>
                <w:szCs w:val="18"/>
                <w:color w:val="auto"/>
              </w:rPr>
            </w:pPr>
          </w:p>
        </w:tc>
      </w:tr>
      <w:tr>
        <w:trPr>
          <w:trHeight w:val="216"/>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shd w:val="clear" w:color="auto" w:fill="CCEEFF"/>
          </w:tcPr>
          <w:p>
            <w:pPr>
              <w:spacing w:after="0"/>
              <w:rPr>
                <w:sz w:val="18"/>
                <w:szCs w:val="18"/>
                <w:color w:val="auto"/>
              </w:rPr>
            </w:pPr>
          </w:p>
        </w:tc>
      </w:tr>
      <w:tr>
        <w:trPr>
          <w:trHeight w:val="210"/>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As of December 31, 2016, we had 1,322, 106 and 69 employees located in Beijing, Shanghai and Guangzhou, respectively, and 31 employees located in other locations in China. Currently we do not have any employees located outside of China.</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Since our inception, we have not experienced any strikes or other disruptions of employment. We believe our relationships with our employees 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t>
      </w:r>
    </w:p>
    <w:p>
      <w:pPr>
        <w:spacing w:after="0" w:line="207" w:lineRule="exact"/>
        <w:rPr>
          <w:sz w:val="20"/>
          <w:szCs w:val="20"/>
          <w:color w:val="auto"/>
        </w:rPr>
      </w:pPr>
    </w:p>
    <w:p>
      <w:pPr>
        <w:jc w:val="both"/>
        <w:ind w:right="200" w:firstLine="441"/>
        <w:spacing w:after="0" w:line="266" w:lineRule="auto"/>
        <w:rPr>
          <w:sz w:val="20"/>
          <w:szCs w:val="20"/>
          <w:color w:val="auto"/>
        </w:rPr>
      </w:pPr>
      <w:r>
        <w:rPr>
          <w:rFonts w:ascii="Times New Roman" w:cs="Times New Roman" w:eastAsia="Times New Roman" w:hAnsi="Times New Roman"/>
          <w:sz w:val="18"/>
          <w:szCs w:val="18"/>
          <w:color w:val="auto"/>
        </w:rPr>
        <w:t>The remuneration package of our employees includes salary, bonus, share-based compensation and other cash benefits. In accordance with applicable regulations in China, we participate in a pension contribution plan, a medical insurance plan, an unemployment insurance plan, a personal injury insurance plan, maternity insurance and a housing reserve fund for the benefit of all of our employees.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Administrative Proceedings</w:t>
      </w:r>
    </w:p>
    <w:p>
      <w:pPr>
        <w:spacing w:after="0" w:line="229"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From time to time, we are involved in claims and legal proceedings that arise in the ordinary course of business. We are currently a party to certain legal proceedings and claims which in the opinion of our management, adequate provisions have been recorded to cover the probable loss of those that can be reasonably estimated, while other claims are considered would not have material adverse effect, individually or in the aggregate, on our financial position, results of operations or cash flows. From January 1, 2016 to March 31, 2017, we have been subject to 75 cases in the PRC, 43 of which have been concluded. The aggregate amount of damages awards and settlements paid by us was RMB1.5 million. Government authorities may also impose administrative penalties on us if they find that we have infringed third parties’ intellectual property rights.</w:t>
      </w:r>
    </w:p>
    <w:p>
      <w:pPr>
        <w:spacing w:after="0" w:line="188"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In October 2015, the National Copyright Bureau imposed a fine of RMB250,000 on one of our consolidated affiliated entities for disseminating on our website and mobile applications one work of literature that we licensed from third parties that were alleged to have no legal rights to license such work. In November 2016, China Youth Book Inc. and Dewey Press LLC filed a claim against Tianying Jiuzhou and our company for intellectual property infringement of such work, the related claim for damage was approximately RMB235.8 million, however, the actual income we generated from such work was less than RMB1,500. As litigation is subject to inherent uncertainties and this case is at its preliminary stage, and based on the legal advice, we are currently unable to make an estimation of the reasonably possible loss or range of possible loss, if any. However, our view of these matters may change in the future and will review the need for any such liability on a regular basis.</w:t>
      </w:r>
    </w:p>
    <w:p>
      <w:pPr>
        <w:spacing w:after="0" w:line="189"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Litigation is subject to inherent uncertainties and our view of these matters may change in the future. There exists the possibility of a material adverse impact on our financial position, results of operations or cash flows for the period in which the unfavorable outcome occurs, and potentially in future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ind w:right="260" w:firstLine="450"/>
        <w:spacing w:after="0" w:line="282" w:lineRule="auto"/>
        <w:rPr>
          <w:sz w:val="20"/>
          <w:szCs w:val="20"/>
          <w:color w:val="auto"/>
        </w:rPr>
      </w:pPr>
      <w:r>
        <w:rPr>
          <w:rFonts w:ascii="Times New Roman" w:cs="Times New Roman" w:eastAsia="Times New Roman" w:hAnsi="Times New Roman"/>
          <w:sz w:val="18"/>
          <w:szCs w:val="18"/>
          <w:color w:val="auto"/>
        </w:rPr>
        <w:t>Our executive office is located at Sinolight Plaza, Floor 16, No. 4 Qiyang Road, Wangjing, Chaoyang District, Beijing 100102, People’s Republic of China. We maintain a number of offices in Beijing, Shanghai and Guangzhou under leases with terms ranging from one to five years.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describes each of our major offices as of December 31, 2016: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2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Space (in square meters)</w:t>
            </w:r>
          </w:p>
        </w:tc>
        <w:tc>
          <w:tcPr>
            <w:tcW w:w="1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Usage of Property</w:t>
            </w:r>
          </w:p>
        </w:tc>
        <w:tc>
          <w:tcPr>
            <w:tcW w:w="21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Expiration Dates</w:t>
            </w:r>
          </w:p>
        </w:tc>
      </w:tr>
      <w:tr>
        <w:trPr>
          <w:trHeight w:val="210"/>
        </w:trPr>
        <w:tc>
          <w:tcPr>
            <w:tcW w:w="4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Beijing</w:t>
            </w:r>
          </w:p>
        </w:tc>
        <w:tc>
          <w:tcPr>
            <w:tcW w:w="30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w:t>
            </w: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Office</w:t>
            </w: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June 30, 2017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Beijing</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Office</w:t>
            </w:r>
          </w:p>
        </w:tc>
        <w:tc>
          <w:tcPr>
            <w:tcW w:w="2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April 14, 2017</w:t>
            </w:r>
          </w:p>
        </w:tc>
      </w:tr>
      <w:tr>
        <w:trPr>
          <w:trHeight w:val="216"/>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Beijing</w:t>
            </w:r>
          </w:p>
        </w:tc>
        <w:tc>
          <w:tcPr>
            <w:tcW w:w="2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1,949</w:t>
            </w:r>
          </w:p>
        </w:tc>
        <w:tc>
          <w:tcPr>
            <w:tcW w:w="19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Office</w:t>
            </w:r>
          </w:p>
        </w:tc>
        <w:tc>
          <w:tcPr>
            <w:tcW w:w="2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October 15, 2021</w:t>
            </w: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Guangzhou</w:t>
            </w:r>
          </w:p>
        </w:tc>
        <w:tc>
          <w:tcPr>
            <w:tcW w:w="2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1,160</w:t>
            </w:r>
          </w:p>
        </w:tc>
        <w:tc>
          <w:tcPr>
            <w:tcW w:w="1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Office</w:t>
            </w:r>
          </w:p>
        </w:tc>
        <w:tc>
          <w:tcPr>
            <w:tcW w:w="2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August 31, 2018</w:t>
            </w:r>
          </w:p>
        </w:tc>
      </w:tr>
      <w:tr>
        <w:trPr>
          <w:trHeight w:val="216"/>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w:t>
            </w:r>
          </w:p>
        </w:tc>
        <w:tc>
          <w:tcPr>
            <w:tcW w:w="2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1,006</w:t>
            </w:r>
          </w:p>
        </w:tc>
        <w:tc>
          <w:tcPr>
            <w:tcW w:w="19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Office</w:t>
            </w:r>
          </w:p>
        </w:tc>
        <w:tc>
          <w:tcPr>
            <w:tcW w:w="2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May 31, 2019</w:t>
            </w:r>
          </w:p>
        </w:tc>
      </w:tr>
    </w:tbl>
    <w:p>
      <w:pPr>
        <w:spacing w:after="0" w:line="198" w:lineRule="exact"/>
        <w:rPr>
          <w:sz w:val="20"/>
          <w:szCs w:val="20"/>
          <w:color w:val="auto"/>
        </w:rPr>
      </w:pPr>
    </w:p>
    <w:p>
      <w:pPr>
        <w:ind w:right="400" w:firstLine="441"/>
        <w:spacing w:after="0" w:line="282" w:lineRule="auto"/>
        <w:rPr>
          <w:sz w:val="20"/>
          <w:szCs w:val="20"/>
          <w:color w:val="auto"/>
        </w:rPr>
      </w:pPr>
      <w:r>
        <w:rPr>
          <w:rFonts w:ascii="Times New Roman" w:cs="Times New Roman" w:eastAsia="Times New Roman" w:hAnsi="Times New Roman"/>
          <w:sz w:val="18"/>
          <w:szCs w:val="18"/>
          <w:color w:val="auto"/>
        </w:rPr>
        <w:t>We believe that our leased facilities are adequate to meet our needs for the foreseeable future, and that we will be able to obtain adequate facilities, principally through leasing of additional properties, to accommodate our future expansions.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29"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most significant PRC laws and regulations that affect our business activities in China or our shareholders’ rights to receive dividends and other distributions from 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Draft Foreign Investment Law</w:t>
      </w:r>
    </w:p>
    <w:p>
      <w:pPr>
        <w:spacing w:after="0" w:line="229"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 xml:space="preserve">On January 19, 2015, the MOFCOM published the Draft FIL, on its official website for public comments, which mainly covers: (i) definition of foreign investors and foreign investments, (ii) market entry clearance, (iii) national security review, (iv) information reporting, (v) investment promotion and protection as well as handling of complaints, (vi) legal liabilities and (vii) other general and miscellaneous provisions. The MOFCOM also published an explanatory note to the Draft FIL on its official website. The Draft FIL, once enacted, will eventually replace the trio of the </w:t>
      </w:r>
      <w:r>
        <w:rPr>
          <w:rFonts w:ascii="Times New Roman" w:cs="Times New Roman" w:eastAsia="Times New Roman" w:hAnsi="Times New Roman"/>
          <w:sz w:val="18"/>
          <w:szCs w:val="18"/>
          <w:i w:val="1"/>
          <w:iCs w:val="1"/>
          <w:color w:val="auto"/>
        </w:rPr>
        <w:t>Sino-foreign Equity Joint Venture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Enterprise Law</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Sino-foreign Cooperative Joint Venture Enterprise Law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Wholly Foreign-invested Enterprise Law </w:t>
      </w:r>
      <w:r>
        <w:rPr>
          <w:rFonts w:ascii="Times New Roman" w:cs="Times New Roman" w:eastAsia="Times New Roman" w:hAnsi="Times New Roman"/>
          <w:sz w:val="18"/>
          <w:szCs w:val="18"/>
          <w:color w:val="auto"/>
        </w:rPr>
        <w:t>as well as their implementation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and ancillary regulations, and will consolidate and simplify the various regulatory requirements on foreign investments.</w:t>
      </w:r>
    </w:p>
    <w:p>
      <w:pPr>
        <w:sectPr>
          <w:pgSz w:w="11900" w:h="16838" w:orient="portrait"/>
          <w:cols w:equalWidth="0" w:num="1">
            <w:col w:w="11420"/>
          </w:cols>
          <w:pgMar w:left="240" w:top="331" w:right="239" w:bottom="120" w:gutter="0" w:footer="0" w:header="0"/>
        </w:sectPr>
      </w:pPr>
    </w:p>
    <w:bookmarkStart w:id="42" w:name="page43"/>
    <w:bookmarkEnd w:id="42"/>
    <w:p>
      <w:pPr>
        <w:spacing w:after="0" w:line="14"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The Draft FIL embodies an expected PRC regulatory trend to rationalize its foreign investment regulatory regime in alignment with international practice and the legislative efforts to unify the corporate legal requirements for both foreign and domestic investments, and thus the Draft FIL will have a far-reaching and significant impact upon foreign investments by fundamentally reshaping the entire PRC foreign investment regulatory regime. The Draft FIL includes, among others, the following key points:</w:t>
      </w:r>
    </w:p>
    <w:p>
      <w:pPr>
        <w:spacing w:after="0" w:line="180" w:lineRule="exact"/>
        <w:rPr>
          <w:sz w:val="20"/>
          <w:szCs w:val="20"/>
          <w:color w:val="auto"/>
        </w:rPr>
      </w:pPr>
    </w:p>
    <w:p>
      <w:pPr>
        <w:ind w:left="1100" w:right="240" w:hanging="327"/>
        <w:spacing w:after="0" w:line="258" w:lineRule="auto"/>
        <w:tabs>
          <w:tab w:leader="none" w:pos="106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Draft FIL expands the definition of foreign investment and introduces the principle of “actual control” in determining whether an investment is considered a foreign investment or domestic investment. An entity established in China but “controlled” by foreign entities and/or citizens will be treated as a foreign investor, whereas an entity set up in a foreign jurisdiction but “controlled” by PRC entities and/or citizens would nonetheless be treated as a PRC domestic investor, provided that the entity obtains such determination upon market entry clearance by the competent foreign investment authority.</w:t>
      </w:r>
    </w:p>
    <w:p>
      <w:pPr>
        <w:spacing w:after="0" w:line="183" w:lineRule="exact"/>
        <w:rPr>
          <w:rFonts w:ascii="Times New Roman" w:cs="Times New Roman" w:eastAsia="Times New Roman" w:hAnsi="Times New Roman"/>
          <w:sz w:val="18"/>
          <w:szCs w:val="18"/>
          <w:color w:val="auto"/>
        </w:rPr>
      </w:pPr>
    </w:p>
    <w:p>
      <w:pPr>
        <w:ind w:left="1100" w:hanging="327"/>
        <w:spacing w:after="0" w:line="254" w:lineRule="auto"/>
        <w:tabs>
          <w:tab w:leader="none" w:pos="106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existing comprehensive approval system of foreign investments will be replaced by an entry clearance system in relation to foreign investments in the industries within the negative list and an information reporting system. The negative list will only comprise of two categories: the prohibited industries and the restricted industries; foreign investments in industries not listed in the negative list will not be required to apply for entry clearance or make record filing and will only be required to submit information reports. In the future, the negative list to be issued by State Council may replace the current </w:t>
      </w:r>
      <w:r>
        <w:rPr>
          <w:rFonts w:ascii="Times New Roman" w:cs="Times New Roman" w:eastAsia="Times New Roman" w:hAnsi="Times New Roman"/>
          <w:sz w:val="18"/>
          <w:szCs w:val="18"/>
          <w:i w:val="1"/>
          <w:iCs w:val="1"/>
          <w:color w:val="auto"/>
        </w:rPr>
        <w:t>Guidance Catalogue of Industries for Foreign Investments</w:t>
      </w:r>
      <w:r>
        <w:rPr>
          <w:rFonts w:ascii="Times New Roman" w:cs="Times New Roman" w:eastAsia="Times New Roman" w:hAnsi="Times New Roman"/>
          <w:sz w:val="18"/>
          <w:szCs w:val="18"/>
          <w:color w:val="auto"/>
        </w:rPr>
        <w:t>. The information reporting system includes the investment implementation reporting, investment amendment reporting, annual reporting and quarterly reporting. The scope of the information reporting is very extensive under the Draft FIL. In addition, any non-compliance with the information reporting obligations, concealing true information, or providing misleading or false information will be subject to monetary fines or criminal charges, depending on the seriousness of circumstances, and the persons directly responsible may also be criminally liable.</w:t>
      </w:r>
    </w:p>
    <w:p>
      <w:pPr>
        <w:spacing w:after="0" w:line="189" w:lineRule="exact"/>
        <w:rPr>
          <w:rFonts w:ascii="Times New Roman" w:cs="Times New Roman" w:eastAsia="Times New Roman" w:hAnsi="Times New Roman"/>
          <w:sz w:val="18"/>
          <w:szCs w:val="18"/>
          <w:color w:val="auto"/>
        </w:rPr>
      </w:pPr>
    </w:p>
    <w:p>
      <w:pPr>
        <w:ind w:left="1100" w:right="320" w:hanging="327"/>
        <w:spacing w:after="0" w:line="313" w:lineRule="auto"/>
        <w:tabs>
          <w:tab w:leader="none" w:pos="1064"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differences in the corporate governance requirements that currently apply to foreign invested and domestic enterprises will be removed, leaving only the requirements under the </w:t>
      </w:r>
      <w:r>
        <w:rPr>
          <w:rFonts w:ascii="Times New Roman" w:cs="Times New Roman" w:eastAsia="Times New Roman" w:hAnsi="Times New Roman"/>
          <w:sz w:val="17"/>
          <w:szCs w:val="17"/>
          <w:i w:val="1"/>
          <w:iCs w:val="1"/>
          <w:color w:val="auto"/>
        </w:rPr>
        <w:t>PRC Company Law</w:t>
      </w:r>
      <w:r>
        <w:rPr>
          <w:rFonts w:ascii="Times New Roman" w:cs="Times New Roman" w:eastAsia="Times New Roman" w:hAnsi="Times New Roman"/>
          <w:sz w:val="17"/>
          <w:szCs w:val="17"/>
          <w:color w:val="auto"/>
        </w:rPr>
        <w:t>, with which all foreign invested and domestic enterprises must comply.</w:t>
      </w:r>
    </w:p>
    <w:p>
      <w:pPr>
        <w:spacing w:after="0" w:line="138" w:lineRule="exact"/>
        <w:rPr>
          <w:rFonts w:ascii="Times New Roman" w:cs="Times New Roman" w:eastAsia="Times New Roman" w:hAnsi="Times New Roman"/>
          <w:sz w:val="17"/>
          <w:szCs w:val="17"/>
          <w:color w:val="auto"/>
        </w:rPr>
      </w:pPr>
    </w:p>
    <w:p>
      <w:pPr>
        <w:ind w:left="1100" w:right="240" w:hanging="327"/>
        <w:spacing w:after="0" w:line="266" w:lineRule="auto"/>
        <w:tabs>
          <w:tab w:leader="none" w:pos="106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national security review will be incorporated as a separate chapter and may replace the existing regulations and rules issued by the State Council or the MOFCOM. Compared with the existing regulations and rules, the scope of national security review is wider under the Draft FIL.</w:t>
      </w:r>
    </w:p>
    <w:p>
      <w:pPr>
        <w:spacing w:after="0" w:line="176" w:lineRule="exact"/>
        <w:rPr>
          <w:rFonts w:ascii="Times New Roman" w:cs="Times New Roman" w:eastAsia="Times New Roman" w:hAnsi="Times New Roman"/>
          <w:sz w:val="18"/>
          <w:szCs w:val="18"/>
          <w:color w:val="auto"/>
        </w:rPr>
      </w:pPr>
    </w:p>
    <w:p>
      <w:pPr>
        <w:ind w:left="1100" w:right="60" w:hanging="327"/>
        <w:spacing w:after="0" w:line="261" w:lineRule="auto"/>
        <w:tabs>
          <w:tab w:leader="none" w:pos="106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 structure will fall into the jurisdiction of the Draft FIL, and certain potential solutions was proposed to apply to the existing VIE structures. See “Item 3. Key Information—D. Risk Factors—Risks Relating to Doing Business in China— Substantial uncertainties exist with respect to the enactment timetable, interpretation and implementation of the draft Foreign Investment Law and how it may impact the viability of our current corporate structure, corporate governance and business operations.”</w:t>
      </w:r>
    </w:p>
    <w:p>
      <w:pPr>
        <w:spacing w:after="0" w:line="180" w:lineRule="exact"/>
        <w:rPr>
          <w:sz w:val="20"/>
          <w:szCs w:val="20"/>
          <w:color w:val="auto"/>
        </w:rPr>
      </w:pPr>
    </w:p>
    <w:p>
      <w:pPr>
        <w:ind w:right="140" w:firstLine="441"/>
        <w:spacing w:after="0" w:line="261" w:lineRule="auto"/>
        <w:rPr>
          <w:sz w:val="20"/>
          <w:szCs w:val="20"/>
          <w:color w:val="auto"/>
        </w:rPr>
      </w:pPr>
      <w:r>
        <w:rPr>
          <w:rFonts w:ascii="Times New Roman" w:cs="Times New Roman" w:eastAsia="Times New Roman" w:hAnsi="Times New Roman"/>
          <w:sz w:val="18"/>
          <w:szCs w:val="18"/>
          <w:color w:val="auto"/>
        </w:rPr>
        <w:t>Although only a first draft has been released for public comments, it is already apparent that the Draft FIL will fundamentally change the current foreign investment regulatory landscape. There is no definitive timeline for this law to be officially promulgated by the PRC legislature and the current draft may need to undergo significant amendment before the law is finally passed. Accordingly, substantial uncertainties still exist with respect to the enactment timetable, interpretation and implementation of this new law.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Telecommunications and Internet Information Services</w:t>
      </w:r>
    </w:p>
    <w:p>
      <w:pPr>
        <w:spacing w:after="0" w:line="229"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The telecommunications industry, including the Internet sector, is highly regulated in the PRC. Regulations issued or implemented by the State Council, the Ministry of Industry and Information Technology, or MIIT (formerly the Ministry of Information Industry, or MII), and other relevant government authorities cover many aspects of operation of telecommunications and Internet information services, including entry into the telecommunications industry, the scope of permissible business activities, licenses and permits for various business activities and foreign investment.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principal regulations governing the telecommunications and Internet information services we provide in the PRC include:</w:t>
      </w:r>
    </w:p>
    <w:p>
      <w:pPr>
        <w:spacing w:after="0" w:line="223" w:lineRule="exact"/>
        <w:rPr>
          <w:sz w:val="20"/>
          <w:szCs w:val="20"/>
          <w:color w:val="auto"/>
        </w:rPr>
      </w:pPr>
    </w:p>
    <w:p>
      <w:pPr>
        <w:ind w:right="100"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Telecommunications Regulations </w:t>
      </w:r>
      <w:r>
        <w:rPr>
          <w:rFonts w:ascii="Times New Roman" w:cs="Times New Roman" w:eastAsia="Times New Roman" w:hAnsi="Times New Roman"/>
          <w:sz w:val="18"/>
          <w:szCs w:val="18"/>
          <w:color w:val="auto"/>
        </w:rPr>
        <w:t>(2014, revised), or the Telecom Regulations. The Telecom Regulations categorize all telecommunications businesses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PRC as either basic or value-added. Value-added telecommunications services are defined as telecommunications and information services provided through public network infrastructures. The currently effective “Catalog of Telecommunications Business,” an attachment to the Telecom Regulations, categorizes various types of telecommunications and telecommunications-related activities into basic or value-added telecommunications services, according to which, Internet information services, or ICP services, are classified as value-added telecommunications businesses. Under the Telecom Regulations, commercial operators of value-added telecommunications services must first obtain an operating license for value-added telecommunications services, or the ICP License, from MIIT or its provincial level counterparts.</w:t>
      </w:r>
    </w:p>
    <w:p>
      <w:pPr>
        <w:spacing w:after="0" w:line="183" w:lineRule="exact"/>
        <w:rPr>
          <w:sz w:val="20"/>
          <w:szCs w:val="20"/>
          <w:color w:val="auto"/>
        </w:rPr>
      </w:pPr>
    </w:p>
    <w:p>
      <w:pPr>
        <w:ind w:right="100" w:firstLine="44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Administrative Measures on Internet Information Services </w:t>
      </w:r>
      <w:r>
        <w:rPr>
          <w:rFonts w:ascii="Times New Roman" w:cs="Times New Roman" w:eastAsia="Times New Roman" w:hAnsi="Times New Roman"/>
          <w:sz w:val="18"/>
          <w:szCs w:val="18"/>
          <w:color w:val="auto"/>
        </w:rPr>
        <w:t>(2011, revised), or the Internet Measures. According to the Internet Measures, a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ICP service operator must obtain an ICP License from MIIT or its provincial level counterparts before engaging in any commercial ICP service in PRC. When the ICP service involves areas of news, publication, education, medicine, health, pharmaceuticals, medical equipment and other industry and, if required by relevant laws and regulations, prior approval from the respective regulatory authorities must be obtained prior to applying for the ICP License. Moreover, an ICP service operator must display its ICP License number in a conspicuous location on its website.</w:t>
      </w:r>
    </w:p>
    <w:p>
      <w:pPr>
        <w:spacing w:after="0" w:line="180" w:lineRule="exact"/>
        <w:rPr>
          <w:sz w:val="20"/>
          <w:szCs w:val="20"/>
          <w:color w:val="auto"/>
        </w:rPr>
      </w:pPr>
    </w:p>
    <w:p>
      <w:pPr>
        <w:ind w:right="80" w:firstLine="441"/>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Administrative Measures for Telecommunications Business Operating License </w:t>
      </w:r>
      <w:r>
        <w:rPr>
          <w:rFonts w:ascii="Times New Roman" w:cs="Times New Roman" w:eastAsia="Times New Roman" w:hAnsi="Times New Roman"/>
          <w:sz w:val="17"/>
          <w:szCs w:val="17"/>
          <w:color w:val="auto"/>
        </w:rPr>
        <w:t>(2009, revised), or the Telecom License Measures. Pursuant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Telecom License Measures, an ICP service operator conducting business within a single province must apply for the ICP License from MIIT’s applicable provincial level counterpart, while that providing ICP services across provinces must apply for Trans-regional ICP License directly from MIIT. The appendix to the ICP License should detail the permitted activities to be conducted by the ICP service operator. An approved ICP service operator must conduct its business in accordance with the specifications recorded on its ICP License. The ICP License is subject to annual review and the annual review result will be recorded as an appendix to the ICP License, published to the public and notified to the applicable administrative authority for industry and commerce.</w:t>
      </w:r>
    </w:p>
    <w:p>
      <w:pPr>
        <w:spacing w:after="0" w:line="169" w:lineRule="exact"/>
        <w:rPr>
          <w:sz w:val="20"/>
          <w:szCs w:val="20"/>
          <w:color w:val="auto"/>
        </w:rPr>
      </w:pPr>
    </w:p>
    <w:p>
      <w:pPr>
        <w:ind w:right="8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Regulations for Administration of Foreign-Invested Telecommunications Enterprises </w:t>
      </w:r>
      <w:r>
        <w:rPr>
          <w:rFonts w:ascii="Times New Roman" w:cs="Times New Roman" w:eastAsia="Times New Roman" w:hAnsi="Times New Roman"/>
          <w:sz w:val="18"/>
          <w:szCs w:val="18"/>
          <w:color w:val="auto"/>
        </w:rPr>
        <w:t>(2008, revised), or the FITE Regulations. Under the FITE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a foreign entity is prohibited from owning more than 50% of the total equity interest in any value-added telecommunications service business in the PRC and the major foreign investor in any value-added telecommunications service business in the PRC shall have a good track record in such industry.</w:t>
      </w:r>
    </w:p>
    <w:p>
      <w:pPr>
        <w:sectPr>
          <w:pgSz w:w="11900" w:h="16852" w:orient="portrait"/>
          <w:cols w:equalWidth="0" w:num="1">
            <w:col w:w="11420"/>
          </w:cols>
          <w:pgMar w:left="240" w:top="121" w:right="239" w:bottom="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Notice on Strengthening the Administration of Foreign Investment in Value-added Telecommunications Services </w:t>
      </w:r>
      <w:r>
        <w:rPr>
          <w:rFonts w:ascii="Times New Roman" w:cs="Times New Roman" w:eastAsia="Times New Roman" w:hAnsi="Times New Roman"/>
          <w:sz w:val="18"/>
          <w:szCs w:val="18"/>
          <w:color w:val="auto"/>
        </w:rPr>
        <w:t>(2006), or the MIIT 2006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MIIT 2006 Notice, a domestic PRC company that holds an ICP License is prohibited from leasing, transferring or selling the ICP License to foreign investors in any form, and from providing any assistance, including providing resources, sites or facilities, to foreign investors that conduct value-added telecommunications business illegally in the PRC. Further, the domain names and registered trademarks used by an operating company providing value-added telecommunications service must be legally owned by such company and/or its shareholders. In addition, such company’s operation premises and equipment should comply with its approved ICP License, and such company should establish and improve its internal Internet and information security policies and standards and emergency management procedures. After the promulgation of the MIIT 2006 Notice in July 2006, the MIIT issued a subsequent notice in October 2006, or the MIIT October Notice, urging value-added telecommunication service operators to conduct self-examination regarding any noncompliance with the MIIT 2006 Notice prior to November 1, 2006. Pursuant to the MIIT October Notice, ICP License-holders who were not in compliance with the MIIT 2006 Notice were allowed to submit a self-correction report to the local provincial-level branch of MIIT by November 20, 2006.</w:t>
      </w:r>
    </w:p>
    <w:p>
      <w:pPr>
        <w:spacing w:after="0" w:line="188" w:lineRule="exact"/>
        <w:rPr>
          <w:sz w:val="20"/>
          <w:szCs w:val="20"/>
          <w:color w:val="auto"/>
        </w:rPr>
      </w:pPr>
    </w:p>
    <w:p>
      <w:pPr>
        <w:ind w:right="160" w:firstLine="441"/>
        <w:spacing w:after="0" w:line="256" w:lineRule="auto"/>
        <w:rPr>
          <w:sz w:val="20"/>
          <w:szCs w:val="20"/>
          <w:color w:val="auto"/>
        </w:rPr>
      </w:pPr>
      <w:r>
        <w:rPr>
          <w:rFonts w:ascii="Times New Roman" w:cs="Times New Roman" w:eastAsia="Times New Roman" w:hAnsi="Times New Roman"/>
          <w:sz w:val="18"/>
          <w:szCs w:val="18"/>
          <w:color w:val="auto"/>
        </w:rPr>
        <w:t>We have also designed proprietary logos for use in the respective businesses of Tianying Jiuzhou and Yifeng Lianhe. As of March 31, 2017, Tianying Jiuzhou owned 112 PRC registered trademarks, six of which were transferred to it from Phoenix Satellite Trademark Limited, and Yifeng Lianhe owned 20 PRC registered trademarks. In addition, Tianying Jiuzhou had submitted 144 registration applications relating to 25 logo designs, and Yifeng Lianhe had submitted one registration application relating to one logo design, to the PRC Trademark Office. Both of our affiliated consolidated entities continue to use certain of Phoenix TV’s logos that are licensed from Phoenix Satellite Television Trademark Limited. Therefore we are currently not in compliance with the MIIT 2006 Notice.</w:t>
      </w:r>
    </w:p>
    <w:p>
      <w:pPr>
        <w:spacing w:after="0" w:line="188" w:lineRule="exact"/>
        <w:rPr>
          <w:sz w:val="20"/>
          <w:szCs w:val="20"/>
          <w:color w:val="auto"/>
        </w:rPr>
      </w:pPr>
    </w:p>
    <w:p>
      <w:pPr>
        <w:ind w:right="240" w:firstLine="450"/>
        <w:spacing w:after="0" w:line="256" w:lineRule="auto"/>
        <w:rPr>
          <w:sz w:val="20"/>
          <w:szCs w:val="20"/>
          <w:color w:val="auto"/>
        </w:rPr>
      </w:pPr>
      <w:r>
        <w:rPr>
          <w:rFonts w:ascii="Times New Roman" w:cs="Times New Roman" w:eastAsia="Times New Roman" w:hAnsi="Times New Roman"/>
          <w:sz w:val="18"/>
          <w:szCs w:val="18"/>
          <w:color w:val="auto"/>
        </w:rPr>
        <w:t>All “ifeng” related trademarks used by our company have been transferred to our affiliated consolidated entities. In addition, we will continue to examine the possibility of the transferring to our affiliated consolidated entities all or part of the ownership of additional licensed logos currently used by them in a manner that would meet the requirements of PRC trademark regulations in due course in the future. For information about the risks related to our use of licensed trademarks, see “Item 3. Key Information—D. Risk Factors—Risks Relating to Our Business and Industry—Our affiliated consolidated entities and their respective shareholders do not own all the trademarks used in their value-added telecommunications services, which may subject them to revocation of their licenses or other penalties or sanctions.”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right="16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Measures for the Administration of Commercial Website Filings for Record </w:t>
      </w:r>
      <w:r>
        <w:rPr>
          <w:rFonts w:ascii="Times New Roman" w:cs="Times New Roman" w:eastAsia="Times New Roman" w:hAnsi="Times New Roman"/>
          <w:sz w:val="18"/>
          <w:szCs w:val="18"/>
          <w:color w:val="auto"/>
        </w:rPr>
        <w:t>(2004). Under these measures, commercial websites operated by ICP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operators registered in Beijing must: (i) file with the Beijing Administration of Industry and Commerce and obtain electronic registration marks, and (ii) place the registration marks on their websites’ homepages.</w:t>
      </w:r>
    </w:p>
    <w:p>
      <w:pPr>
        <w:spacing w:after="0" w:line="176" w:lineRule="exact"/>
        <w:rPr>
          <w:sz w:val="20"/>
          <w:szCs w:val="20"/>
          <w:color w:val="auto"/>
        </w:rPr>
      </w:pPr>
    </w:p>
    <w:p>
      <w:pPr>
        <w:ind w:right="20" w:firstLine="450"/>
        <w:spacing w:after="0" w:line="258" w:lineRule="auto"/>
        <w:rPr>
          <w:sz w:val="20"/>
          <w:szCs w:val="20"/>
          <w:color w:val="auto"/>
        </w:rPr>
      </w:pPr>
      <w:r>
        <w:rPr>
          <w:rFonts w:ascii="Times New Roman" w:cs="Times New Roman" w:eastAsia="Times New Roman" w:hAnsi="Times New Roman"/>
          <w:sz w:val="18"/>
          <w:szCs w:val="18"/>
          <w:color w:val="auto"/>
        </w:rPr>
        <w:t>In order to comply with these PRC laws and regulations, we operate our commercial website through Tianying Jiuzhou, one of our PRC affiliated consolidated entities. Tianying Jiuzhou holds an ICP License and owns the material domain names for our value-added telecommunications business. In addition, Tianying Jiuzhou completed the necessary filing with the relevant Administration of Industry and Commerce to obtain the electronic registration mark for our website and has placed the registration mark on the website homepage. Tianying Jiuzhou has completed all necessary registrations and approvals for its use of such material domain names.</w:t>
      </w:r>
    </w:p>
    <w:p>
      <w:pPr>
        <w:spacing w:after="0" w:line="184" w:lineRule="exact"/>
        <w:rPr>
          <w:sz w:val="20"/>
          <w:szCs w:val="20"/>
          <w:color w:val="auto"/>
        </w:rPr>
      </w:pPr>
    </w:p>
    <w:p>
      <w:pPr>
        <w:ind w:right="340" w:firstLine="441"/>
        <w:spacing w:after="0" w:line="266" w:lineRule="auto"/>
        <w:rPr>
          <w:sz w:val="20"/>
          <w:szCs w:val="20"/>
          <w:color w:val="auto"/>
        </w:rPr>
      </w:pPr>
      <w:r>
        <w:rPr>
          <w:rFonts w:ascii="Times New Roman" w:cs="Times New Roman" w:eastAsia="Times New Roman" w:hAnsi="Times New Roman"/>
          <w:sz w:val="18"/>
          <w:szCs w:val="18"/>
          <w:color w:val="auto"/>
        </w:rPr>
        <w:t>Under various laws and regulations governing ICP services, ICP services operators are required to monitor their websites. They may not produce, duplicate, post or disseminate any content that falls within the prohibited categories and must remove any such content from their websites, including any content that:</w:t>
      </w:r>
    </w:p>
    <w:p>
      <w:pPr>
        <w:spacing w:after="0" w:line="176" w:lineRule="exact"/>
        <w:rPr>
          <w:sz w:val="20"/>
          <w:szCs w:val="20"/>
          <w:color w:val="auto"/>
        </w:rPr>
      </w:pPr>
    </w:p>
    <w:p>
      <w:pPr>
        <w:ind w:left="1680" w:hanging="907"/>
        <w:spacing w:after="0"/>
        <w:tabs>
          <w:tab w:leader="none" w:pos="1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opposes the fundamental principles determined in the PRC’s Constitution;</w:t>
      </w:r>
    </w:p>
    <w:p>
      <w:pPr>
        <w:spacing w:after="0" w:line="225" w:lineRule="exact"/>
        <w:rPr>
          <w:rFonts w:ascii="Times New Roman" w:cs="Times New Roman" w:eastAsia="Times New Roman" w:hAnsi="Times New Roman"/>
          <w:sz w:val="18"/>
          <w:szCs w:val="18"/>
          <w:color w:val="auto"/>
        </w:rPr>
      </w:pPr>
    </w:p>
    <w:p>
      <w:pPr>
        <w:ind w:left="1680" w:hanging="907"/>
        <w:spacing w:after="0"/>
        <w:tabs>
          <w:tab w:leader="none" w:pos="1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compromises state security, divulges state secrets, subverts state power or damages national unity;</w:t>
      </w:r>
    </w:p>
    <w:p>
      <w:pPr>
        <w:spacing w:after="0" w:line="225" w:lineRule="exact"/>
        <w:rPr>
          <w:rFonts w:ascii="Times New Roman" w:cs="Times New Roman" w:eastAsia="Times New Roman" w:hAnsi="Times New Roman"/>
          <w:sz w:val="18"/>
          <w:szCs w:val="18"/>
          <w:color w:val="auto"/>
        </w:rPr>
      </w:pPr>
    </w:p>
    <w:p>
      <w:pPr>
        <w:ind w:left="1680" w:hanging="907"/>
        <w:spacing w:after="0"/>
        <w:tabs>
          <w:tab w:leader="none" w:pos="1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harms the dignity or interests of the State;</w:t>
      </w:r>
    </w:p>
    <w:p>
      <w:pPr>
        <w:spacing w:after="0" w:line="225" w:lineRule="exact"/>
        <w:rPr>
          <w:rFonts w:ascii="Times New Roman" w:cs="Times New Roman" w:eastAsia="Times New Roman" w:hAnsi="Times New Roman"/>
          <w:sz w:val="18"/>
          <w:szCs w:val="18"/>
          <w:color w:val="auto"/>
        </w:rPr>
      </w:pPr>
    </w:p>
    <w:p>
      <w:pPr>
        <w:ind w:left="1680" w:hanging="907"/>
        <w:spacing w:after="0"/>
        <w:tabs>
          <w:tab w:leader="none" w:pos="1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incites ethnic hatred or racial discrimination or damages inter-ethnic unity;</w:t>
      </w:r>
    </w:p>
    <w:p>
      <w:pPr>
        <w:spacing w:after="0" w:line="225" w:lineRule="exact"/>
        <w:rPr>
          <w:rFonts w:ascii="Times New Roman" w:cs="Times New Roman" w:eastAsia="Times New Roman" w:hAnsi="Times New Roman"/>
          <w:sz w:val="18"/>
          <w:szCs w:val="18"/>
          <w:color w:val="auto"/>
        </w:rPr>
      </w:pPr>
    </w:p>
    <w:p>
      <w:pPr>
        <w:ind w:left="1680" w:hanging="907"/>
        <w:spacing w:after="0"/>
        <w:tabs>
          <w:tab w:leader="none" w:pos="1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sabotages the PRC’s religious policy or propagates heretical teachings or feudal superstitions;</w:t>
      </w:r>
    </w:p>
    <w:p>
      <w:pPr>
        <w:spacing w:after="0" w:line="225" w:lineRule="exact"/>
        <w:rPr>
          <w:rFonts w:ascii="Times New Roman" w:cs="Times New Roman" w:eastAsia="Times New Roman" w:hAnsi="Times New Roman"/>
          <w:sz w:val="18"/>
          <w:szCs w:val="18"/>
          <w:color w:val="auto"/>
        </w:rPr>
      </w:pPr>
    </w:p>
    <w:p>
      <w:pPr>
        <w:ind w:left="1680" w:hanging="907"/>
        <w:spacing w:after="0"/>
        <w:tabs>
          <w:tab w:leader="none" w:pos="1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disseminates rumors, disturbs social order or disrupts social stability;</w:t>
      </w:r>
    </w:p>
    <w:p>
      <w:pPr>
        <w:spacing w:after="0" w:line="225" w:lineRule="exact"/>
        <w:rPr>
          <w:rFonts w:ascii="Times New Roman" w:cs="Times New Roman" w:eastAsia="Times New Roman" w:hAnsi="Times New Roman"/>
          <w:sz w:val="18"/>
          <w:szCs w:val="18"/>
          <w:color w:val="auto"/>
        </w:rPr>
      </w:pPr>
    </w:p>
    <w:p>
      <w:pPr>
        <w:ind w:left="1680" w:hanging="907"/>
        <w:spacing w:after="0"/>
        <w:tabs>
          <w:tab w:leader="none" w:pos="1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propagates obscenity, pornography, gambling, violence, murder or fear or incites the commission of crimes;</w:t>
      </w:r>
    </w:p>
    <w:p>
      <w:pPr>
        <w:spacing w:after="0" w:line="225" w:lineRule="exact"/>
        <w:rPr>
          <w:rFonts w:ascii="Times New Roman" w:cs="Times New Roman" w:eastAsia="Times New Roman" w:hAnsi="Times New Roman"/>
          <w:sz w:val="18"/>
          <w:szCs w:val="18"/>
          <w:color w:val="auto"/>
        </w:rPr>
      </w:pPr>
    </w:p>
    <w:p>
      <w:pPr>
        <w:ind w:left="1680" w:hanging="907"/>
        <w:spacing w:after="0"/>
        <w:tabs>
          <w:tab w:leader="none" w:pos="1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insults or slanders a third party or infringes upon the lawful rights and interests of a third party; or</w:t>
      </w:r>
    </w:p>
    <w:p>
      <w:pPr>
        <w:spacing w:after="0" w:line="225" w:lineRule="exact"/>
        <w:rPr>
          <w:rFonts w:ascii="Times New Roman" w:cs="Times New Roman" w:eastAsia="Times New Roman" w:hAnsi="Times New Roman"/>
          <w:sz w:val="18"/>
          <w:szCs w:val="18"/>
          <w:color w:val="auto"/>
        </w:rPr>
      </w:pPr>
    </w:p>
    <w:p>
      <w:pPr>
        <w:ind w:left="1680" w:hanging="907"/>
        <w:spacing w:after="0"/>
        <w:tabs>
          <w:tab w:leader="none" w:pos="1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other content prohibited by laws or administrative regulations.</w:t>
      </w:r>
    </w:p>
    <w:p>
      <w:pPr>
        <w:spacing w:after="0" w:line="225" w:lineRule="exact"/>
        <w:rPr>
          <w:sz w:val="20"/>
          <w:szCs w:val="20"/>
          <w:color w:val="auto"/>
        </w:rPr>
      </w:pPr>
    </w:p>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The PRC government may shut down the websites of ICP License holders that violate any of the above restrictions and requirements, revoke their ICP Licenses or impose other penalties pursuant to applicable law.</w:t>
      </w:r>
    </w:p>
    <w:p>
      <w:pPr>
        <w:spacing w:after="0" w:line="162"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In order to comply with these PRC laws and regulations, we have adopted internal procedures to monitor content displayed on our website. However, because the definition and interpretation of prohibited content is in many cases vague and subjective, it is not always possible to determine or predict what content might be prohibited under existing restrictions or restrictions that might be imposed in the future and we may be subject to penalties for such content. See “Item 3. Key Information—D. Risk Factors—Risks Relating to Our Business and Industry—The Chinese government may prevent us from advertising or</w:t>
      </w:r>
    </w:p>
    <w:p>
      <w:pPr>
        <w:sectPr>
          <w:pgSz w:w="11900" w:h="16838" w:orient="portrait"/>
          <w:cols w:equalWidth="0" w:num="1">
            <w:col w:w="11420"/>
          </w:cols>
          <w:pgMar w:left="240" w:top="337" w:right="239" w:bottom="0" w:gutter="0" w:footer="0" w:header="0"/>
        </w:sectPr>
      </w:pPr>
    </w:p>
    <w:bookmarkStart w:id="44" w:name="page45"/>
    <w:bookmarkEnd w:id="44"/>
    <w:p>
      <w:pPr>
        <w:spacing w:after="0" w:line="9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distributing content, including UGC, that it believes is inappropriate and we may be subject to penalties for such content or we may have to interrupt or stop the operation of our website and mobile applications.”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Online Transmission of Audio-Visual Programs</w:t>
      </w:r>
    </w:p>
    <w:p>
      <w:pPr>
        <w:spacing w:after="0" w:line="227" w:lineRule="exact"/>
        <w:rPr>
          <w:sz w:val="20"/>
          <w:szCs w:val="20"/>
          <w:color w:val="auto"/>
        </w:rPr>
      </w:pPr>
    </w:p>
    <w:p>
      <w:pPr>
        <w:ind w:right="60" w:firstLine="441"/>
        <w:spacing w:after="0" w:line="255" w:lineRule="auto"/>
        <w:rPr>
          <w:sz w:val="20"/>
          <w:szCs w:val="20"/>
          <w:color w:val="auto"/>
        </w:rPr>
      </w:pPr>
      <w:r>
        <w:rPr>
          <w:rFonts w:ascii="Times New Roman" w:cs="Times New Roman" w:eastAsia="Times New Roman" w:hAnsi="Times New Roman"/>
          <w:sz w:val="18"/>
          <w:szCs w:val="18"/>
          <w:color w:val="auto"/>
        </w:rPr>
        <w:t xml:space="preserve">On July 6, 2004, SARFT promulgated the </w:t>
      </w:r>
      <w:r>
        <w:rPr>
          <w:rFonts w:ascii="Times New Roman" w:cs="Times New Roman" w:eastAsia="Times New Roman" w:hAnsi="Times New Roman"/>
          <w:sz w:val="18"/>
          <w:szCs w:val="18"/>
          <w:i w:val="1"/>
          <w:iCs w:val="1"/>
          <w:color w:val="auto"/>
        </w:rPr>
        <w:t>Measures for the Administration of Publication of Audio-Visual Programs through the Internet or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Networks</w:t>
      </w:r>
      <w:r>
        <w:rPr>
          <w:rFonts w:ascii="Times New Roman" w:cs="Times New Roman" w:eastAsia="Times New Roman" w:hAnsi="Times New Roman"/>
          <w:sz w:val="18"/>
          <w:szCs w:val="18"/>
          <w:color w:val="auto"/>
        </w:rPr>
        <w:t>, or the 2004 Internet A/V Measures, which was revised on August 28, 2015. The 2004 Internet A/V Measures apply to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relating to the opening, broadcasting, integration, transmission or download of audio-visual programs via the Internet or other information networks. An applicant who engages in the business of transmitting audio-visual programs must obtain a license from GAPPRFT in accordance with its category of business, including receiving terminals, transmission networks and other items. Foreign-invested enterprises are not allowed to engage in the above business. Pursuant to the </w:t>
      </w:r>
      <w:r>
        <w:rPr>
          <w:rFonts w:ascii="Times New Roman" w:cs="Times New Roman" w:eastAsia="Times New Roman" w:hAnsi="Times New Roman"/>
          <w:sz w:val="18"/>
          <w:szCs w:val="18"/>
          <w:i w:val="1"/>
          <w:iCs w:val="1"/>
          <w:color w:val="auto"/>
        </w:rPr>
        <w:t>Certain Decisions on the Entry of the Non-State-owned Capital into the Cultural Industry</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Several Opinions on Canvassing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Investment into the Cultural Sector </w:t>
      </w:r>
      <w:r>
        <w:rPr>
          <w:rFonts w:ascii="Times New Roman" w:cs="Times New Roman" w:eastAsia="Times New Roman" w:hAnsi="Times New Roman"/>
          <w:sz w:val="18"/>
          <w:szCs w:val="18"/>
          <w:color w:val="auto"/>
        </w:rPr>
        <w:t>promulgated in 2005 non-State-owned capital and foreign investors are not allowed to conduct the business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transmitting audio-visual programs via an information network.</w:t>
      </w:r>
    </w:p>
    <w:p>
      <w:pPr>
        <w:spacing w:after="0" w:line="185" w:lineRule="exact"/>
        <w:rPr>
          <w:sz w:val="20"/>
          <w:szCs w:val="20"/>
          <w:color w:val="auto"/>
        </w:rPr>
      </w:pPr>
    </w:p>
    <w:p>
      <w:pPr>
        <w:ind w:right="60" w:firstLine="441"/>
        <w:spacing w:after="0" w:line="254" w:lineRule="auto"/>
        <w:rPr>
          <w:sz w:val="20"/>
          <w:szCs w:val="20"/>
          <w:color w:val="auto"/>
        </w:rPr>
      </w:pPr>
      <w:r>
        <w:rPr>
          <w:rFonts w:ascii="Times New Roman" w:cs="Times New Roman" w:eastAsia="Times New Roman" w:hAnsi="Times New Roman"/>
          <w:sz w:val="18"/>
          <w:szCs w:val="18"/>
          <w:color w:val="auto"/>
        </w:rPr>
        <w:t xml:space="preserve">On December 20, 2007, SARFT and MII jointly promulgated the </w:t>
      </w:r>
      <w:r>
        <w:rPr>
          <w:rFonts w:ascii="Times New Roman" w:cs="Times New Roman" w:eastAsia="Times New Roman" w:hAnsi="Times New Roman"/>
          <w:sz w:val="18"/>
          <w:szCs w:val="18"/>
          <w:i w:val="1"/>
          <w:iCs w:val="1"/>
          <w:color w:val="auto"/>
        </w:rPr>
        <w:t>Administrative Provisions on Internet Audio-visual Program Service</w:t>
      </w:r>
      <w:r>
        <w:rPr>
          <w:rFonts w:ascii="Times New Roman" w:cs="Times New Roman" w:eastAsia="Times New Roman" w:hAnsi="Times New Roman"/>
          <w:sz w:val="18"/>
          <w:szCs w:val="18"/>
          <w:color w:val="auto"/>
        </w:rPr>
        <w:t>, or the Audio-visual Program Provisions, which came into effect on January 31, 2008 and was revised on August 28, 2015. The Audio-Visual Program Provisions apply to the provision of audio-visual program services to the public via the Internet (including mobile network) in China. Providers of Internet audio-visual program services are required to obtain a License for Online Transmission of Audio-Visual Programs issued by GAPPRFT or complete certain registration procedures with GAPPRFT. Providers of Internet audio-visual program services are generally required to be either State-owned or State-controlled by the PRC government, and the business to be carried out by such providers must satisfy the overall planning and guidance catalog for Internet audio-visual program service determined by GAPPRFT. In a press conference jointly held by SARFT and MII to answer questions with respect to the Audio-Visual Program Provisions in February 2008, SARFT and MII clarified that providers of Internet audio-visual program services who engaged in such services prior to the promulgation of the Audio-Visual Program Provisions are eligible to register their business and continue their operation of Internet audio-visual program services so long as such providers have not been in violation of laws and regulations.</w:t>
      </w:r>
    </w:p>
    <w:p>
      <w:pPr>
        <w:spacing w:after="0" w:line="186" w:lineRule="exact"/>
        <w:rPr>
          <w:sz w:val="20"/>
          <w:szCs w:val="20"/>
          <w:color w:val="auto"/>
        </w:rPr>
      </w:pPr>
    </w:p>
    <w:p>
      <w:pPr>
        <w:ind w:firstLine="450"/>
        <w:spacing w:after="0" w:line="259" w:lineRule="auto"/>
        <w:rPr>
          <w:sz w:val="20"/>
          <w:szCs w:val="20"/>
          <w:color w:val="auto"/>
        </w:rPr>
      </w:pPr>
      <w:r>
        <w:rPr>
          <w:rFonts w:ascii="Times New Roman" w:cs="Times New Roman" w:eastAsia="Times New Roman" w:hAnsi="Times New Roman"/>
          <w:sz w:val="18"/>
          <w:szCs w:val="18"/>
          <w:color w:val="auto"/>
        </w:rPr>
        <w:t xml:space="preserve">On May 21, 2008, SARFT issued a </w:t>
      </w:r>
      <w:r>
        <w:rPr>
          <w:rFonts w:ascii="Times New Roman" w:cs="Times New Roman" w:eastAsia="Times New Roman" w:hAnsi="Times New Roman"/>
          <w:sz w:val="18"/>
          <w:szCs w:val="18"/>
          <w:i w:val="1"/>
          <w:iCs w:val="1"/>
          <w:color w:val="auto"/>
        </w:rPr>
        <w:t>Notice on Relevant Issues Concerning Application and Approval of Licenses for Online Transmission of Audio-Visual Programs</w:t>
      </w:r>
      <w:r>
        <w:rPr>
          <w:rFonts w:ascii="Times New Roman" w:cs="Times New Roman" w:eastAsia="Times New Roman" w:hAnsi="Times New Roman"/>
          <w:sz w:val="18"/>
          <w:szCs w:val="18"/>
          <w:color w:val="auto"/>
        </w:rPr>
        <w:t>, which sets forth detailed provisions concerning the application and approval process for the License for Online Transmission of Audio-Visual Programs. The notice also states that providers of Internet audio-visual program services who engaged in such services prior to the promulgation of the Audio-Visual Program Provisions are eligible to apply for the license as long as their violation of the laws and regulations is minor and can be rectified in a timely manner and they have no records of violation during the three months prior to the promulgation of the Audio-Visual Program Provisions.</w:t>
      </w:r>
    </w:p>
    <w:p>
      <w:pPr>
        <w:spacing w:after="0" w:line="180" w:lineRule="exact"/>
        <w:rPr>
          <w:sz w:val="20"/>
          <w:szCs w:val="20"/>
          <w:color w:val="auto"/>
        </w:rPr>
      </w:pPr>
    </w:p>
    <w:p>
      <w:pPr>
        <w:ind w:right="220" w:firstLine="441"/>
        <w:spacing w:after="0" w:line="259" w:lineRule="auto"/>
        <w:rPr>
          <w:sz w:val="20"/>
          <w:szCs w:val="20"/>
          <w:color w:val="auto"/>
        </w:rPr>
      </w:pPr>
      <w:r>
        <w:rPr>
          <w:rFonts w:ascii="Times New Roman" w:cs="Times New Roman" w:eastAsia="Times New Roman" w:hAnsi="Times New Roman"/>
          <w:sz w:val="18"/>
          <w:szCs w:val="18"/>
          <w:color w:val="auto"/>
        </w:rPr>
        <w:t xml:space="preserve">On December 28, 2007, SARFT issued the </w:t>
      </w:r>
      <w:r>
        <w:rPr>
          <w:rFonts w:ascii="Times New Roman" w:cs="Times New Roman" w:eastAsia="Times New Roman" w:hAnsi="Times New Roman"/>
          <w:sz w:val="18"/>
          <w:szCs w:val="18"/>
          <w:i w:val="1"/>
          <w:iCs w:val="1"/>
          <w:color w:val="auto"/>
        </w:rPr>
        <w:t>Notice on Strengthening the Administration of TV Dramas and Films Transmitted via the Internet</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i w:val="1"/>
          <w:iCs w:val="1"/>
          <w:color w:val="auto"/>
        </w:rPr>
        <w:t>Notice on Dramas and Films</w:t>
      </w:r>
      <w:r>
        <w:rPr>
          <w:rFonts w:ascii="Times New Roman" w:cs="Times New Roman" w:eastAsia="Times New Roman" w:hAnsi="Times New Roman"/>
          <w:sz w:val="18"/>
          <w:szCs w:val="18"/>
          <w:color w:val="auto"/>
        </w:rPr>
        <w:t>. According to this notice, if audio-visual programs published to the public through an information network fall under the film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drama category, the requirements of the Permit for Issuance of TV Dramas, Permit for Public Projection of Films, Permit for Issuance of Cartoons or academic literature movies and Permit for Public Projection of Academic Literature Movies and TV Plays will apply accordingly. In addition, providers of such services should obtain prior consents from copyright owners of all such audio-visual programs.</w:t>
      </w:r>
    </w:p>
    <w:p>
      <w:pPr>
        <w:spacing w:after="0" w:line="180" w:lineRule="exact"/>
        <w:rPr>
          <w:sz w:val="20"/>
          <w:szCs w:val="20"/>
          <w:color w:val="auto"/>
        </w:rPr>
      </w:pPr>
    </w:p>
    <w:p>
      <w:pPr>
        <w:ind w:right="220" w:firstLine="450"/>
        <w:spacing w:after="0" w:line="261" w:lineRule="auto"/>
        <w:rPr>
          <w:sz w:val="20"/>
          <w:szCs w:val="20"/>
          <w:color w:val="auto"/>
        </w:rPr>
      </w:pPr>
      <w:r>
        <w:rPr>
          <w:rFonts w:ascii="Times New Roman" w:cs="Times New Roman" w:eastAsia="Times New Roman" w:hAnsi="Times New Roman"/>
          <w:sz w:val="18"/>
          <w:szCs w:val="18"/>
          <w:color w:val="auto"/>
        </w:rPr>
        <w:t xml:space="preserve">Further, on March 31, 2009, SARFT issued the </w:t>
      </w:r>
      <w:r>
        <w:rPr>
          <w:rFonts w:ascii="Times New Roman" w:cs="Times New Roman" w:eastAsia="Times New Roman" w:hAnsi="Times New Roman"/>
          <w:sz w:val="18"/>
          <w:szCs w:val="18"/>
          <w:i w:val="1"/>
          <w:iCs w:val="1"/>
          <w:color w:val="auto"/>
        </w:rPr>
        <w:t>Notice on Strengthening the Administration of the Content of Internet Audiovisual Programs</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i w:val="1"/>
          <w:iCs w:val="1"/>
          <w:color w:val="auto"/>
        </w:rPr>
        <w:t>Notice on Content of A/V Programs</w:t>
      </w:r>
      <w:r>
        <w:rPr>
          <w:rFonts w:ascii="Times New Roman" w:cs="Times New Roman" w:eastAsia="Times New Roman" w:hAnsi="Times New Roman"/>
          <w:sz w:val="18"/>
          <w:szCs w:val="18"/>
          <w:color w:val="auto"/>
        </w:rPr>
        <w:t>, which reiterates the requirement of obtaining the relevant permit for publishing audio-visual programs to the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an information network, and prohibits certain types of Internet audio-visual programs from containing violence, pornography, gambling, terrorism, superstitious or other hazardous contents.</w:t>
      </w:r>
    </w:p>
    <w:p>
      <w:pPr>
        <w:spacing w:after="0" w:line="180" w:lineRule="exact"/>
        <w:rPr>
          <w:sz w:val="20"/>
          <w:szCs w:val="20"/>
          <w:color w:val="auto"/>
        </w:rPr>
      </w:pPr>
    </w:p>
    <w:p>
      <w:pPr>
        <w:ind w:right="140" w:firstLine="441"/>
        <w:spacing w:after="0" w:line="284" w:lineRule="auto"/>
        <w:rPr>
          <w:sz w:val="20"/>
          <w:szCs w:val="20"/>
          <w:color w:val="auto"/>
        </w:rPr>
      </w:pPr>
      <w:r>
        <w:rPr>
          <w:rFonts w:ascii="Times New Roman" w:cs="Times New Roman" w:eastAsia="Times New Roman" w:hAnsi="Times New Roman"/>
          <w:sz w:val="18"/>
          <w:szCs w:val="18"/>
          <w:color w:val="auto"/>
        </w:rPr>
        <w:t xml:space="preserve">On April 1, 2010, SARFT issued the </w:t>
      </w:r>
      <w:r>
        <w:rPr>
          <w:rFonts w:ascii="Times New Roman" w:cs="Times New Roman" w:eastAsia="Times New Roman" w:hAnsi="Times New Roman"/>
          <w:sz w:val="18"/>
          <w:szCs w:val="18"/>
          <w:i w:val="1"/>
          <w:iCs w:val="1"/>
          <w:color w:val="auto"/>
        </w:rPr>
        <w:t>Internet Audio-visual Program Services Categories (Provisional)</w:t>
      </w:r>
      <w:r>
        <w:rPr>
          <w:rFonts w:ascii="Times New Roman" w:cs="Times New Roman" w:eastAsia="Times New Roman" w:hAnsi="Times New Roman"/>
          <w:sz w:val="18"/>
          <w:szCs w:val="18"/>
          <w:color w:val="auto"/>
        </w:rPr>
        <w:t>, or the Provisional Categories, which classifies Internet audio-visual programs into four categories.</w:t>
      </w:r>
    </w:p>
    <w:p>
      <w:pPr>
        <w:spacing w:after="0" w:line="158" w:lineRule="exact"/>
        <w:rPr>
          <w:sz w:val="20"/>
          <w:szCs w:val="20"/>
          <w:color w:val="auto"/>
        </w:rPr>
      </w:pPr>
    </w:p>
    <w:p>
      <w:pPr>
        <w:ind w:right="60" w:firstLine="441"/>
        <w:spacing w:after="0" w:line="255" w:lineRule="auto"/>
        <w:rPr>
          <w:sz w:val="20"/>
          <w:szCs w:val="20"/>
          <w:color w:val="auto"/>
        </w:rPr>
      </w:pPr>
      <w:r>
        <w:rPr>
          <w:rFonts w:ascii="Times New Roman" w:cs="Times New Roman" w:eastAsia="Times New Roman" w:hAnsi="Times New Roman"/>
          <w:sz w:val="18"/>
          <w:szCs w:val="18"/>
          <w:color w:val="auto"/>
        </w:rPr>
        <w:t xml:space="preserve">On April 25, 2016, GAPPRFT issued the </w:t>
      </w:r>
      <w:r>
        <w:rPr>
          <w:rFonts w:ascii="Times New Roman" w:cs="Times New Roman" w:eastAsia="Times New Roman" w:hAnsi="Times New Roman"/>
          <w:sz w:val="18"/>
          <w:szCs w:val="18"/>
          <w:i w:val="1"/>
          <w:iCs w:val="1"/>
          <w:color w:val="auto"/>
        </w:rPr>
        <w:t>Administrative Provisions on Audio-Visual Program Services through Private Network and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Communication</w:t>
      </w:r>
      <w:r>
        <w:rPr>
          <w:rFonts w:ascii="Times New Roman" w:cs="Times New Roman" w:eastAsia="Times New Roman" w:hAnsi="Times New Roman"/>
          <w:sz w:val="18"/>
          <w:szCs w:val="18"/>
          <w:color w:val="auto"/>
        </w:rPr>
        <w:t>, which replaced 2004 Internet A/V Measures. Pursuant to these provisions, “audio-visual program services through private network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targeted communication” refer to radio and TV program and other audio-visual program services to a targeted audience with TV, and all types of handheld electronic equipment, etc., as terminal recipients, and through setting up virtual private network through local area networks and Internet or with Internet and other information networks as targeted transmission channels, including the provision of contents, integrated broadcast control, transmission and distribution, and other activities conducted by such forms as Internet protocol television (IPTV), private network mobile TV, and Internet TV. Any provider who engages in aforesaid service must obtain a license from GAPPRFT. Wholly foreign-owned enterprises, Sino-foreign joint ventures and Sino-foreign cooperative enterprises are not allowed to engage in the above business.</w:t>
      </w:r>
    </w:p>
    <w:p>
      <w:pPr>
        <w:spacing w:after="0" w:line="187"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In order to comply with these laws and regulations, Tianying Jiuzhou submitted an application to GAPPRFT for the License for the Online Transmission of Audio-Visual Programs. However, we have not been granted such license as to the date of this annual report and cannot assure you that we may be able to obtain one. See “Item 3. Key Information—D. Risk Factors—Risks Relating to Our Business and Industry—Our lack of an Internet audio-visual program transmission license may expose us to administrative sanctions, including the banning of our paid mobile video services and video advertising services, which would materially and adversely affect our business and results of operation.”</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Foreign Television Programs and Satellite Channels</w:t>
      </w:r>
    </w:p>
    <w:p>
      <w:pPr>
        <w:spacing w:after="0" w:line="227"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7"/>
          <w:szCs w:val="17"/>
          <w:color w:val="auto"/>
        </w:rPr>
        <w:t xml:space="preserve">Broadcast of foreign television programs is strictly regulated by GAPPRFT. On August 11, 1997, the State Council promulgated the </w:t>
      </w:r>
      <w:r>
        <w:rPr>
          <w:rFonts w:ascii="Times New Roman" w:cs="Times New Roman" w:eastAsia="Times New Roman" w:hAnsi="Times New Roman"/>
          <w:sz w:val="17"/>
          <w:szCs w:val="17"/>
          <w:i w:val="1"/>
          <w:iCs w:val="1"/>
          <w:color w:val="auto"/>
        </w:rPr>
        <w:t>Administrative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Regulations on Television and Radio</w:t>
      </w:r>
      <w:r>
        <w:rPr>
          <w:rFonts w:ascii="Times New Roman" w:cs="Times New Roman" w:eastAsia="Times New Roman" w:hAnsi="Times New Roman"/>
          <w:sz w:val="17"/>
          <w:szCs w:val="17"/>
          <w:color w:val="auto"/>
        </w:rPr>
        <w:t>, under which any foreign television drama or other foreign television program to be broadcast by television or radio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stations is subject to the prior inspection and approval by GAPPRFT or its authorized entities. On June 18, 2004, SARFT promulgated the </w:t>
      </w:r>
      <w:r>
        <w:rPr>
          <w:rFonts w:ascii="Times New Roman" w:cs="Times New Roman" w:eastAsia="Times New Roman" w:hAnsi="Times New Roman"/>
          <w:sz w:val="17"/>
          <w:szCs w:val="17"/>
          <w:i w:val="1"/>
          <w:iCs w:val="1"/>
          <w:color w:val="auto"/>
        </w:rPr>
        <w:t>Administrative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Measures on the Landing of Foreign Satellite Television Channels</w:t>
      </w:r>
      <w:r>
        <w:rPr>
          <w:rFonts w:ascii="Times New Roman" w:cs="Times New Roman" w:eastAsia="Times New Roman" w:hAnsi="Times New Roman"/>
          <w:sz w:val="17"/>
          <w:szCs w:val="17"/>
          <w:color w:val="auto"/>
        </w:rPr>
        <w:t>, pursuant to which foreign satellite televisions channels can only be broadcast in three-star</w:t>
      </w:r>
    </w:p>
    <w:p>
      <w:pPr>
        <w:sectPr>
          <w:pgSz w:w="11900" w:h="16931" w:orient="portrait"/>
          <w:cols w:equalWidth="0" w:num="1">
            <w:col w:w="11400"/>
          </w:cols>
          <w:pgMar w:left="240" w:top="121" w:right="259" w:bottom="0" w:gutter="0" w:footer="0" w:header="0"/>
        </w:sectPr>
      </w:pPr>
    </w:p>
    <w:bookmarkStart w:id="45" w:name="page46"/>
    <w:bookmarkEnd w:id="45"/>
    <w:p>
      <w:pPr>
        <w:spacing w:after="0" w:line="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(or above) hotels for foreigners or departments exclusively for the residence of foreigners or other specific areas, and prior broadcasting approval for such limited landing must be obtained from GAPPRFT.</w:t>
      </w:r>
    </w:p>
    <w:p>
      <w:pPr>
        <w:spacing w:after="0" w:line="160" w:lineRule="exact"/>
        <w:rPr>
          <w:sz w:val="20"/>
          <w:szCs w:val="20"/>
          <w:color w:val="auto"/>
        </w:rPr>
      </w:pPr>
    </w:p>
    <w:p>
      <w:pPr>
        <w:jc w:val="both"/>
        <w:ind w:right="220" w:firstLine="441"/>
        <w:spacing w:after="0" w:line="282" w:lineRule="auto"/>
        <w:rPr>
          <w:sz w:val="20"/>
          <w:szCs w:val="20"/>
          <w:color w:val="auto"/>
        </w:rPr>
      </w:pPr>
      <w:r>
        <w:rPr>
          <w:rFonts w:ascii="Times New Roman" w:cs="Times New Roman" w:eastAsia="Times New Roman" w:hAnsi="Times New Roman"/>
          <w:sz w:val="17"/>
          <w:szCs w:val="17"/>
          <w:color w:val="auto"/>
        </w:rPr>
        <w:t xml:space="preserve">In addition, on September 23, 2004, SARFT promulgated the </w:t>
      </w:r>
      <w:r>
        <w:rPr>
          <w:rFonts w:ascii="Times New Roman" w:cs="Times New Roman" w:eastAsia="Times New Roman" w:hAnsi="Times New Roman"/>
          <w:sz w:val="17"/>
          <w:szCs w:val="17"/>
          <w:i w:val="1"/>
          <w:iCs w:val="1"/>
          <w:color w:val="auto"/>
        </w:rPr>
        <w:t>Administrative Regulations on the Introduction and Broadcasting of Foreign Television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Programs</w:t>
      </w:r>
      <w:r>
        <w:rPr>
          <w:rFonts w:ascii="Times New Roman" w:cs="Times New Roman" w:eastAsia="Times New Roman" w:hAnsi="Times New Roman"/>
          <w:sz w:val="17"/>
          <w:szCs w:val="17"/>
          <w:color w:val="auto"/>
        </w:rPr>
        <w:t>, pursuant to which only organizations designated by GAPPRFT are qualified to apply to GAPPRFT or its authorized entities for introduction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broadcasting of foreign television dramas or foreign television programs. Approval of such application is subject to the general plan of GAPPRFT and the content of such foreign television dramas or programs may not in any way threaten the national security or violate any laws or regulations.</w:t>
      </w:r>
    </w:p>
    <w:p>
      <w:pPr>
        <w:spacing w:after="0" w:line="164"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 xml:space="preserve">The 2004 Internet A/V Measures explicitly prohibit Internet service providers from broadcasting any foreign television or radio program over an information network and state that any violation may result in warnings, monetary penalties or, in severe cases, criminal liabilities. On November 19, 2009, SARFT issued a notice to extend the prohibition to broadcasting foreign television programs via mobile phones. However, pursuant to several notices issued by SARFT, such as the </w:t>
      </w:r>
      <w:r>
        <w:rPr>
          <w:rFonts w:ascii="Times New Roman" w:cs="Times New Roman" w:eastAsia="Times New Roman" w:hAnsi="Times New Roman"/>
          <w:sz w:val="18"/>
          <w:szCs w:val="18"/>
          <w:i w:val="1"/>
          <w:iCs w:val="1"/>
          <w:color w:val="auto"/>
        </w:rPr>
        <w:t>Notice on Dramas and Films</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Notice on Content of A/V Programs</w:t>
      </w:r>
      <w:r>
        <w:rPr>
          <w:rFonts w:ascii="Times New Roman" w:cs="Times New Roman" w:eastAsia="Times New Roman" w:hAnsi="Times New Roman"/>
          <w:sz w:val="18"/>
          <w:szCs w:val="18"/>
          <w:color w:val="auto"/>
        </w:rPr>
        <w:t xml:space="preserve"> referenced above under “—Regulation of Online Transmission of Audio-visual Programs,” foreign audio-visual programs may be published to the public through the Internet, provided that such foreign audio-visual programs comply with the regulations on administration of radios, films and television, and that the relevant permits required by PRC laws and regulations, such as the Permit for Issuance of TV Dramas, Permit for Public Projection of Films, Permit for Issuance of Cartoons or academic literature movies and Permit for Public Projection of Academic Literature Movies and TV Plays, have been obtained for such foreign audio-visual programs. The promulgation of the </w:t>
      </w:r>
      <w:r>
        <w:rPr>
          <w:rFonts w:ascii="Times New Roman" w:cs="Times New Roman" w:eastAsia="Times New Roman" w:hAnsi="Times New Roman"/>
          <w:sz w:val="18"/>
          <w:szCs w:val="18"/>
          <w:i w:val="1"/>
          <w:iCs w:val="1"/>
          <w:color w:val="auto"/>
        </w:rPr>
        <w:t>Notice on Dramas and Films</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Notice on Content of A/V Programs</w:t>
      </w:r>
      <w:r>
        <w:rPr>
          <w:rFonts w:ascii="Times New Roman" w:cs="Times New Roman" w:eastAsia="Times New Roman" w:hAnsi="Times New Roman"/>
          <w:sz w:val="18"/>
          <w:szCs w:val="18"/>
          <w:color w:val="auto"/>
        </w:rPr>
        <w:t xml:space="preserve"> implies that the absolute restriction against broadcasting foreign television or radio programs on the Internet as set forth in the 2004 Internet A/V Measures has been lifted.</w:t>
      </w:r>
    </w:p>
    <w:p>
      <w:pPr>
        <w:spacing w:after="0" w:line="186" w:lineRule="exact"/>
        <w:rPr>
          <w:sz w:val="20"/>
          <w:szCs w:val="20"/>
          <w:color w:val="auto"/>
        </w:rPr>
      </w:pPr>
    </w:p>
    <w:p>
      <w:pPr>
        <w:ind w:right="320" w:firstLine="441"/>
        <w:spacing w:after="0" w:line="282" w:lineRule="auto"/>
        <w:rPr>
          <w:sz w:val="20"/>
          <w:szCs w:val="20"/>
          <w:color w:val="auto"/>
        </w:rPr>
      </w:pPr>
      <w:r>
        <w:rPr>
          <w:rFonts w:ascii="Times New Roman" w:cs="Times New Roman" w:eastAsia="Times New Roman" w:hAnsi="Times New Roman"/>
          <w:sz w:val="18"/>
          <w:szCs w:val="18"/>
          <w:color w:val="auto"/>
        </w:rPr>
        <w:t>On April 25, 2016, GAPPRFT issued the 2016 A/V Provisions, which replaced the 2004 Internet A/V Measures. The 2016 A/V Provisions does not explicitly regulate whether broadcasting foreign television program is permitted.</w:t>
      </w:r>
    </w:p>
    <w:p>
      <w:pPr>
        <w:spacing w:after="0" w:line="162" w:lineRule="exact"/>
        <w:rPr>
          <w:sz w:val="20"/>
          <w:szCs w:val="20"/>
          <w:color w:val="auto"/>
        </w:rPr>
      </w:pPr>
    </w:p>
    <w:p>
      <w:pPr>
        <w:ind w:right="100" w:firstLine="441"/>
        <w:spacing w:after="0" w:line="258" w:lineRule="auto"/>
        <w:rPr>
          <w:sz w:val="20"/>
          <w:szCs w:val="20"/>
          <w:color w:val="auto"/>
        </w:rPr>
      </w:pPr>
      <w:r>
        <w:rPr>
          <w:rFonts w:ascii="Times New Roman" w:cs="Times New Roman" w:eastAsia="Times New Roman" w:hAnsi="Times New Roman"/>
          <w:sz w:val="18"/>
          <w:szCs w:val="18"/>
          <w:color w:val="auto"/>
        </w:rPr>
        <w:t>A substantial portion of the audio-visual programs and content on our website are closely linked to or are online versions of the TV content of Phoenix TV and we currently do not have any approval from GAPPRFT for introducing and broadcasting foreign television programs into China and cannot assure you that we may be able to obtain such approval if required to do so. See “Item 3. Key Information—D. Risk Factors—Risks Relating to Our Business and Industry—Failure to obtain GAPPRFT’s approval for introducing and broadcasting foreign television programs could have a material adverse effect on our ability to conduct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the Production of Radio and Television Programs</w:t>
      </w:r>
    </w:p>
    <w:p>
      <w:pPr>
        <w:spacing w:after="0" w:line="227" w:lineRule="exact"/>
        <w:rPr>
          <w:sz w:val="20"/>
          <w:szCs w:val="20"/>
          <w:color w:val="auto"/>
        </w:rPr>
      </w:pPr>
    </w:p>
    <w:p>
      <w:pPr>
        <w:jc w:val="both"/>
        <w:ind w:right="240" w:firstLine="441"/>
        <w:spacing w:after="0" w:line="273" w:lineRule="auto"/>
        <w:rPr>
          <w:sz w:val="20"/>
          <w:szCs w:val="20"/>
          <w:color w:val="auto"/>
        </w:rPr>
      </w:pPr>
      <w:r>
        <w:rPr>
          <w:rFonts w:ascii="Times New Roman" w:cs="Times New Roman" w:eastAsia="Times New Roman" w:hAnsi="Times New Roman"/>
          <w:sz w:val="17"/>
          <w:szCs w:val="17"/>
          <w:color w:val="auto"/>
        </w:rPr>
        <w:t xml:space="preserve">On July 19, 2004, SARFT promulgated the </w:t>
      </w:r>
      <w:r>
        <w:rPr>
          <w:rFonts w:ascii="Times New Roman" w:cs="Times New Roman" w:eastAsia="Times New Roman" w:hAnsi="Times New Roman"/>
          <w:sz w:val="17"/>
          <w:szCs w:val="17"/>
          <w:i w:val="1"/>
          <w:iCs w:val="1"/>
          <w:color w:val="auto"/>
        </w:rPr>
        <w:t>Regulations on the Administration of Production of Radio and Television Programs</w:t>
      </w:r>
      <w:r>
        <w:rPr>
          <w:rFonts w:ascii="Times New Roman" w:cs="Times New Roman" w:eastAsia="Times New Roman" w:hAnsi="Times New Roman"/>
          <w:sz w:val="17"/>
          <w:szCs w:val="17"/>
          <w:color w:val="auto"/>
        </w:rPr>
        <w:t>, or the Radio and TV Programs Regulations, which came into effect as of August 20, 2004 and was revised on August 28, 2015. Under the Radio and TV Programs Regulations, any entities that engage in the production of radio and television programs are required to apply for a license from GAPPRFT or its provincial branches.</w:t>
      </w:r>
    </w:p>
    <w:p>
      <w:pPr>
        <w:spacing w:after="0" w:line="1" w:lineRule="exact"/>
        <w:rPr>
          <w:sz w:val="20"/>
          <w:szCs w:val="20"/>
          <w:color w:val="auto"/>
        </w:rPr>
      </w:pPr>
    </w:p>
    <w:p>
      <w:pPr>
        <w:ind w:right="500"/>
        <w:spacing w:after="0" w:line="255" w:lineRule="auto"/>
        <w:rPr>
          <w:sz w:val="20"/>
          <w:szCs w:val="20"/>
          <w:color w:val="auto"/>
        </w:rPr>
      </w:pPr>
      <w:r>
        <w:rPr>
          <w:rFonts w:ascii="Times New Roman" w:cs="Times New Roman" w:eastAsia="Times New Roman" w:hAnsi="Times New Roman"/>
          <w:sz w:val="18"/>
          <w:szCs w:val="18"/>
          <w:color w:val="auto"/>
        </w:rPr>
        <w:t>Entities with the Permit for Production and Operation of Radio and TV Programs must conduct their business operations in strict compliance with the approved scope of production and operation. Furthermore, entities other than radio and TV stations are strictly prohibited from producing radio and TV programs covering contemporary political news or similar subjects and columns.</w:t>
      </w:r>
    </w:p>
    <w:p>
      <w:pPr>
        <w:spacing w:after="0" w:line="186" w:lineRule="exact"/>
        <w:rPr>
          <w:sz w:val="20"/>
          <w:szCs w:val="20"/>
          <w:color w:val="auto"/>
        </w:rPr>
      </w:pPr>
    </w:p>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Tianying Jiuzhou has been granted a Permit for Production and Operation of Radio and TV Programs, with a permitted scope including the production of animations, featured shows and entertainment programs.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Online Cultural Activities, Online Games and Internet Music</w:t>
      </w:r>
    </w:p>
    <w:p>
      <w:pPr>
        <w:spacing w:after="0" w:line="227" w:lineRule="exact"/>
        <w:rPr>
          <w:sz w:val="20"/>
          <w:szCs w:val="20"/>
          <w:color w:val="auto"/>
        </w:rPr>
      </w:pPr>
    </w:p>
    <w:p>
      <w:pPr>
        <w:ind w:right="20" w:firstLine="450"/>
        <w:spacing w:after="0" w:line="254" w:lineRule="auto"/>
        <w:rPr>
          <w:sz w:val="20"/>
          <w:szCs w:val="20"/>
          <w:color w:val="auto"/>
        </w:rPr>
      </w:pPr>
      <w:r>
        <w:rPr>
          <w:rFonts w:ascii="Times New Roman" w:cs="Times New Roman" w:eastAsia="Times New Roman" w:hAnsi="Times New Roman"/>
          <w:sz w:val="18"/>
          <w:szCs w:val="18"/>
          <w:color w:val="auto"/>
        </w:rPr>
        <w:t xml:space="preserve">The MOC promulgated the new </w:t>
      </w:r>
      <w:r>
        <w:rPr>
          <w:rFonts w:ascii="Times New Roman" w:cs="Times New Roman" w:eastAsia="Times New Roman" w:hAnsi="Times New Roman"/>
          <w:sz w:val="18"/>
          <w:szCs w:val="18"/>
          <w:i w:val="1"/>
          <w:iCs w:val="1"/>
          <w:color w:val="auto"/>
        </w:rPr>
        <w:t>Provisional Measures on Administration of Internet Culture</w:t>
      </w:r>
      <w:r>
        <w:rPr>
          <w:rFonts w:ascii="Times New Roman" w:cs="Times New Roman" w:eastAsia="Times New Roman" w:hAnsi="Times New Roman"/>
          <w:sz w:val="18"/>
          <w:szCs w:val="18"/>
          <w:color w:val="auto"/>
        </w:rPr>
        <w:t xml:space="preserve"> on February 17, 2011, or the Internet Culture Measures, which became effective as of April 1, 2011 and the </w:t>
      </w:r>
      <w:r>
        <w:rPr>
          <w:rFonts w:ascii="Times New Roman" w:cs="Times New Roman" w:eastAsia="Times New Roman" w:hAnsi="Times New Roman"/>
          <w:sz w:val="18"/>
          <w:szCs w:val="18"/>
          <w:i w:val="1"/>
          <w:iCs w:val="1"/>
          <w:color w:val="auto"/>
        </w:rPr>
        <w:t>Notice on Issues Relating to Implementing the Newly Amended Provisional Measures on Administration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Internet Culture </w:t>
      </w:r>
      <w:r>
        <w:rPr>
          <w:rFonts w:ascii="Times New Roman" w:cs="Times New Roman" w:eastAsia="Times New Roman" w:hAnsi="Times New Roman"/>
          <w:sz w:val="18"/>
          <w:szCs w:val="18"/>
          <w:color w:val="auto"/>
        </w:rPr>
        <w:t>on March 18, 2011, replacing the relevant regulations promulgated in 2003. The Internet Culture Measures apply to entities that engage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related to “online cultural products.” “Online cultural products” are classified as cultural products produced, disseminated and circulated via the Internet that include: (i) online cultural products specifically produced for the Internet, such as online music entertainment, network games, network performance programs, online performing arts, online artworks and online animation features and cartoons; and (ii) online cultural products that are converted from music entertainment, games, performance programs, performing arts, artworks and animation features and cartoons and disseminated via the Internet. Pursuant to the Internet Culture Measures, an entity that intends to commercially engage in any of the following types of activities are required to obtain an Online Culture Operating Permit from the applicable provincial level culture administrative authority:</w:t>
      </w:r>
    </w:p>
    <w:p>
      <w:pPr>
        <w:spacing w:after="0" w:line="191" w:lineRule="exact"/>
        <w:rPr>
          <w:sz w:val="20"/>
          <w:szCs w:val="20"/>
          <w:color w:val="auto"/>
        </w:rPr>
      </w:pPr>
    </w:p>
    <w:p>
      <w:pPr>
        <w:ind w:left="1360" w:hanging="657"/>
        <w:spacing w:after="0"/>
        <w:tabs>
          <w:tab w:leader="none" w:pos="1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production, duplication, import, distribution or broadcasting of online cultural products;</w:t>
      </w:r>
    </w:p>
    <w:p>
      <w:pPr>
        <w:spacing w:after="0" w:line="225" w:lineRule="exact"/>
        <w:rPr>
          <w:rFonts w:ascii="Times New Roman" w:cs="Times New Roman" w:eastAsia="Times New Roman" w:hAnsi="Times New Roman"/>
          <w:sz w:val="18"/>
          <w:szCs w:val="18"/>
          <w:color w:val="auto"/>
        </w:rPr>
      </w:pPr>
    </w:p>
    <w:p>
      <w:pPr>
        <w:ind w:left="1380" w:right="220" w:hanging="677"/>
        <w:spacing w:after="0" w:line="266" w:lineRule="auto"/>
        <w:tabs>
          <w:tab w:leader="none" w:pos="134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publication of online cultural products on the Internet or transmission of online cultural products via an information network, such as the Internet and mobile networks, to a computer, fixed-line or mobile phones, television sets or gaming consoles for the purpose of browsing, reviewing, using or downloading such products by online users; or</w:t>
      </w:r>
    </w:p>
    <w:p>
      <w:pPr>
        <w:spacing w:after="0" w:line="176" w:lineRule="exact"/>
        <w:rPr>
          <w:rFonts w:ascii="Times New Roman" w:cs="Times New Roman" w:eastAsia="Times New Roman" w:hAnsi="Times New Roman"/>
          <w:sz w:val="18"/>
          <w:szCs w:val="18"/>
          <w:color w:val="auto"/>
        </w:rPr>
      </w:pPr>
    </w:p>
    <w:p>
      <w:pPr>
        <w:ind w:left="1360" w:hanging="657"/>
        <w:spacing w:after="0"/>
        <w:tabs>
          <w:tab w:leader="none" w:pos="1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exhibitions or contests related to online cultural products.</w:t>
      </w:r>
    </w:p>
    <w:p>
      <w:pPr>
        <w:spacing w:after="0" w:line="223" w:lineRule="exact"/>
        <w:rPr>
          <w:sz w:val="20"/>
          <w:szCs w:val="20"/>
          <w:color w:val="auto"/>
        </w:rPr>
      </w:pPr>
    </w:p>
    <w:p>
      <w:pPr>
        <w:ind w:firstLine="441"/>
        <w:spacing w:after="0" w:line="259"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Administration Rules of Publication of Electronic Publication Rules</w:t>
      </w:r>
      <w:r>
        <w:rPr>
          <w:rFonts w:ascii="Times New Roman" w:cs="Times New Roman" w:eastAsia="Times New Roman" w:hAnsi="Times New Roman"/>
          <w:sz w:val="18"/>
          <w:szCs w:val="18"/>
          <w:color w:val="auto"/>
        </w:rPr>
        <w:t>, or the Electronic Publication Rules, regulate the production, publishing and importation of electronic publication in the PRC and outline a licensing system for business operations involving electronic publishing. Under the Electronic Publication Rules and other regulations issued by GAPP, online games are classified as a type of electronic production and publishing of online games is required to be done by licensed electronic publishing entities with standard publication codes. If a PRC company is contractually authorized to publish foreign electronic publications, it must obtain the approval of, and register the copyright license contract with, GAPPRFT.</w:t>
      </w:r>
    </w:p>
    <w:p>
      <w:pPr>
        <w:spacing w:after="0" w:line="180" w:lineRule="exact"/>
        <w:rPr>
          <w:sz w:val="20"/>
          <w:szCs w:val="20"/>
          <w:color w:val="auto"/>
        </w:rPr>
      </w:pPr>
    </w:p>
    <w:p>
      <w:pPr>
        <w:ind w:right="40" w:firstLine="441"/>
        <w:spacing w:after="0" w:line="259"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Tentative Administrative Measures on Internet Publication</w:t>
      </w:r>
      <w:r>
        <w:rPr>
          <w:rFonts w:ascii="Times New Roman" w:cs="Times New Roman" w:eastAsia="Times New Roman" w:hAnsi="Times New Roman"/>
          <w:sz w:val="18"/>
          <w:szCs w:val="18"/>
          <w:color w:val="auto"/>
        </w:rPr>
        <w:t>, or the Internet Publication Measures, jointly promulgated by MII and GAPP and effective on August 1, 2002, Internet publishers must secure approval, or the Internet Publication license, from GAPP to conduct Internet publication activities, including operating of online games. In February 2016, the GAPPRFT and the MIIT jointly issued the Administrative Measures on Network Publication, which took effect in March 2016 and replaced the Internet Publication Measures. Pursuant to the Administrative Measures on Network Publication, Internet publishers must be approved by and obtain a Network Publication Service License from GAPPRFT in order to provide network</w:t>
      </w:r>
    </w:p>
    <w:p>
      <w:pPr>
        <w:sectPr>
          <w:pgSz w:w="11900" w:h="16846" w:orient="portrait"/>
          <w:cols w:equalWidth="0" w:num="1">
            <w:col w:w="11420"/>
          </w:cols>
          <w:pgMar w:left="240" w:top="121" w:right="239" w:bottom="0" w:gutter="0" w:footer="0" w:header="0"/>
        </w:sectPr>
      </w:pPr>
    </w:p>
    <w:bookmarkStart w:id="46" w:name="page47"/>
    <w:bookmarkEnd w:id="46"/>
    <w:p>
      <w:pPr>
        <w:ind w:right="60"/>
        <w:spacing w:after="0" w:line="282" w:lineRule="auto"/>
        <w:rPr>
          <w:sz w:val="20"/>
          <w:szCs w:val="20"/>
          <w:color w:val="auto"/>
        </w:rPr>
      </w:pPr>
      <w:r>
        <w:rPr>
          <w:rFonts w:ascii="Times New Roman" w:cs="Times New Roman" w:eastAsia="Times New Roman" w:hAnsi="Times New Roman"/>
          <w:sz w:val="18"/>
          <w:szCs w:val="18"/>
          <w:color w:val="auto"/>
        </w:rPr>
        <w:t>publication services. In addition, the Administrative Measures on Network Publication does not stipulate explicitly whether the holder of Internet Publication License should reapply and obtain the Network Publication Service License within the valid term.</w:t>
      </w:r>
    </w:p>
    <w:p>
      <w:pPr>
        <w:spacing w:after="0" w:line="162"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On September 28, 2009, GAPP and the National Office of Combating Pornography and Illegal Publications jointly published a circular prohibiting foreign investors from investing and engaging in the operation of online games services by any forms of wholly foreign-owned enterprise, Sino-foreign joint-venture or cooperation. Under this notice, foreign investors cannot control and participate in the operation of online games services provided by domestic companies in any indirect forms, such as incorporating other joint-ventures, signing relevant agreements, or providing technical supports. This circular further states that all the online games must be screened by GAPPRFT through advanced approvals before they are operated online, and any updated online game versions or any change to the online games are subject to further approvals before they can be operated online.</w:t>
      </w:r>
    </w:p>
    <w:p>
      <w:pPr>
        <w:spacing w:after="0" w:line="186"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 xml:space="preserve">On June 4, 2009, the MOC and MOFCOM jointly issued the </w:t>
      </w:r>
      <w:r>
        <w:rPr>
          <w:rFonts w:ascii="Times New Roman" w:cs="Times New Roman" w:eastAsia="Times New Roman" w:hAnsi="Times New Roman"/>
          <w:sz w:val="18"/>
          <w:szCs w:val="18"/>
          <w:i w:val="1"/>
          <w:iCs w:val="1"/>
          <w:color w:val="auto"/>
        </w:rPr>
        <w:t>Notice on Strengthening the Administration of Online Game Virtual Currency</w:t>
      </w:r>
      <w:r>
        <w:rPr>
          <w:rFonts w:ascii="Times New Roman" w:cs="Times New Roman" w:eastAsia="Times New Roman" w:hAnsi="Times New Roman"/>
          <w:sz w:val="18"/>
          <w:szCs w:val="18"/>
          <w:color w:val="auto"/>
        </w:rPr>
        <w:t>, or the Virtual Currency Notice, to regulate the trading of online game virtual currencies. The Virtual Currency Notice defines the meaning of virtual currency and places a set of restrictions on the trading and issuance of virtual currency. The Virtual Currency Notice also reiterates that virtual currency can only be provided to users in exchange for an RMB payment and can only be used to pay for virtual goods and services of the issuers. In addition, the Virtual Currency Notice states that online game operators are not allowed to give out virtual items or virtual currency through lottery-base activities, such as lucky draws, betting or random computer sampling, etc., in exchange for user’s cash or virtual money. We provide extra free virtual currencies to game users as they buy virtual currencies from us. For more information regarding regulatory risks related to our online games business, see “Item 3. Key Information—D. Risk Factors—Risks Relating to Our Business and Industry— If we fail to obtain or maintain all applicable permits and approvals, or fail to comply with PRC regulations, relating to online games, our ability to conduct our online game business and certain other businesses could be affected and we could be subject to penalties and other administrative sanctions.”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right="160" w:firstLine="441"/>
        <w:spacing w:after="0" w:line="257" w:lineRule="auto"/>
        <w:rPr>
          <w:sz w:val="20"/>
          <w:szCs w:val="20"/>
          <w:color w:val="auto"/>
        </w:rPr>
      </w:pPr>
      <w:r>
        <w:rPr>
          <w:rFonts w:ascii="Times New Roman" w:cs="Times New Roman" w:eastAsia="Times New Roman" w:hAnsi="Times New Roman"/>
          <w:sz w:val="18"/>
          <w:szCs w:val="18"/>
          <w:color w:val="auto"/>
        </w:rPr>
        <w:t xml:space="preserve">On June 3, 2010, the MOC issued the </w:t>
      </w:r>
      <w:r>
        <w:rPr>
          <w:rFonts w:ascii="Times New Roman" w:cs="Times New Roman" w:eastAsia="Times New Roman" w:hAnsi="Times New Roman"/>
          <w:sz w:val="18"/>
          <w:szCs w:val="18"/>
          <w:i w:val="1"/>
          <w:iCs w:val="1"/>
          <w:color w:val="auto"/>
        </w:rPr>
        <w:t>Provisional Regulations for the Administration of Online Games</w:t>
      </w:r>
      <w:r>
        <w:rPr>
          <w:rFonts w:ascii="Times New Roman" w:cs="Times New Roman" w:eastAsia="Times New Roman" w:hAnsi="Times New Roman"/>
          <w:sz w:val="18"/>
          <w:szCs w:val="18"/>
          <w:color w:val="auto"/>
        </w:rPr>
        <w:t>, which applies to business activities relating to online game development and operation and virtual currencies issuance and trading. Pursuant to this regulation, business entities are required to obtain an Online Culture Operating Permit prior to commencing their online game operation. Game operators must file separate applications for virtual currencies issuance and trading. Regarding virtual currencies trading, game operators can only issue virtual currencies in exchange of service they provide themselves rather than trading for service or products of the third parties. Game operators cannot appropriate advance payments from players. Game operators are not allowed to provide trading service of virtual currencies to minors. Records of all transactions in the accounts shall be kept for minimum 180 days.</w:t>
      </w:r>
    </w:p>
    <w:p>
      <w:pPr>
        <w:spacing w:after="0" w:line="183" w:lineRule="exact"/>
        <w:rPr>
          <w:sz w:val="20"/>
          <w:szCs w:val="20"/>
          <w:color w:val="auto"/>
        </w:rPr>
      </w:pPr>
    </w:p>
    <w:p>
      <w:pPr>
        <w:ind w:right="80" w:firstLine="450"/>
        <w:spacing w:after="0" w:line="256" w:lineRule="auto"/>
        <w:rPr>
          <w:sz w:val="20"/>
          <w:szCs w:val="20"/>
          <w:color w:val="auto"/>
        </w:rPr>
      </w:pPr>
      <w:r>
        <w:rPr>
          <w:rFonts w:ascii="Times New Roman" w:cs="Times New Roman" w:eastAsia="Times New Roman" w:hAnsi="Times New Roman"/>
          <w:sz w:val="18"/>
          <w:szCs w:val="18"/>
          <w:color w:val="auto"/>
        </w:rPr>
        <w:t xml:space="preserve">On December 2, 2016, the MOC issued </w:t>
      </w:r>
      <w:r>
        <w:rPr>
          <w:rFonts w:ascii="Times New Roman" w:cs="Times New Roman" w:eastAsia="Times New Roman" w:hAnsi="Times New Roman"/>
          <w:sz w:val="18"/>
          <w:szCs w:val="18"/>
          <w:i w:val="1"/>
          <w:iCs w:val="1"/>
          <w:color w:val="auto"/>
        </w:rPr>
        <w:t>the Administrative Measures for Business Activities of Online Performances</w:t>
      </w:r>
      <w:r>
        <w:rPr>
          <w:rFonts w:ascii="Times New Roman" w:cs="Times New Roman" w:eastAsia="Times New Roman" w:hAnsi="Times New Roman"/>
          <w:sz w:val="18"/>
          <w:szCs w:val="18"/>
          <w:color w:val="auto"/>
        </w:rPr>
        <w:t>, which became effective on January 1, 2017. According to these measures, the business of transmitting in real time the content of online games presented or narrated via information networks such as Internet, mobile communication networks and mobile Internet or uploading such contents for communication in the audio-visual form shall be administered as online performances. An operator of online performances shall apply for Online Culture Operating Permit with the competent provincial administrative cultural department, and the business scope indicated on the Online Culture Operating Permit shall clearly include online performances. In addition, an operator of online performances shall present the number of its Online Culture Operating Permit in a prominent position on the homepage of its website.</w:t>
      </w:r>
    </w:p>
    <w:p>
      <w:pPr>
        <w:spacing w:after="0" w:line="183" w:lineRule="exact"/>
        <w:rPr>
          <w:sz w:val="20"/>
          <w:szCs w:val="20"/>
          <w:color w:val="auto"/>
        </w:rPr>
      </w:pPr>
    </w:p>
    <w:p>
      <w:pPr>
        <w:ind w:right="20" w:firstLine="450"/>
        <w:spacing w:after="0" w:line="255" w:lineRule="auto"/>
        <w:rPr>
          <w:sz w:val="20"/>
          <w:szCs w:val="20"/>
          <w:color w:val="auto"/>
        </w:rPr>
      </w:pPr>
      <w:r>
        <w:rPr>
          <w:rFonts w:ascii="Times New Roman" w:cs="Times New Roman" w:eastAsia="Times New Roman" w:hAnsi="Times New Roman"/>
          <w:sz w:val="18"/>
          <w:szCs w:val="18"/>
          <w:color w:val="auto"/>
        </w:rPr>
        <w:t xml:space="preserve">On December 1, 2016, MOC issued the </w:t>
      </w:r>
      <w:r>
        <w:rPr>
          <w:rFonts w:ascii="Times New Roman" w:cs="Times New Roman" w:eastAsia="Times New Roman" w:hAnsi="Times New Roman"/>
          <w:sz w:val="18"/>
          <w:szCs w:val="18"/>
          <w:i w:val="1"/>
          <w:iCs w:val="1"/>
          <w:color w:val="auto"/>
        </w:rPr>
        <w:t>Circular of the Ministry of Culture on Regulating the Operations of Online Games and Strengthening Interim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Ex Post Regulation</w:t>
      </w:r>
      <w:r>
        <w:rPr>
          <w:rFonts w:ascii="Times New Roman" w:cs="Times New Roman" w:eastAsia="Times New Roman" w:hAnsi="Times New Roman"/>
          <w:sz w:val="18"/>
          <w:szCs w:val="18"/>
          <w:color w:val="auto"/>
        </w:rPr>
        <w:t>, the MOC Online Games Regulation, which will become effect on May 1, 2017. Pursuant to the MOC Online Games Regulation,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MOC further clarified the scope of operations of online games. Technical testing of online games conducted by an enterprise engaging in online games operations by means such as making the online games available for user registration, opening the fee-charging system of the online games, providing client-end software with direct server registration and login functions, etc. shall be deemed as the operations of online games. In addition, with respect to enterprises engaging in providing user systems, fee-charging systems, program downloading, publicity and promotion and other services for the online game products of another operating enterprise and participating in sharing the revenue from the operations of online games shall be deemed as engaging in joint operations, and shall bear corresponding liabilities. In addition, this circular standardizes the service for distributing the virtual props listed as below:</w:t>
      </w:r>
    </w:p>
    <w:p>
      <w:pPr>
        <w:spacing w:after="0" w:line="187" w:lineRule="exact"/>
        <w:rPr>
          <w:sz w:val="20"/>
          <w:szCs w:val="20"/>
          <w:color w:val="auto"/>
        </w:rPr>
      </w:pPr>
    </w:p>
    <w:p>
      <w:pPr>
        <w:ind w:left="1240" w:right="760" w:hanging="767"/>
        <w:spacing w:after="0" w:line="282" w:lineRule="auto"/>
        <w:tabs>
          <w:tab w:leader="none" w:pos="120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Virtual props distributed by enterprises engaging in online games operations shall be managed pursuant to the provisions on virtual currencies of online games.</w:t>
      </w:r>
    </w:p>
    <w:p>
      <w:pPr>
        <w:spacing w:after="0" w:line="161" w:lineRule="exact"/>
        <w:rPr>
          <w:rFonts w:ascii="Times New Roman" w:cs="Times New Roman" w:eastAsia="Times New Roman" w:hAnsi="Times New Roman"/>
          <w:sz w:val="18"/>
          <w:szCs w:val="18"/>
          <w:color w:val="auto"/>
        </w:rPr>
      </w:pPr>
    </w:p>
    <w:p>
      <w:pPr>
        <w:ind w:left="1240" w:right="220" w:hanging="767"/>
        <w:spacing w:after="0" w:line="261" w:lineRule="auto"/>
        <w:tabs>
          <w:tab w:leader="none" w:pos="120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Enterprises engaging in online games operations that intend to change the version of an online game, increase the types of virtual props, adjust the functions and use period of virtual props or hold temporary activities shall, via the official homepage of the online game or in conspicuous locations within the online game, promptly make public the name, functions, price, exchange rate and expiration date of each virtual prop involved, the corresponding ways for gifting, transferring or trading the virtual props and other relevant information.</w:t>
      </w:r>
    </w:p>
    <w:p>
      <w:pPr>
        <w:spacing w:after="0" w:line="180" w:lineRule="exact"/>
        <w:rPr>
          <w:rFonts w:ascii="Times New Roman" w:cs="Times New Roman" w:eastAsia="Times New Roman" w:hAnsi="Times New Roman"/>
          <w:sz w:val="18"/>
          <w:szCs w:val="18"/>
          <w:color w:val="auto"/>
        </w:rPr>
      </w:pPr>
    </w:p>
    <w:p>
      <w:pPr>
        <w:ind w:left="1240" w:right="140" w:hanging="767"/>
        <w:spacing w:after="0" w:line="282" w:lineRule="auto"/>
        <w:tabs>
          <w:tab w:leader="none" w:pos="120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Enterprises engaging in online games operations that provide virtual props and value-added services of an online game by random selection shall not require users to participate by way of directly investing legal tender or the virtual currency of the online game.</w:t>
      </w:r>
    </w:p>
    <w:p>
      <w:pPr>
        <w:spacing w:after="0" w:line="161" w:lineRule="exact"/>
        <w:rPr>
          <w:rFonts w:ascii="Times New Roman" w:cs="Times New Roman" w:eastAsia="Times New Roman" w:hAnsi="Times New Roman"/>
          <w:sz w:val="18"/>
          <w:szCs w:val="18"/>
          <w:color w:val="auto"/>
        </w:rPr>
      </w:pPr>
    </w:p>
    <w:p>
      <w:pPr>
        <w:ind w:left="1240" w:right="60" w:hanging="767"/>
        <w:spacing w:after="0" w:line="266" w:lineRule="auto"/>
        <w:tabs>
          <w:tab w:leader="none" w:pos="120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Enterprises engaging in online games operations shall publish the random selection results of participating users on the official website of an online game or in conspicuous locations within the online game, and keep relevant records for at least 90 days for future inquiries by relevant departments.</w:t>
      </w:r>
    </w:p>
    <w:p>
      <w:pPr>
        <w:spacing w:after="0" w:line="176" w:lineRule="exact"/>
        <w:rPr>
          <w:rFonts w:ascii="Times New Roman" w:cs="Times New Roman" w:eastAsia="Times New Roman" w:hAnsi="Times New Roman"/>
          <w:sz w:val="18"/>
          <w:szCs w:val="18"/>
          <w:color w:val="auto"/>
        </w:rPr>
      </w:pPr>
    </w:p>
    <w:p>
      <w:pPr>
        <w:ind w:left="1240" w:right="80" w:hanging="767"/>
        <w:spacing w:after="0" w:line="289" w:lineRule="auto"/>
        <w:tabs>
          <w:tab w:leader="none" w:pos="1209"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providing virtual props and value-added services of an online game by way of random selection, an enterprise engaging in online games operations shall, at the same time, provide users with other means to obtain virtual props and value-added services of the same performance, such as by exchanging other virtual props, using the virtual currency of the online game to directly purchase virtual props, etc.</w:t>
      </w:r>
    </w:p>
    <w:p>
      <w:pPr>
        <w:spacing w:after="0" w:line="158" w:lineRule="exact"/>
        <w:rPr>
          <w:rFonts w:ascii="Times New Roman" w:cs="Times New Roman" w:eastAsia="Times New Roman" w:hAnsi="Times New Roman"/>
          <w:sz w:val="17"/>
          <w:szCs w:val="17"/>
          <w:color w:val="auto"/>
        </w:rPr>
      </w:pPr>
    </w:p>
    <w:p>
      <w:pPr>
        <w:ind w:left="1240" w:right="60" w:hanging="767"/>
        <w:spacing w:after="0" w:line="266" w:lineRule="auto"/>
        <w:tabs>
          <w:tab w:leader="none" w:pos="120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Enterprises engaging in online games operations shall not provide users with services to exchange the virtual currency of an online game to legal tender or physical items, except where the said enterprise terminates the provision of online gaming products and services, and refunds the virtual currency not yet used by users in the form of legal tender or by other means acceptable to the users.</w:t>
      </w:r>
    </w:p>
    <w:p>
      <w:pPr>
        <w:spacing w:after="0" w:line="176" w:lineRule="exact"/>
        <w:rPr>
          <w:rFonts w:ascii="Times New Roman" w:cs="Times New Roman" w:eastAsia="Times New Roman" w:hAnsi="Times New Roman"/>
          <w:sz w:val="18"/>
          <w:szCs w:val="18"/>
          <w:color w:val="auto"/>
        </w:rPr>
      </w:pPr>
    </w:p>
    <w:p>
      <w:pPr>
        <w:ind w:left="1200" w:hanging="727"/>
        <w:spacing w:after="0"/>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Enterprises engaging in online games operations may not provide users with services to exchange virtual props into legal tender.</w:t>
      </w:r>
    </w:p>
    <w:p>
      <w:pPr>
        <w:sectPr>
          <w:pgSz w:w="11900" w:h="16838" w:orient="portrait"/>
          <w:cols w:equalWidth="0" w:num="1">
            <w:col w:w="11400"/>
          </w:cols>
          <w:pgMar w:left="240" w:top="121" w:right="259" w:bottom="104" w:gutter="0" w:footer="0" w:header="0"/>
        </w:sectPr>
      </w:pPr>
    </w:p>
    <w:bookmarkStart w:id="47" w:name="page48"/>
    <w:bookmarkEnd w:id="47"/>
    <w:p>
      <w:pPr>
        <w:ind w:right="40" w:firstLine="450"/>
        <w:spacing w:after="0" w:line="261" w:lineRule="auto"/>
        <w:rPr>
          <w:sz w:val="20"/>
          <w:szCs w:val="20"/>
          <w:color w:val="auto"/>
        </w:rPr>
      </w:pPr>
      <w:r>
        <w:rPr>
          <w:rFonts w:ascii="Times New Roman" w:cs="Times New Roman" w:eastAsia="Times New Roman" w:hAnsi="Times New Roman"/>
          <w:sz w:val="18"/>
          <w:szCs w:val="18"/>
          <w:color w:val="auto"/>
        </w:rPr>
        <w:t>In addition, enterprises engaging in online games operations shall require online game users to register their real names by using valid identity documents and shall limit the amount that an online game user may top up each time in a single game, and send information that requires confirmation by users when they top up or engage in consumption, and shall indicate the contact details for protecting user rights and interests in conspicuous locations within an online game.</w:t>
      </w:r>
    </w:p>
    <w:p>
      <w:pPr>
        <w:spacing w:after="0" w:line="178" w:lineRule="exact"/>
        <w:rPr>
          <w:sz w:val="20"/>
          <w:szCs w:val="20"/>
          <w:color w:val="auto"/>
        </w:rPr>
      </w:pPr>
    </w:p>
    <w:p>
      <w:pPr>
        <w:ind w:right="100" w:firstLine="441"/>
        <w:spacing w:after="0" w:line="259" w:lineRule="auto"/>
        <w:rPr>
          <w:sz w:val="20"/>
          <w:szCs w:val="20"/>
          <w:color w:val="auto"/>
        </w:rPr>
      </w:pPr>
      <w:r>
        <w:rPr>
          <w:rFonts w:ascii="Times New Roman" w:cs="Times New Roman" w:eastAsia="Times New Roman" w:hAnsi="Times New Roman"/>
          <w:sz w:val="18"/>
          <w:szCs w:val="18"/>
          <w:color w:val="auto"/>
        </w:rPr>
        <w:t xml:space="preserve">On November 20, 2006, the MOC issued </w:t>
      </w:r>
      <w:r>
        <w:rPr>
          <w:rFonts w:ascii="Times New Roman" w:cs="Times New Roman" w:eastAsia="Times New Roman" w:hAnsi="Times New Roman"/>
          <w:sz w:val="18"/>
          <w:szCs w:val="18"/>
          <w:i w:val="1"/>
          <w:iCs w:val="1"/>
          <w:color w:val="auto"/>
        </w:rPr>
        <w:t>Several Suggestions on the Development and Administration of the Internet Music</w:t>
      </w:r>
      <w:r>
        <w:rPr>
          <w:rFonts w:ascii="Times New Roman" w:cs="Times New Roman" w:eastAsia="Times New Roman" w:hAnsi="Times New Roman"/>
          <w:sz w:val="18"/>
          <w:szCs w:val="18"/>
          <w:color w:val="auto"/>
        </w:rPr>
        <w:t>, or the Suggestions, which became effective on November 20, 2006. The Suggestions, among other things, reiterate the requirement for Internet service providers to obtain an Online Culture Operating Permit to operate any business involving Internet music products. In addition, foreign investors are prohibited from operating Internet culture businesses. However, the laws and regulations on Internet music products are still evolving, and there have not been any provisions stipulating whether or how music videos will be regulated by the Suggestions.</w:t>
      </w:r>
    </w:p>
    <w:p>
      <w:pPr>
        <w:spacing w:after="0" w:line="180" w:lineRule="exact"/>
        <w:rPr>
          <w:sz w:val="20"/>
          <w:szCs w:val="20"/>
          <w:color w:val="auto"/>
        </w:rPr>
      </w:pPr>
    </w:p>
    <w:p>
      <w:pPr>
        <w:ind w:right="200" w:firstLine="450"/>
        <w:spacing w:after="0" w:line="261" w:lineRule="auto"/>
        <w:rPr>
          <w:sz w:val="20"/>
          <w:szCs w:val="20"/>
          <w:color w:val="auto"/>
        </w:rPr>
      </w:pPr>
      <w:r>
        <w:rPr>
          <w:rFonts w:ascii="Times New Roman" w:cs="Times New Roman" w:eastAsia="Times New Roman" w:hAnsi="Times New Roman"/>
          <w:sz w:val="18"/>
          <w:szCs w:val="18"/>
          <w:color w:val="auto"/>
        </w:rPr>
        <w:t xml:space="preserve">On August 18, 2009, the MOC issued the </w:t>
      </w:r>
      <w:r>
        <w:rPr>
          <w:rFonts w:ascii="Times New Roman" w:cs="Times New Roman" w:eastAsia="Times New Roman" w:hAnsi="Times New Roman"/>
          <w:sz w:val="18"/>
          <w:szCs w:val="18"/>
          <w:i w:val="1"/>
          <w:iCs w:val="1"/>
          <w:color w:val="auto"/>
        </w:rPr>
        <w:t>Notice on Strengthening and Improving the Content Review of Online Music</w:t>
      </w:r>
      <w:r>
        <w:rPr>
          <w:rFonts w:ascii="Times New Roman" w:cs="Times New Roman" w:eastAsia="Times New Roman" w:hAnsi="Times New Roman"/>
          <w:sz w:val="18"/>
          <w:szCs w:val="18"/>
          <w:color w:val="auto"/>
        </w:rPr>
        <w:t>. According to this notice, only “Internet culture operating entities” approved by the MOC may engage in the production, release, dissemination (including providing direct links to music products) and importation of online music products. Online music content shall be reviewed by or filed with the MOC. Internet culture operating entities should establish a strict system for self-monitoring online music content and set up a special department in charge of such monitoring.</w:t>
      </w:r>
    </w:p>
    <w:p>
      <w:pPr>
        <w:spacing w:after="0" w:line="182" w:lineRule="exact"/>
        <w:rPr>
          <w:sz w:val="20"/>
          <w:szCs w:val="20"/>
          <w:color w:val="auto"/>
        </w:rPr>
      </w:pPr>
    </w:p>
    <w:p>
      <w:pPr>
        <w:ind w:firstLine="459"/>
        <w:spacing w:after="0" w:line="254" w:lineRule="auto"/>
        <w:rPr>
          <w:sz w:val="20"/>
          <w:szCs w:val="20"/>
          <w:color w:val="auto"/>
        </w:rPr>
      </w:pPr>
      <w:r>
        <w:rPr>
          <w:rFonts w:ascii="Times New Roman" w:cs="Times New Roman" w:eastAsia="Times New Roman" w:hAnsi="Times New Roman"/>
          <w:sz w:val="18"/>
          <w:szCs w:val="18"/>
          <w:color w:val="auto"/>
        </w:rPr>
        <w:t>Tianying Jiuzhou provides Internet music products on our website. As of the date of this annual report, Tianying Jiuzhou has been granted an Online Culture Operating Permit with a permitted scope including the operation of online music, art and entertainment products, online game products (including virtual currencies for online games), art products, play performance, animation products and organization of exhibition or race of the online cultural products. However, the Online Culture Operating Permit does not cover the operation of online performances. Tianying Jiuzhou has also obtained an Internet Publication License from GAPPRFT with respect to books and periodicals published on the Internet, including the mobile Internet, and online and mobile games. For more information regarding regulatory risks of our online games business, see “Item 3. Key Information—D. Risk Factors—Risks Relating to Our Business and Industry—If we fail to obtain or maintain all applicable permits and approvals, or fail to comply with PRC regulations, relating to online games, our ability to conduct our online game business and certain other businesses could be affected and we could be subject to penalties and other administrative sanctions.”</w:t>
      </w:r>
    </w:p>
    <w:p>
      <w:pPr>
        <w:spacing w:after="0" w:line="189" w:lineRule="exact"/>
        <w:rPr>
          <w:sz w:val="20"/>
          <w:szCs w:val="20"/>
          <w:color w:val="auto"/>
        </w:rPr>
      </w:pPr>
    </w:p>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In addition, to comply with the laws and regulations on the content requirements of Internet music products, our content examination team reviews the content of online music products provided on our website.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Internet News Dissemination</w:t>
      </w:r>
    </w:p>
    <w:p>
      <w:pPr>
        <w:spacing w:after="0" w:line="227" w:lineRule="exact"/>
        <w:rPr>
          <w:sz w:val="20"/>
          <w:szCs w:val="20"/>
          <w:color w:val="auto"/>
        </w:rPr>
      </w:pPr>
    </w:p>
    <w:p>
      <w:pPr>
        <w:ind w:right="140" w:firstLine="441"/>
        <w:spacing w:after="0" w:line="256"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Provisional Regulations for the Administration of Internet Websites Engaging in News Publication Services</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Provisions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Administration of Internet News Information Services</w:t>
      </w:r>
      <w:r>
        <w:rPr>
          <w:rFonts w:ascii="Times New Roman" w:cs="Times New Roman" w:eastAsia="Times New Roman" w:hAnsi="Times New Roman"/>
          <w:sz w:val="18"/>
          <w:szCs w:val="18"/>
          <w:color w:val="auto"/>
        </w:rPr>
        <w:t>, each promulgated by the State Council Information Office, or the SCIO, and MII, which became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as of November 6, 2000 and September 25, 2005, respectively, websites established by non-news organizations may publish news released by certain official news agencies but may not publish news generated by themselves or news sourced elsewhere. In order to disseminate news, such websites must satisfy the relevant requirements set forth in the applicable regulations and have acquired approval from SCIO after securing permission from the news office of the provincial-level government. In addition, websites intending to publish news released by the aforementioned news agencies must enter into agreements with the respective organizations, and file copies of such agreements with the news office of the provincial-level government.</w:t>
      </w:r>
    </w:p>
    <w:p>
      <w:pPr>
        <w:spacing w:after="0" w:line="183"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 xml:space="preserve">On November 4, 2016, the State Internet Information Office issued </w:t>
      </w:r>
      <w:r>
        <w:rPr>
          <w:rFonts w:ascii="Times New Roman" w:cs="Times New Roman" w:eastAsia="Times New Roman" w:hAnsi="Times New Roman"/>
          <w:sz w:val="18"/>
          <w:szCs w:val="18"/>
          <w:i w:val="1"/>
          <w:iCs w:val="1"/>
          <w:color w:val="auto"/>
        </w:rPr>
        <w:t>the Provisions on the Administration of Online Live-streaming Services</w:t>
      </w:r>
      <w:r>
        <w:rPr>
          <w:rFonts w:ascii="Times New Roman" w:cs="Times New Roman" w:eastAsia="Times New Roman" w:hAnsi="Times New Roman"/>
          <w:sz w:val="18"/>
          <w:szCs w:val="18"/>
          <w:color w:val="auto"/>
        </w:rPr>
        <w:t>, which became effective on December 1, 2016. According to these provisions, online live-streaming service providers shall obtain an Internet news license, and carry out internet news information services within the permissible scope of the license; those who provide online performances, internet video and audio programs and other online live-streaming services shall also obtain relevant licenses as required by laws and regulations. Online live-streaming service providers shall examine and verify the real identity information of online live-streaming service publishers and establish platforms for reviewing live-streaming content, exercise oversight over Internet news information live-streams and its interactive content following the principle of examination first and issuance later. In addition, online live-streaming service providers shall strengthen real-time management of live interactions and equip corresponding administrative staff.</w:t>
      </w:r>
    </w:p>
    <w:p>
      <w:pPr>
        <w:spacing w:after="0" w:line="185"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In order to comply with these laws and regulations, we submitted an application to SCIO for the Internet news license. However, we have not been granted such license as of the date of this annual report and cannot assure you that we may be able to obtain one. See “Item 3. Key Information—D. Risk Factors—Risks Relating to Our Business and Industry—Our lack of an Internet news license may expose us to administrative sanctions, including an order to cease our Internet information services that provide political news or to cease the Internet access services provided by third parties to us.”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Publication Operation</w:t>
      </w:r>
    </w:p>
    <w:p>
      <w:pPr>
        <w:spacing w:after="0" w:line="227" w:lineRule="exact"/>
        <w:rPr>
          <w:sz w:val="20"/>
          <w:szCs w:val="20"/>
          <w:color w:val="auto"/>
        </w:rPr>
      </w:pPr>
    </w:p>
    <w:p>
      <w:pPr>
        <w:ind w:right="120" w:firstLine="441"/>
        <w:spacing w:after="0" w:line="254" w:lineRule="auto"/>
        <w:rPr>
          <w:sz w:val="20"/>
          <w:szCs w:val="20"/>
          <w:color w:val="auto"/>
        </w:rPr>
      </w:pPr>
      <w:r>
        <w:rPr>
          <w:rFonts w:ascii="Times New Roman" w:cs="Times New Roman" w:eastAsia="Times New Roman" w:hAnsi="Times New Roman"/>
          <w:sz w:val="18"/>
          <w:szCs w:val="18"/>
          <w:color w:val="auto"/>
        </w:rPr>
        <w:t xml:space="preserve">On March 25, 2011, GAPP and MOFCOM jointly issued the </w:t>
      </w:r>
      <w:r>
        <w:rPr>
          <w:rFonts w:ascii="Times New Roman" w:cs="Times New Roman" w:eastAsia="Times New Roman" w:hAnsi="Times New Roman"/>
          <w:sz w:val="18"/>
          <w:szCs w:val="18"/>
          <w:i w:val="1"/>
          <w:iCs w:val="1"/>
          <w:color w:val="auto"/>
        </w:rPr>
        <w:t>Administrative Measures for the Publication Market</w:t>
      </w:r>
      <w:r>
        <w:rPr>
          <w:rFonts w:ascii="Times New Roman" w:cs="Times New Roman" w:eastAsia="Times New Roman" w:hAnsi="Times New Roman"/>
          <w:sz w:val="18"/>
          <w:szCs w:val="18"/>
          <w:color w:val="auto"/>
        </w:rPr>
        <w:t>, or the Publication Market Measures (2011 Version), pursuant to which any entity or individual engaging in the wholesale or retail of books, newspaper, magazines, electronic publications and audio and video products must obtain an approval from the relevant press and publication administrative authority and receive a Publication Operation Permit. An enterprise that has obtained a Publication Operation Permit is not required to obtain any special permission if it utilizes the internet and other information networks to sell such publications, but must file with the relevant press and publication administrative authority within 15 days following its commencement of operations on the internet. Foreign investors may engage in the distribution of audio and video products in China only in the form of contractual joint ventures between foreign and Chinese investors. Due to these measures, we engage in retail of books, newspaper, magazines, electronic publications and audio and video products through Tianying Jiuzhou and wholesale and retail of books, newspaper, magazines and electronic publications through Yifeng Lianhe. Each of Tianying Jiuzhou and Yifeng Lianhe has obtained a Publication Operation Permit.</w:t>
      </w:r>
    </w:p>
    <w:p>
      <w:pPr>
        <w:spacing w:after="0" w:line="189" w:lineRule="exact"/>
        <w:rPr>
          <w:sz w:val="20"/>
          <w:szCs w:val="20"/>
          <w:color w:val="auto"/>
        </w:rPr>
      </w:pPr>
    </w:p>
    <w:p>
      <w:pPr>
        <w:ind w:right="40" w:firstLine="441"/>
        <w:spacing w:after="0" w:line="257" w:lineRule="auto"/>
        <w:rPr>
          <w:sz w:val="20"/>
          <w:szCs w:val="20"/>
          <w:color w:val="auto"/>
        </w:rPr>
      </w:pPr>
      <w:r>
        <w:rPr>
          <w:rFonts w:ascii="Times New Roman" w:cs="Times New Roman" w:eastAsia="Times New Roman" w:hAnsi="Times New Roman"/>
          <w:sz w:val="18"/>
          <w:szCs w:val="18"/>
          <w:color w:val="auto"/>
        </w:rPr>
        <w:t xml:space="preserve">On May 31, 2016, GAPPRFT and MOFCOM jointly promulgated the </w:t>
      </w:r>
      <w:r>
        <w:rPr>
          <w:rFonts w:ascii="Times New Roman" w:cs="Times New Roman" w:eastAsia="Times New Roman" w:hAnsi="Times New Roman"/>
          <w:sz w:val="18"/>
          <w:szCs w:val="18"/>
          <w:i w:val="1"/>
          <w:iCs w:val="1"/>
          <w:color w:val="auto"/>
        </w:rPr>
        <w:t>Administrative Measures for the Publication Market (2016 Version)</w:t>
      </w:r>
      <w:r>
        <w:rPr>
          <w:rFonts w:ascii="Times New Roman" w:cs="Times New Roman" w:eastAsia="Times New Roman" w:hAnsi="Times New Roman"/>
          <w:sz w:val="18"/>
          <w:szCs w:val="18"/>
          <w:color w:val="auto"/>
        </w:rPr>
        <w:t>, or Publication Market Measures (2016 Version), which replaced the Publication Market Measures (2011 Version). According to the Publication Market Measures (2016 Version), entities and individuals engaged in the wholesale or retail of publications shall carry out the relevant activities on the strength of an operation permit for publications. Where an entity or individual is engaged in the distribution of publications via the Internet or other information networks, it or he/she shall obtain the operation permit for publications; where an entity or individual that has obtained the operation permit for publications is engaged in the distribution of publications via the Internet or other information networks within the approved business scope, it or he/she shall go through the record-</w:t>
      </w:r>
    </w:p>
    <w:p>
      <w:pPr>
        <w:sectPr>
          <w:pgSz w:w="11900" w:h="16838" w:orient="portrait"/>
          <w:cols w:equalWidth="0" w:num="1">
            <w:col w:w="11420"/>
          </w:cols>
          <w:pgMar w:left="240" w:top="121" w:right="239" w:bottom="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filing formalities with the publication administrative department that granted approval within 15 days after launching the online distribution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Publication Market (2016 Version), foreign-invested enterprises are allowed to engage in the distribution of publications.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Internet Publication</w:t>
      </w:r>
    </w:p>
    <w:p>
      <w:pPr>
        <w:spacing w:after="0" w:line="227" w:lineRule="exact"/>
        <w:rPr>
          <w:sz w:val="20"/>
          <w:szCs w:val="20"/>
          <w:color w:val="auto"/>
        </w:rPr>
      </w:pPr>
    </w:p>
    <w:p>
      <w:pPr>
        <w:ind w:right="60" w:firstLine="441"/>
        <w:spacing w:after="0" w:line="254" w:lineRule="auto"/>
        <w:rPr>
          <w:sz w:val="20"/>
          <w:szCs w:val="20"/>
          <w:color w:val="auto"/>
        </w:rPr>
      </w:pPr>
      <w:r>
        <w:rPr>
          <w:rFonts w:ascii="Times New Roman" w:cs="Times New Roman" w:eastAsia="Times New Roman" w:hAnsi="Times New Roman"/>
          <w:sz w:val="18"/>
          <w:szCs w:val="18"/>
          <w:color w:val="auto"/>
        </w:rPr>
        <w:t xml:space="preserve">GAPPRFT is the government agency regulating publishing activities in the PRC. On June 27, 2002, MII and GAPP jointly promulgated the </w:t>
      </w:r>
      <w:r>
        <w:rPr>
          <w:rFonts w:ascii="Times New Roman" w:cs="Times New Roman" w:eastAsia="Times New Roman" w:hAnsi="Times New Roman"/>
          <w:sz w:val="18"/>
          <w:szCs w:val="18"/>
          <w:i w:val="1"/>
          <w:iCs w:val="1"/>
          <w:color w:val="auto"/>
        </w:rPr>
        <w:t>Tentative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Administration Measures on Internet Publication</w:t>
      </w:r>
      <w:r>
        <w:rPr>
          <w:rFonts w:ascii="Times New Roman" w:cs="Times New Roman" w:eastAsia="Times New Roman" w:hAnsi="Times New Roman"/>
          <w:sz w:val="18"/>
          <w:szCs w:val="18"/>
          <w:color w:val="auto"/>
        </w:rPr>
        <w:t>, or the Internet Publication Measures, which took effect on August 1, 2002. The Internet Publication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require Internet publishers to secure approval, or the Internet Publication License, from GAPPRFT to conduct Internet publication activities. In February 2016, the GAPPRFT and the MIIT jointly issued the Administrative Measures on Network Publication, which took effect in March 2016 and replaced the Internet Publication Measure. The Administrative Measures on Network Publication further strengthen and expand supervision over and management of network publication services, and require Internet publishers to be approved by and obtain a Network Publication Service License from GAPPRFT. Pursuant to the Administrative Measures on Network Publication, “network publication services” refers to activities including providing network publications to the public through information network, and “network publications” refers to digitalized works with publishing features such as editing, producing and processing. The Administrative Measures on Network Publication also detailed qualifications and application procedures for obtaining a Network Publication Service License.</w:t>
      </w:r>
    </w:p>
    <w:p>
      <w:pPr>
        <w:spacing w:after="0" w:line="188"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User generated content, the programs we select, produce and/or edit for users’ browsing, reading or downloading or our online games may be deemed a kind of “Internet publication” and the relevant authority could require us to obtain a Network Publication Service License. Tianying Jiuzhou has obtained an Internet Publication License from GAPPRFT. However, Yifeng Lianhe has not obtained this license. See “Item 3. Key Information—D. Risk Factors—Risks Relating to Our Business and Industry—If we fail to obtain or maintain all applicable permits and approvals, or fail to comply with PRC regulations, relating to online games, our ability to conduct our online game business and certain other businesses could be affected and we could be subject to penalties and other administrative sanctions.”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Short Message Services</w:t>
      </w:r>
    </w:p>
    <w:p>
      <w:pPr>
        <w:spacing w:after="0" w:line="227" w:lineRule="exact"/>
        <w:rPr>
          <w:sz w:val="20"/>
          <w:szCs w:val="20"/>
          <w:color w:val="auto"/>
        </w:rPr>
      </w:pPr>
    </w:p>
    <w:p>
      <w:pPr>
        <w:jc w:val="both"/>
        <w:ind w:right="280" w:firstLine="441"/>
        <w:spacing w:after="0" w:line="261" w:lineRule="auto"/>
        <w:rPr>
          <w:sz w:val="20"/>
          <w:szCs w:val="20"/>
          <w:color w:val="auto"/>
        </w:rPr>
      </w:pPr>
      <w:r>
        <w:rPr>
          <w:rFonts w:ascii="Times New Roman" w:cs="Times New Roman" w:eastAsia="Times New Roman" w:hAnsi="Times New Roman"/>
          <w:sz w:val="18"/>
          <w:szCs w:val="18"/>
          <w:color w:val="auto"/>
        </w:rPr>
        <w:t xml:space="preserve">MII issued the </w:t>
      </w:r>
      <w:r>
        <w:rPr>
          <w:rFonts w:ascii="Times New Roman" w:cs="Times New Roman" w:eastAsia="Times New Roman" w:hAnsi="Times New Roman"/>
          <w:sz w:val="18"/>
          <w:szCs w:val="18"/>
          <w:i w:val="1"/>
          <w:iCs w:val="1"/>
          <w:color w:val="auto"/>
        </w:rPr>
        <w:t>Notice on Certain Issues Regarding Standardizing Short Message Services</w:t>
      </w:r>
      <w:r>
        <w:rPr>
          <w:rFonts w:ascii="Times New Roman" w:cs="Times New Roman" w:eastAsia="Times New Roman" w:hAnsi="Times New Roman"/>
          <w:sz w:val="18"/>
          <w:szCs w:val="18"/>
          <w:color w:val="auto"/>
        </w:rPr>
        <w:t xml:space="preserve"> on April 15, 2004, specifying that only those information service providers holding the relevant license can provide short message services in the PRC. Such notice also specifies that information service providers shall examine the contents of short messages and automatically record and keep for five months the time of sending and receiving the short messages, the mobile numbers or codes of the sending terminal and receiving terminal of the short messages.</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MIIT issued the Administrative Provisions on Short Message Services for Communication on May 19, 2015, which became effective on June 30,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 to such provisions, an entity shall obtain relevant telecommunications business license (“the relevant licenses”) to engage in short message service.</w:t>
      </w:r>
    </w:p>
    <w:p>
      <w:pPr>
        <w:spacing w:after="0" w:line="207"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In order to comply with these laws and regulations, Tianying Jiuzhou and Yifeng Lianhe have obtained the relevant licenses, for provision of information via mobile networks. In addition, we have certain personnel to examine and screen on contents of short messages and keep the relevant records as required by the law.</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Telecommunications Networks Code Number Resources</w:t>
      </w:r>
    </w:p>
    <w:p>
      <w:pPr>
        <w:spacing w:after="0" w:line="227" w:lineRule="exact"/>
        <w:rPr>
          <w:sz w:val="20"/>
          <w:szCs w:val="20"/>
          <w:color w:val="auto"/>
        </w:rPr>
      </w:pPr>
    </w:p>
    <w:p>
      <w:pPr>
        <w:ind w:right="160" w:firstLine="441"/>
        <w:spacing w:after="0" w:line="259" w:lineRule="auto"/>
        <w:rPr>
          <w:sz w:val="20"/>
          <w:szCs w:val="20"/>
          <w:color w:val="auto"/>
        </w:rPr>
      </w:pPr>
      <w:r>
        <w:rPr>
          <w:rFonts w:ascii="Times New Roman" w:cs="Times New Roman" w:eastAsia="Times New Roman" w:hAnsi="Times New Roman"/>
          <w:sz w:val="18"/>
          <w:szCs w:val="18"/>
          <w:color w:val="auto"/>
        </w:rPr>
        <w:t xml:space="preserve">On January 29, 2003, MII issued the </w:t>
      </w:r>
      <w:r>
        <w:rPr>
          <w:rFonts w:ascii="Times New Roman" w:cs="Times New Roman" w:eastAsia="Times New Roman" w:hAnsi="Times New Roman"/>
          <w:sz w:val="18"/>
          <w:szCs w:val="18"/>
          <w:i w:val="1"/>
          <w:iCs w:val="1"/>
          <w:color w:val="auto"/>
        </w:rPr>
        <w:t>Administrative Measures on Telecommunications Networks Code Number Resources</w:t>
      </w:r>
      <w:r>
        <w:rPr>
          <w:rFonts w:ascii="Times New Roman" w:cs="Times New Roman" w:eastAsia="Times New Roman" w:hAnsi="Times New Roman"/>
          <w:sz w:val="18"/>
          <w:szCs w:val="18"/>
          <w:color w:val="auto"/>
        </w:rPr>
        <w:t>, or the Code Number Measures, which was revised on September 23, 2014, to regulate code numbers, including those of mobile communications networks. According to such administrative measures, entities which apply for code numbers to be used in a trans-provincial range shall apply to MIIT, and entities which apply for code numbers to be used within provincial-level administrative regions shall apply to MIIT at the provincial level. Such administrative measures also specify the qualification requirements for code number applicants, required application materials and the application procedures.</w:t>
      </w:r>
    </w:p>
    <w:p>
      <w:pPr>
        <w:spacing w:after="0" w:line="180"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 xml:space="preserve">In June 2006, MII issued the </w:t>
      </w:r>
      <w:r>
        <w:rPr>
          <w:rFonts w:ascii="Times New Roman" w:cs="Times New Roman" w:eastAsia="Times New Roman" w:hAnsi="Times New Roman"/>
          <w:sz w:val="18"/>
          <w:szCs w:val="18"/>
          <w:i w:val="1"/>
          <w:iCs w:val="1"/>
          <w:color w:val="auto"/>
        </w:rPr>
        <w:t>Administrative Measures on Application, Distribution, Usage and Withdrawal of SMS Services Access Codes</w:t>
      </w:r>
      <w:r>
        <w:rPr>
          <w:rFonts w:ascii="Times New Roman" w:cs="Times New Roman" w:eastAsia="Times New Roman" w:hAnsi="Times New Roman"/>
          <w:sz w:val="18"/>
          <w:szCs w:val="18"/>
          <w:color w:val="auto"/>
        </w:rPr>
        <w:t>. According to such administrative measures, the administration and usage of services relating to SMS short codes shall comply with the Code Number Measures. Such administrative measures also specify that operators who provide services relating to SMS short codes across provinces or in the territory of the whole country shall file with the relevant provincial-level counterparts of MII.</w:t>
      </w:r>
    </w:p>
    <w:p>
      <w:pPr>
        <w:spacing w:after="0" w:line="182"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Each of Tianying Jiuzhou and Yifeng Lianhe has been granted the code numbers to be used in a trans-provincial range and has completed the filing in all of the provinces in the PRC.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Certain Internet Content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Internet Medicine Information</w:t>
      </w:r>
    </w:p>
    <w:p>
      <w:pPr>
        <w:spacing w:after="0" w:line="225" w:lineRule="exact"/>
        <w:rPr>
          <w:sz w:val="20"/>
          <w:szCs w:val="20"/>
          <w:color w:val="auto"/>
        </w:rPr>
      </w:pPr>
    </w:p>
    <w:p>
      <w:pPr>
        <w:jc w:val="both"/>
        <w:ind w:right="120" w:firstLine="441"/>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Administration Measures on Internet Medicine Information Service</w:t>
      </w:r>
      <w:r>
        <w:rPr>
          <w:rFonts w:ascii="Times New Roman" w:cs="Times New Roman" w:eastAsia="Times New Roman" w:hAnsi="Times New Roman"/>
          <w:sz w:val="18"/>
          <w:szCs w:val="18"/>
          <w:color w:val="auto"/>
        </w:rPr>
        <w:t xml:space="preserve"> issued by The State Food and Drug Administration, or the SFDA, and related implementing rules and notices govern the classification, application, approval, contents, qualifications and requirements for Internet medicine information services. An ICP service operator that provides information regarding medicine or medical equipment must obtain an Internet Medicine Information Service Qualification Certificate from the applicable provincial level counterpart of SFDA.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Internet Medical Care Information</w:t>
      </w:r>
    </w:p>
    <w:p>
      <w:pPr>
        <w:spacing w:after="0" w:line="225" w:lineRule="exact"/>
        <w:rPr>
          <w:sz w:val="20"/>
          <w:szCs w:val="20"/>
          <w:color w:val="auto"/>
        </w:rPr>
      </w:pPr>
    </w:p>
    <w:p>
      <w:pPr>
        <w:ind w:right="220" w:firstLine="441"/>
        <w:spacing w:after="0" w:line="267" w:lineRule="auto"/>
        <w:rPr>
          <w:sz w:val="20"/>
          <w:szCs w:val="20"/>
          <w:color w:val="auto"/>
        </w:rPr>
      </w:pPr>
      <w:r>
        <w:rPr>
          <w:rFonts w:ascii="Times New Roman" w:cs="Times New Roman" w:eastAsia="Times New Roman" w:hAnsi="Times New Roman"/>
          <w:sz w:val="18"/>
          <w:szCs w:val="18"/>
          <w:color w:val="auto"/>
        </w:rPr>
        <w:t xml:space="preserve">The PRC Ministry of Health promulgated the </w:t>
      </w:r>
      <w:r>
        <w:rPr>
          <w:rFonts w:ascii="Times New Roman" w:cs="Times New Roman" w:eastAsia="Times New Roman" w:hAnsi="Times New Roman"/>
          <w:sz w:val="18"/>
          <w:szCs w:val="18"/>
          <w:i w:val="1"/>
          <w:iCs w:val="1"/>
          <w:color w:val="auto"/>
        </w:rPr>
        <w:t>Administrative Measures on Internet Medical Care Information Services</w:t>
      </w:r>
      <w:r>
        <w:rPr>
          <w:rFonts w:ascii="Times New Roman" w:cs="Times New Roman" w:eastAsia="Times New Roman" w:hAnsi="Times New Roman"/>
          <w:sz w:val="18"/>
          <w:szCs w:val="18"/>
          <w:color w:val="auto"/>
        </w:rPr>
        <w:t xml:space="preserve"> on May 1, 2009. Pursuant to these measures, an ICP service operator that provides information regarding medical care must obtain an Internet Medical Care Information Consent Letter from the applicable health department at the provincial level. The effective period of such consent letters is two years.</w:t>
      </w:r>
    </w:p>
    <w:p>
      <w:pPr>
        <w:spacing w:after="0" w:line="176"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Certain of our verticals contain medicine-related and medical care information. We currently do not have such consent letter or qualification certificate, but have engaged an agency to assist us in applying for such certificate and consent letter. We cannot assure you that we may be able to obtain them. See</w:t>
      </w:r>
    </w:p>
    <w:p>
      <w:pPr>
        <w:sectPr>
          <w:pgSz w:w="11900" w:h="16838" w:orient="portrait"/>
          <w:cols w:equalWidth="0" w:num="1">
            <w:col w:w="11400"/>
          </w:cols>
          <w:pgMar w:left="240" w:top="121" w:right="259" w:bottom="0" w:gutter="0" w:footer="0" w:header="0"/>
        </w:sectPr>
      </w:pPr>
    </w:p>
    <w:bookmarkStart w:id="49" w:name="page50"/>
    <w:bookmarkEnd w:id="49"/>
    <w:p>
      <w:pPr>
        <w:ind w:right="440"/>
        <w:spacing w:after="0" w:line="282" w:lineRule="auto"/>
        <w:rPr>
          <w:sz w:val="20"/>
          <w:szCs w:val="20"/>
          <w:color w:val="auto"/>
        </w:rPr>
      </w:pPr>
      <w:r>
        <w:rPr>
          <w:rFonts w:ascii="Times New Roman" w:cs="Times New Roman" w:eastAsia="Times New Roman" w:hAnsi="Times New Roman"/>
          <w:sz w:val="18"/>
          <w:szCs w:val="18"/>
          <w:color w:val="auto"/>
        </w:rPr>
        <w:t>“Item 3. Key Information—D. Risk Factors—Risks Relating to Our Business and Industry—Failure to obtain certain permits for our health and Chinese medicine verticals would subject us to penalties.”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Internet Privacy</w:t>
      </w:r>
    </w:p>
    <w:p>
      <w:pPr>
        <w:spacing w:after="0" w:line="229" w:lineRule="exact"/>
        <w:rPr>
          <w:sz w:val="20"/>
          <w:szCs w:val="20"/>
          <w:color w:val="auto"/>
        </w:rPr>
      </w:pPr>
    </w:p>
    <w:p>
      <w:pPr>
        <w:ind w:right="20" w:firstLine="441"/>
        <w:spacing w:after="0" w:line="252" w:lineRule="auto"/>
        <w:rPr>
          <w:sz w:val="20"/>
          <w:szCs w:val="20"/>
          <w:color w:val="auto"/>
        </w:rPr>
      </w:pPr>
      <w:r>
        <w:rPr>
          <w:rFonts w:ascii="Times New Roman" w:cs="Times New Roman" w:eastAsia="Times New Roman" w:hAnsi="Times New Roman"/>
          <w:sz w:val="18"/>
          <w:szCs w:val="18"/>
          <w:color w:val="auto"/>
        </w:rPr>
        <w:t xml:space="preserve">The PRC Constitution states that PRC law protects the freedom and privacy of communications of citizens and prohibits the infringement of such rights. In recent years, PRC government authorities have passed regulations on Internet use to protect personal information from unauthorized disclosure. The Internet Measures prohibit an ICP service operator from insulting or slandering a third party or infringing upon the lawful rights and interests of a third party. The regulations also authorize the relevant telecommunications authorities to order ICP service operators to rectify unauthorized disclosures. ICP service operators are subject to legal liability if unauthorized disclosure results in damages or losses to users. The PRC government, however, has the power and authority to order ICP service operators to turn over personal information if an Internet user posts any prohibited content or engages in illegal activities on the Internet. Pursuant to the </w:t>
      </w:r>
      <w:r>
        <w:rPr>
          <w:rFonts w:ascii="Times New Roman" w:cs="Times New Roman" w:eastAsia="Times New Roman" w:hAnsi="Times New Roman"/>
          <w:sz w:val="18"/>
          <w:szCs w:val="18"/>
          <w:i w:val="1"/>
          <w:iCs w:val="1"/>
          <w:color w:val="auto"/>
        </w:rPr>
        <w:t>Information Protection Decision</w:t>
      </w:r>
      <w:r>
        <w:rPr>
          <w:rFonts w:ascii="Times New Roman" w:cs="Times New Roman" w:eastAsia="Times New Roman" w:hAnsi="Times New Roman"/>
          <w:sz w:val="18"/>
          <w:szCs w:val="18"/>
          <w:color w:val="auto"/>
        </w:rPr>
        <w:t xml:space="preserve"> issued by the Standing Committee of the National People’s Congress of the PRC and the </w:t>
      </w:r>
      <w:r>
        <w:rPr>
          <w:rFonts w:ascii="Times New Roman" w:cs="Times New Roman" w:eastAsia="Times New Roman" w:hAnsi="Times New Roman"/>
          <w:sz w:val="18"/>
          <w:szCs w:val="18"/>
          <w:i w:val="1"/>
          <w:iCs w:val="1"/>
          <w:color w:val="auto"/>
        </w:rPr>
        <w:t>Order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Protection of Telecommunication and Internet User Personal Information </w:t>
      </w:r>
      <w:r>
        <w:rPr>
          <w:rFonts w:ascii="Times New Roman" w:cs="Times New Roman" w:eastAsia="Times New Roman" w:hAnsi="Times New Roman"/>
          <w:sz w:val="18"/>
          <w:szCs w:val="18"/>
          <w:color w:val="auto"/>
        </w:rPr>
        <w:t>issued by MIIT on July 16, 2013, or the Order, any collection and use of user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personal information shall be subject to the consent of the user, abide by the principles of legality, rationality and necessity and be within the specified purposes, methods and scope. The </w:t>
      </w:r>
      <w:r>
        <w:rPr>
          <w:rFonts w:ascii="Times New Roman" w:cs="Times New Roman" w:eastAsia="Times New Roman" w:hAnsi="Times New Roman"/>
          <w:sz w:val="18"/>
          <w:szCs w:val="18"/>
          <w:i w:val="1"/>
          <w:iCs w:val="1"/>
          <w:color w:val="auto"/>
        </w:rPr>
        <w:t>Information Protection Decision</w:t>
      </w:r>
      <w:r>
        <w:rPr>
          <w:rFonts w:ascii="Times New Roman" w:cs="Times New Roman" w:eastAsia="Times New Roman" w:hAnsi="Times New Roman"/>
          <w:sz w:val="18"/>
          <w:szCs w:val="18"/>
          <w:color w:val="auto"/>
        </w:rPr>
        <w:t xml:space="preserve"> and the Order further states that Inter net service providers and other enterprises and institutions must keep users’ personal information that is gathered in the course of their business activities confidential and are further prohibited from divulging, tampering or destroying of any such information, or selling or providing such information to other parties. Any violations of the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Protection Decision </w:t>
      </w:r>
      <w:r>
        <w:rPr>
          <w:rFonts w:ascii="Times New Roman" w:cs="Times New Roman" w:eastAsia="Times New Roman" w:hAnsi="Times New Roman"/>
          <w:sz w:val="18"/>
          <w:szCs w:val="18"/>
          <w:color w:val="auto"/>
        </w:rPr>
        <w:t>or the Order may subject such companies to penalties such as warnings, fines, confiscation of its unlawful income, revocation of licenses,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cancellation of filings, shutdown of their websites or even criminal liabilities.</w:t>
      </w:r>
    </w:p>
    <w:p>
      <w:pPr>
        <w:spacing w:after="0" w:line="199" w:lineRule="exact"/>
        <w:rPr>
          <w:sz w:val="20"/>
          <w:szCs w:val="20"/>
          <w:color w:val="auto"/>
        </w:rPr>
      </w:pPr>
    </w:p>
    <w:p>
      <w:pPr>
        <w:ind w:right="160" w:firstLine="441"/>
        <w:spacing w:after="0" w:line="261" w:lineRule="auto"/>
        <w:rPr>
          <w:sz w:val="20"/>
          <w:szCs w:val="20"/>
          <w:color w:val="auto"/>
        </w:rPr>
      </w:pPr>
      <w:r>
        <w:rPr>
          <w:rFonts w:ascii="Times New Roman" w:cs="Times New Roman" w:eastAsia="Times New Roman" w:hAnsi="Times New Roman"/>
          <w:sz w:val="18"/>
          <w:szCs w:val="18"/>
          <w:color w:val="auto"/>
        </w:rPr>
        <w:t>Our platform is open to Internet users for uploading text and images. As a result, content posted by our users may expose us to allegations by third parties of invasion of privacy. Though our users agree not to use our services in a way that is illegal, given the volume of content uploaded, it is not possible to identify and remove all potentially infringing content uploaded by our users and we may therefore be subject to litigations or claims in connection with invasion of user privacy.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Advertising Business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State Administration for Industry and Commerce, or SAIC, is the government agency responsible for regulating advertising activities in the PRC.</w:t>
      </w:r>
    </w:p>
    <w:p>
      <w:pPr>
        <w:spacing w:after="0" w:line="223"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color w:val="auto"/>
        </w:rPr>
        <w:t xml:space="preserve">According to </w:t>
      </w:r>
      <w:r>
        <w:rPr>
          <w:rFonts w:ascii="Times New Roman" w:cs="Times New Roman" w:eastAsia="Times New Roman" w:hAnsi="Times New Roman"/>
          <w:sz w:val="18"/>
          <w:szCs w:val="18"/>
          <w:i w:val="1"/>
          <w:iCs w:val="1"/>
          <w:color w:val="auto"/>
        </w:rPr>
        <w:t>PRC Advertisement Law</w:t>
      </w:r>
      <w:r>
        <w:rPr>
          <w:rFonts w:ascii="Times New Roman" w:cs="Times New Roman" w:eastAsia="Times New Roman" w:hAnsi="Times New Roman"/>
          <w:sz w:val="18"/>
          <w:szCs w:val="18"/>
          <w:color w:val="auto"/>
        </w:rPr>
        <w:t xml:space="preserve"> and relevant rules and regulations, companies that engage in advertising activities must obtain from SAIC or its local branches a business license which specifically includes advertising within its business scope. PRC advertising laws and regulations set forth certain content requirements for advertisements in the PRC including, among other things, prohibitions on false or misleading content, superlative wording, socially destabilizing content or content involving obscenities, superstition, violence, discrimination or infringement of the public interest. Advertisers, advertising agencies, and advertising distributors are required to ensure that the content of the advertisements they prepare or distribute is true and in full compliance with applicable law. In providing advertising services, advertising operators and advertising distributors must review the supporting documents provided by advertisers for their advertisements and verify that the content of the advertisements complies with applicable PRC laws and regulations. Prior to distributing advertisements that are subject to government censorship and approval, advertising distributors are obligated to verify that such censorship has been performed and approval has been obtained. The release or delivery of advertisements through the Internet shall not impair the normal use of the users. Advertisements released in pop-up forms on a webpage and other forms shall indicate the close flag in prominent manner and ensure one-key close. Violation of these regulations may result in penalties, including fines, confiscation of advertising income, orders to cease dissemination of the advertisements and orders to eliminate the effect of illegal advertisement. In circumstances involving serious violations, SAIC or its local branches may revoke violators’ licenses or permits for their advertising business operations.</w:t>
      </w:r>
    </w:p>
    <w:p>
      <w:pPr>
        <w:spacing w:after="0" w:line="189"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 xml:space="preserve">On July 4, 2016, SAIC issued the </w:t>
      </w:r>
      <w:r>
        <w:rPr>
          <w:rFonts w:ascii="Times New Roman" w:cs="Times New Roman" w:eastAsia="Times New Roman" w:hAnsi="Times New Roman"/>
          <w:sz w:val="18"/>
          <w:szCs w:val="18"/>
          <w:i w:val="1"/>
          <w:iCs w:val="1"/>
          <w:color w:val="auto"/>
        </w:rPr>
        <w:t>Interim Measures for the Administration of Internet Advertising</w:t>
      </w:r>
      <w:r>
        <w:rPr>
          <w:rFonts w:ascii="Times New Roman" w:cs="Times New Roman" w:eastAsia="Times New Roman" w:hAnsi="Times New Roman"/>
          <w:sz w:val="18"/>
          <w:szCs w:val="18"/>
          <w:color w:val="auto"/>
        </w:rPr>
        <w:t xml:space="preserve"> to regulate Internet advertising activities, which became effect on September 1, 2016. According to these measures, no advertisement of any medical treatment, medicines, foods for special medical purpose, medical apparatuses, pesticides, veterinary medicines, dietary supplement or other special commodities or services which are subject to examination by an advertising examination authority as stipulated by laws and regulations shall be published unless it has passed such examination. In addition, no entity or individual may publish any advertisement of over-the-counter medicines or tobacco by means of the Internet. An Internet advertisement shall be identifiable and clearly identified as an “advertisement” so that consumers will know that it is an advertisement. Paid search advertisements shall be clearly distinguished from natural search results. In addition, the following violations shall be forbidden in Internet advertising activities: providing or using any application programs or hardware to intercept, filter, cover, fast forward or otherwise restrict any authorized advertisement of other persons; using network pathways, network equipment or applications to disrupt the normal data transmission of advertisements, alter or block authorized advertisements of other persons or load advertisements without authorization; or using false statistical data, transmission effect or Internet medium prices to induce incorrect quotations, seek undue interests or damage the interests of other persons. Internet advertisement publishers shall verify related supporting documents, check the contents of the advertisement and be prohibited from publishing any advertisement with nonconforming contents or without all the necessary certification documents. Internet information service providers that are not involved in Internet advertising business activities but simply provide information services shall stop any attempt to publish an advertisement through their information services when they know, or should reasonably know, that such advertisement is illegal.</w:t>
      </w:r>
    </w:p>
    <w:p>
      <w:pPr>
        <w:spacing w:after="0" w:line="189" w:lineRule="exact"/>
        <w:rPr>
          <w:sz w:val="20"/>
          <w:szCs w:val="20"/>
          <w:color w:val="auto"/>
        </w:rPr>
      </w:pPr>
    </w:p>
    <w:p>
      <w:pPr>
        <w:ind w:right="480" w:firstLine="441"/>
        <w:spacing w:after="0" w:line="266" w:lineRule="auto"/>
        <w:rPr>
          <w:sz w:val="20"/>
          <w:szCs w:val="20"/>
          <w:color w:val="auto"/>
        </w:rPr>
      </w:pPr>
      <w:r>
        <w:rPr>
          <w:rFonts w:ascii="Times New Roman" w:cs="Times New Roman" w:eastAsia="Times New Roman" w:hAnsi="Times New Roman"/>
          <w:sz w:val="18"/>
          <w:szCs w:val="18"/>
          <w:color w:val="auto"/>
        </w:rPr>
        <w:t>Violation of these regulations may result in penalties, including fines, confiscation of advertising income, orders to cease dissemination of the advertisements and orders to eliminate the effect of illegal advertisement. In circumstances involving serious violations, SAIC or its local branches may revoke violators’ licenses or permits for their advertising business operations.</w:t>
      </w:r>
    </w:p>
    <w:p>
      <w:pPr>
        <w:spacing w:after="0" w:line="176" w:lineRule="exact"/>
        <w:rPr>
          <w:sz w:val="20"/>
          <w:szCs w:val="20"/>
          <w:color w:val="auto"/>
        </w:rPr>
      </w:pPr>
    </w:p>
    <w:p>
      <w:pPr>
        <w:ind w:right="160" w:firstLine="441"/>
        <w:spacing w:after="0" w:line="258" w:lineRule="auto"/>
        <w:rPr>
          <w:sz w:val="20"/>
          <w:szCs w:val="20"/>
          <w:color w:val="auto"/>
        </w:rPr>
      </w:pPr>
      <w:r>
        <w:rPr>
          <w:rFonts w:ascii="Times New Roman" w:cs="Times New Roman" w:eastAsia="Times New Roman" w:hAnsi="Times New Roman"/>
          <w:sz w:val="18"/>
          <w:szCs w:val="18"/>
          <w:color w:val="auto"/>
        </w:rPr>
        <w:t>In order to comply with these laws and regulations, our advertising contracts require that all advertising agencies or advertisers that contract with us must examine the advertising content provided to us to ensure that such content are truthful, accurate and in full compliance with PRC laws and regulations. In addition, we have established a task force to review all advertising materials to ensure the content does not violate relevant laws and regulations before displaying such advertisements, and we also request relevant advertiser to provide proof of governmental approval if an advertisement is subject to special government review.</w:t>
      </w:r>
    </w:p>
    <w:p>
      <w:pPr>
        <w:sectPr>
          <w:pgSz w:w="11900" w:h="16838" w:orient="portrait"/>
          <w:cols w:equalWidth="0" w:num="1">
            <w:col w:w="11420"/>
          </w:cols>
          <w:pgMar w:left="240" w:top="121" w:right="239" w:bottom="104" w:gutter="0" w:footer="0" w:header="0"/>
        </w:sectPr>
      </w:pP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04" w:gutter="0" w:footer="0" w:header="0"/>
          <w:type w:val="continuous"/>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Information Security and Censorship</w:t>
      </w:r>
    </w:p>
    <w:p>
      <w:pPr>
        <w:spacing w:after="0" w:line="229"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 xml:space="preserve">Applicable PRC laws and regulations specifically prohibit the use of Internet infrastructure where it may breach public security, distribute content harmful to the stability of society or disclose state secrets. It is mandatory for Internet companies in the PRC to complete security filing procedures and regularly update information security and censorship systems for their websites with the local public security bureau. In addition, the newly amended </w:t>
      </w:r>
      <w:r>
        <w:rPr>
          <w:rFonts w:ascii="Times New Roman" w:cs="Times New Roman" w:eastAsia="Times New Roman" w:hAnsi="Times New Roman"/>
          <w:sz w:val="18"/>
          <w:szCs w:val="18"/>
          <w:i w:val="1"/>
          <w:iCs w:val="1"/>
          <w:color w:val="auto"/>
        </w:rPr>
        <w:t>Law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Preservation of State Secrets</w:t>
      </w:r>
      <w:r>
        <w:rPr>
          <w:rFonts w:ascii="Times New Roman" w:cs="Times New Roman" w:eastAsia="Times New Roman" w:hAnsi="Times New Roman"/>
          <w:sz w:val="18"/>
          <w:szCs w:val="18"/>
          <w:color w:val="auto"/>
        </w:rPr>
        <w:t>, which became effective on October 1, 2010, provides that whenever an Internet service provider detects any leakage of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secrets in the distribution of online information, it should stop the distribution of such information and report such violation to the state security and public security authorities. Upon request of state security, public security or state secrecy authorities, the Internet service provider must delete any contents on its website that may lead to disclosure of state secrets. Failure to do so on a timely and adequate manner may subject the Internet service provider to liability and certain penalties enforced by the State Security Bureau, the Ministry of Public Security and/or MIIT or their respective local counterparts.</w:t>
      </w:r>
    </w:p>
    <w:p>
      <w:pPr>
        <w:spacing w:after="0" w:line="183" w:lineRule="exact"/>
        <w:rPr>
          <w:sz w:val="20"/>
          <w:szCs w:val="20"/>
          <w:color w:val="auto"/>
        </w:rPr>
      </w:pPr>
    </w:p>
    <w:p>
      <w:pPr>
        <w:ind w:right="340" w:firstLine="441"/>
        <w:spacing w:after="0" w:line="261" w:lineRule="auto"/>
        <w:rPr>
          <w:sz w:val="20"/>
          <w:szCs w:val="20"/>
          <w:color w:val="auto"/>
        </w:rPr>
      </w:pPr>
      <w:r>
        <w:rPr>
          <w:rFonts w:ascii="Times New Roman" w:cs="Times New Roman" w:eastAsia="Times New Roman" w:hAnsi="Times New Roman"/>
          <w:sz w:val="18"/>
          <w:szCs w:val="18"/>
          <w:color w:val="auto"/>
        </w:rPr>
        <w:t xml:space="preserve">On June 28, 2016, the State Internet Information Office issued the </w:t>
      </w:r>
      <w:r>
        <w:rPr>
          <w:rFonts w:ascii="Times New Roman" w:cs="Times New Roman" w:eastAsia="Times New Roman" w:hAnsi="Times New Roman"/>
          <w:sz w:val="18"/>
          <w:szCs w:val="18"/>
          <w:i w:val="1"/>
          <w:iCs w:val="1"/>
          <w:color w:val="auto"/>
        </w:rPr>
        <w:t>Administrative Provisions on Mobile Internet Applications Information Services</w:t>
      </w:r>
      <w:r>
        <w:rPr>
          <w:rFonts w:ascii="Times New Roman" w:cs="Times New Roman" w:eastAsia="Times New Roman" w:hAnsi="Times New Roman"/>
          <w:sz w:val="18"/>
          <w:szCs w:val="18"/>
          <w:color w:val="auto"/>
        </w:rPr>
        <w:t>, which became effect on August 1, 2016, to further strengthen administration over mobile Internet applications information services. Pursuant to these provisions, owners or operators of mobile Internet applications that provide information services shall fulfill their information security management responsibilities strictly and perform their obligations listed as below:</w:t>
      </w:r>
    </w:p>
    <w:p>
      <w:pPr>
        <w:spacing w:after="0" w:line="182" w:lineRule="exact"/>
        <w:rPr>
          <w:sz w:val="20"/>
          <w:szCs w:val="20"/>
          <w:color w:val="auto"/>
        </w:rPr>
      </w:pPr>
    </w:p>
    <w:p>
      <w:pPr>
        <w:ind w:left="1040" w:right="20" w:hanging="630"/>
        <w:spacing w:after="0" w:line="282" w:lineRule="auto"/>
        <w:tabs>
          <w:tab w:leader="none" w:pos="100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 the identification information of registered users including their mobile telephone number based information under the principle of a real name backstage, and a freely-chosen name on stage;</w:t>
      </w:r>
    </w:p>
    <w:p>
      <w:pPr>
        <w:spacing w:after="0" w:line="161" w:lineRule="exact"/>
        <w:rPr>
          <w:rFonts w:ascii="Times New Roman" w:cs="Times New Roman" w:eastAsia="Times New Roman" w:hAnsi="Times New Roman"/>
          <w:sz w:val="18"/>
          <w:szCs w:val="18"/>
          <w:color w:val="auto"/>
        </w:rPr>
      </w:pPr>
    </w:p>
    <w:p>
      <w:pPr>
        <w:ind w:left="1040" w:right="200" w:hanging="630"/>
        <w:spacing w:after="0" w:line="266" w:lineRule="auto"/>
        <w:tabs>
          <w:tab w:leader="none" w:pos="100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perfect the mechanism for protecting users’ information, and follow the principle of legality, rightfulness and necessity, indicate expressly the purpose, method and scope of collection and use and obtain the consents of users while collecting and using users’ personal information;</w:t>
      </w:r>
    </w:p>
    <w:p>
      <w:pPr>
        <w:spacing w:after="0" w:line="176" w:lineRule="exact"/>
        <w:rPr>
          <w:rFonts w:ascii="Times New Roman" w:cs="Times New Roman" w:eastAsia="Times New Roman" w:hAnsi="Times New Roman"/>
          <w:sz w:val="18"/>
          <w:szCs w:val="18"/>
          <w:color w:val="auto"/>
        </w:rPr>
      </w:pPr>
    </w:p>
    <w:p>
      <w:pPr>
        <w:ind w:left="1040" w:right="80" w:hanging="630"/>
        <w:spacing w:after="0" w:line="266" w:lineRule="auto"/>
        <w:tabs>
          <w:tab w:leader="none" w:pos="100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perfect the mechanism for verifying and managing information contents, and in terms of any information content released that violates laws or regulations, take such measures as warning, restricting functions, suspending updates and closing accounts as the case may be, keep relevant records and report the same to relevant competent departments;</w:t>
      </w:r>
    </w:p>
    <w:p>
      <w:pPr>
        <w:spacing w:after="0" w:line="176" w:lineRule="exact"/>
        <w:rPr>
          <w:rFonts w:ascii="Times New Roman" w:cs="Times New Roman" w:eastAsia="Times New Roman" w:hAnsi="Times New Roman"/>
          <w:sz w:val="18"/>
          <w:szCs w:val="18"/>
          <w:color w:val="auto"/>
        </w:rPr>
      </w:pPr>
    </w:p>
    <w:p>
      <w:pPr>
        <w:ind w:left="1040" w:hanging="630"/>
        <w:spacing w:after="0" w:line="261" w:lineRule="auto"/>
        <w:tabs>
          <w:tab w:leader="none" w:pos="100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safeguard users’ right to know and to make choices when users are installing or using such applications, and refrain from starting such functions as collecting the information of users’ location, accessing users’ contacts, turning on users’ camera and recording sound, or any other function irrelevant to the services, nor forcefully install any other irrelevant application, for so long as users are not notified of the same clearly and do not give their consent;</w:t>
      </w:r>
    </w:p>
    <w:p>
      <w:pPr>
        <w:spacing w:after="0" w:line="180" w:lineRule="exact"/>
        <w:rPr>
          <w:rFonts w:ascii="Times New Roman" w:cs="Times New Roman" w:eastAsia="Times New Roman" w:hAnsi="Times New Roman"/>
          <w:sz w:val="18"/>
          <w:szCs w:val="18"/>
          <w:color w:val="auto"/>
        </w:rPr>
      </w:pPr>
    </w:p>
    <w:p>
      <w:pPr>
        <w:ind w:left="1000" w:hanging="590"/>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 and protect intellectual property and refrain from producing or releasing any application that infringes others’ intellectual property; and</w:t>
      </w:r>
    </w:p>
    <w:p>
      <w:pPr>
        <w:spacing w:after="0" w:line="225" w:lineRule="exact"/>
        <w:rPr>
          <w:rFonts w:ascii="Times New Roman" w:cs="Times New Roman" w:eastAsia="Times New Roman" w:hAnsi="Times New Roman"/>
          <w:sz w:val="18"/>
          <w:szCs w:val="18"/>
          <w:color w:val="auto"/>
        </w:rPr>
      </w:pPr>
    </w:p>
    <w:p>
      <w:pPr>
        <w:ind w:left="1000" w:hanging="590"/>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the users’ log information and keep the same for 60 days.</w:t>
      </w:r>
    </w:p>
    <w:p>
      <w:pPr>
        <w:spacing w:after="0" w:line="223"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 xml:space="preserve">On November 7, 2016, the Standing Committee of the National People’s Congress promulgated the </w:t>
      </w:r>
      <w:r>
        <w:rPr>
          <w:rFonts w:ascii="Times New Roman" w:cs="Times New Roman" w:eastAsia="Times New Roman" w:hAnsi="Times New Roman"/>
          <w:sz w:val="18"/>
          <w:szCs w:val="18"/>
          <w:i w:val="1"/>
          <w:iCs w:val="1"/>
          <w:color w:val="auto"/>
        </w:rPr>
        <w:t>Cyber Security Law of the People’s Republic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China, </w:t>
      </w:r>
      <w:r>
        <w:rPr>
          <w:rFonts w:ascii="Times New Roman" w:cs="Times New Roman" w:eastAsia="Times New Roman" w:hAnsi="Times New Roman"/>
          <w:sz w:val="18"/>
          <w:szCs w:val="18"/>
          <w:color w:val="auto"/>
        </w:rPr>
        <w:t>or Cyber Security Law, which will become effect on June 1, 2017, to preserve cyberspace security and order. Pursuant to Cyber Security Law, network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operators shall strictly keep confidential users’ personal information that they have collected, and establish and improve systems to protect users’ information. To collect and use personal information, network operators shall follow the principles of legitimacy, rightfulness and necessity, disclose their rules of data collection and use, clearly express the purposes, means and scope of collecting and using information, and obtain the consent of persons whose data is gathered. Network operators shall not gather personal information unrelated to the services they provide. Network operators shall not divulge, distort or damage the personal information they have collected, and shall not provide the personal information to others without the consent of the persons whose data is collected, except under circumstance where the information has been processed and cannot be recovered and thus it is impossible to match such information with specific persons. In addition, network operators shall perform the following security obligations according to the requirements of the classified protection system for cyber security to ensure that the network is free from interference, damage or unauthorized access, and prevent network data from being divulged, stolen or falsified:</w:t>
      </w:r>
    </w:p>
    <w:p>
      <w:pPr>
        <w:spacing w:after="0" w:line="195" w:lineRule="exact"/>
        <w:rPr>
          <w:sz w:val="20"/>
          <w:szCs w:val="20"/>
          <w:color w:val="auto"/>
        </w:rPr>
      </w:pPr>
    </w:p>
    <w:p>
      <w:pPr>
        <w:ind w:left="1040" w:right="80" w:hanging="630"/>
        <w:spacing w:after="0" w:line="282" w:lineRule="auto"/>
        <w:tabs>
          <w:tab w:leader="none" w:pos="100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formulate internal security management systems and operating instructions, determine the persons responsible for cyber security, and fulfill the responsibilities of cyber security protection;</w:t>
      </w:r>
    </w:p>
    <w:p>
      <w:pPr>
        <w:spacing w:after="0" w:line="161" w:lineRule="exact"/>
        <w:rPr>
          <w:rFonts w:ascii="Times New Roman" w:cs="Times New Roman" w:eastAsia="Times New Roman" w:hAnsi="Times New Roman"/>
          <w:sz w:val="18"/>
          <w:szCs w:val="18"/>
          <w:color w:val="auto"/>
        </w:rPr>
      </w:pPr>
    </w:p>
    <w:p>
      <w:pPr>
        <w:ind w:left="1000" w:hanging="590"/>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technological measures to prevent computer viruses, network attacks, network intrusions and other actions endangering cyber security;</w:t>
      </w:r>
    </w:p>
    <w:p>
      <w:pPr>
        <w:spacing w:after="0" w:line="225" w:lineRule="exact"/>
        <w:rPr>
          <w:rFonts w:ascii="Times New Roman" w:cs="Times New Roman" w:eastAsia="Times New Roman" w:hAnsi="Times New Roman"/>
          <w:sz w:val="18"/>
          <w:szCs w:val="18"/>
          <w:color w:val="auto"/>
        </w:rPr>
      </w:pPr>
    </w:p>
    <w:p>
      <w:pPr>
        <w:ind w:left="1040" w:right="40" w:hanging="630"/>
        <w:spacing w:after="0" w:line="282" w:lineRule="auto"/>
        <w:tabs>
          <w:tab w:leader="none" w:pos="100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technological measures to monitor and record the network operation status and cyber security incidents, and preserve relevant web logs for no less than six months according to the provisions; and</w:t>
      </w:r>
    </w:p>
    <w:p>
      <w:pPr>
        <w:spacing w:after="0" w:line="161" w:lineRule="exact"/>
        <w:rPr>
          <w:rFonts w:ascii="Times New Roman" w:cs="Times New Roman" w:eastAsia="Times New Roman" w:hAnsi="Times New Roman"/>
          <w:sz w:val="18"/>
          <w:szCs w:val="18"/>
          <w:color w:val="auto"/>
        </w:rPr>
      </w:pPr>
    </w:p>
    <w:p>
      <w:pPr>
        <w:ind w:left="1000" w:hanging="590"/>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measures such as data classification, as well as back-up and encryption of important data.</w:t>
      </w:r>
    </w:p>
    <w:p>
      <w:pPr>
        <w:spacing w:after="0" w:line="225"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Violation of these laws and provisions may result in penalties, including fines, confiscation of illegal income. In circumstances involving serious violations, the competent telecommunication department, public security departments and other relevant authorities may order the network operators to suspend relevant business, stop the business for rectification or close down the website, or revoke violators’ licenses or permits for their business operations.</w:t>
      </w:r>
    </w:p>
    <w:p>
      <w:pPr>
        <w:spacing w:after="0" w:line="176" w:lineRule="exact"/>
        <w:rPr>
          <w:sz w:val="20"/>
          <w:szCs w:val="20"/>
          <w:color w:val="auto"/>
        </w:rPr>
      </w:pPr>
    </w:p>
    <w:p>
      <w:pPr>
        <w:ind w:right="140" w:firstLine="441"/>
        <w:spacing w:after="0" w:line="266" w:lineRule="auto"/>
        <w:rPr>
          <w:sz w:val="20"/>
          <w:szCs w:val="20"/>
          <w:color w:val="auto"/>
        </w:rPr>
      </w:pPr>
      <w:r>
        <w:rPr>
          <w:rFonts w:ascii="Times New Roman" w:cs="Times New Roman" w:eastAsia="Times New Roman" w:hAnsi="Times New Roman"/>
          <w:sz w:val="18"/>
          <w:szCs w:val="18"/>
          <w:color w:val="auto"/>
        </w:rPr>
        <w:t>To comply with these laws and regulations, we have completed the mandatory security filing procedures with the local public security authorities, and regularly updated the information security and content-filtering systems with newly issued content restrictions as required by the relevant laws and regulations.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Internet Copyrights</w:t>
      </w:r>
    </w:p>
    <w:p>
      <w:pPr>
        <w:spacing w:after="0" w:line="227" w:lineRule="exact"/>
        <w:rPr>
          <w:sz w:val="20"/>
          <w:szCs w:val="20"/>
          <w:color w:val="auto"/>
        </w:rPr>
      </w:pPr>
    </w:p>
    <w:p>
      <w:pPr>
        <w:ind w:right="40" w:firstLine="495"/>
        <w:spacing w:after="0" w:line="257" w:lineRule="auto"/>
        <w:rPr>
          <w:sz w:val="20"/>
          <w:szCs w:val="20"/>
          <w:color w:val="auto"/>
        </w:rPr>
      </w:pPr>
      <w:r>
        <w:rPr>
          <w:rFonts w:ascii="Times New Roman" w:cs="Times New Roman" w:eastAsia="Times New Roman" w:hAnsi="Times New Roman"/>
          <w:sz w:val="18"/>
          <w:szCs w:val="18"/>
          <w:color w:val="auto"/>
        </w:rPr>
        <w:t xml:space="preserve">In order to address copyright issues relating to the Internet, in December 2012, the PRC Supreme People’s Court adopted the </w:t>
      </w:r>
      <w:r>
        <w:rPr>
          <w:rFonts w:ascii="Times New Roman" w:cs="Times New Roman" w:eastAsia="Times New Roman" w:hAnsi="Times New Roman"/>
          <w:sz w:val="18"/>
          <w:szCs w:val="18"/>
          <w:i w:val="1"/>
          <w:iCs w:val="1"/>
          <w:color w:val="auto"/>
        </w:rPr>
        <w:t>Provisions on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Issues Concerning the Applicable Laws in the Trial of Civil Cases Involving Disputes over Infringement of the Right of Dissemination through Information Networks, </w:t>
      </w:r>
      <w:r>
        <w:rPr>
          <w:rFonts w:ascii="Times New Roman" w:cs="Times New Roman" w:eastAsia="Times New Roman" w:hAnsi="Times New Roman"/>
          <w:sz w:val="18"/>
          <w:szCs w:val="18"/>
          <w:color w:val="auto"/>
        </w:rPr>
        <w:t>or the Provisions, which provides that the courts will require ICP service providers to remove not only links or content that have been specifically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mentioned in the notices of infringement from right holders, but also links or content they “should have known” to contain infringing content. The Provisions further provide that where an ICP service provider has directly obtained economic benefits from any content made available by an internet user, it has a higher duty of care with respect to internet users’ infringement of third-party copyrights. According to the Copyright Law, an infringer may be subject to</w:t>
      </w:r>
    </w:p>
    <w:p>
      <w:pPr>
        <w:sectPr>
          <w:pgSz w:w="11900" w:h="16838" w:orient="portrait"/>
          <w:cols w:equalWidth="0" w:num="1">
            <w:col w:w="11400"/>
          </w:cols>
          <w:pgMar w:left="240" w:top="121" w:right="259" w:bottom="0" w:gutter="0" w:footer="0" w:header="0"/>
        </w:sectPr>
      </w:pPr>
    </w:p>
    <w:bookmarkStart w:id="51" w:name="page52"/>
    <w:bookmarkEnd w:id="51"/>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various consequences, which include stopping the infringement, eliminating the damages, apologizing to the copyright owners and compensating the loss of copyright owners. The </w:t>
      </w:r>
      <w:r>
        <w:rPr>
          <w:rFonts w:ascii="Times New Roman" w:cs="Times New Roman" w:eastAsia="Times New Roman" w:hAnsi="Times New Roman"/>
          <w:sz w:val="18"/>
          <w:szCs w:val="18"/>
          <w:i w:val="1"/>
          <w:iCs w:val="1"/>
          <w:color w:val="auto"/>
        </w:rPr>
        <w:t>Copyright Law</w:t>
      </w:r>
      <w:r>
        <w:rPr>
          <w:rFonts w:ascii="Times New Roman" w:cs="Times New Roman" w:eastAsia="Times New Roman" w:hAnsi="Times New Roman"/>
          <w:sz w:val="18"/>
          <w:szCs w:val="18"/>
          <w:color w:val="auto"/>
        </w:rPr>
        <w:t xml:space="preserve"> further provides that the infringer shall compensate the actual loss suffered by the copyright owner. If the actual loss of the copyright owner is difficult to determine, the illegal income received by the infringer as a result of the infringement shall be deemed as the actual loss or if such illegal income is difficult to be determine, the court may decide the amount of the actual loss up to RMB500,000.</w:t>
      </w:r>
    </w:p>
    <w:p>
      <w:pPr>
        <w:spacing w:after="0" w:line="180" w:lineRule="exact"/>
        <w:rPr>
          <w:sz w:val="20"/>
          <w:szCs w:val="20"/>
          <w:color w:val="auto"/>
        </w:rPr>
      </w:pPr>
    </w:p>
    <w:p>
      <w:pPr>
        <w:ind w:right="60" w:firstLine="441"/>
        <w:spacing w:after="0" w:line="253" w:lineRule="auto"/>
        <w:rPr>
          <w:sz w:val="20"/>
          <w:szCs w:val="20"/>
          <w:color w:val="auto"/>
        </w:rPr>
      </w:pPr>
      <w:r>
        <w:rPr>
          <w:rFonts w:ascii="Times New Roman" w:cs="Times New Roman" w:eastAsia="Times New Roman" w:hAnsi="Times New Roman"/>
          <w:sz w:val="18"/>
          <w:szCs w:val="18"/>
          <w:color w:val="auto"/>
        </w:rPr>
        <w:t>Under the applicable laws and regulations, where a copyright holder finds that any content communicated through the Internet infringes upon its copyright and sends a notice to the ICP service operator, the ICP service operator shall immediately take measures to remove the relevant content. Such ICP service operator is also required to retain all infringement notices for six months and to record the content, display time and IP addresses and the domain names related to the infringement for 60 days. Where an ICP service operator removes relevant content of an internet content provider according to the notice of a copyright holder, the internet content provider may deliver a counter-notice to both the ICP service operator and the copyright holder, stating that the removed contents do not infringe upon the copyright of other parties. After the delivery of such counter-notice, the ICP service operator may immediately reinstate the removed contents and shall not bear administrative legal liability for such reinstatement. Where an ICP service operator is clearly aware of the infringement by an internet content provider of another’s copyright through the Internet, or, although not being aware of such activity, fails to take measures to remove relevant contents upon receipt of the copyright owner’s notice, and as a result, damages public interests, the ICP service operator could be subject to an order to stop the tortious act and other administrative penalties such as confiscation of illegal income and fines. Where there is no evidence to indicate that an ICP service operator is clearly aware of the facts of tort, or the ICP service operator has taken measures to remove relevant contents upon receipt of the copyright owner’s notice, the ICP service provider shall not bear the relevant administrative legal liabilities.</w:t>
      </w:r>
    </w:p>
    <w:p>
      <w:pPr>
        <w:spacing w:after="0" w:line="191"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Our content licensors and users have entered into agreements with us in which they make an undertaking not to provide or upload any contents that may have infringed on the copyright of any third parties. However, we cannot ensure you that our content licensors or users who upload contents to our website will not infringe on the copyright of any third parties and we could delete any infringed contents in a time manner or at all. We may be consequently subject to copyright infringement claims arising thereof. See “Item 3. Key Information—D. Risk Factors—Risks Relating to Our Business and Industry—We have been and expect we will continue to be exposed to intellectual property infringement and other claims, including claims based on content posted on our website and mobile applications, which could be time-consuming and costly to defend and may result in substantial damage awards and/or court orders that may prevent us from continuing to provide certain of our existing services.”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Foreign Exchange Control and Administration</w:t>
      </w:r>
    </w:p>
    <w:p>
      <w:pPr>
        <w:spacing w:after="0" w:line="227" w:lineRule="exact"/>
        <w:rPr>
          <w:sz w:val="20"/>
          <w:szCs w:val="20"/>
          <w:color w:val="auto"/>
        </w:rPr>
      </w:pPr>
    </w:p>
    <w:p>
      <w:pPr>
        <w:ind w:right="40" w:firstLine="450"/>
        <w:spacing w:after="0" w:line="253" w:lineRule="auto"/>
        <w:rPr>
          <w:sz w:val="20"/>
          <w:szCs w:val="20"/>
          <w:color w:val="auto"/>
        </w:rPr>
      </w:pPr>
      <w:r>
        <w:rPr>
          <w:rFonts w:ascii="Times New Roman" w:cs="Times New Roman" w:eastAsia="Times New Roman" w:hAnsi="Times New Roman"/>
          <w:sz w:val="18"/>
          <w:szCs w:val="18"/>
          <w:color w:val="auto"/>
        </w:rPr>
        <w:t xml:space="preserve">Under the </w:t>
      </w:r>
      <w:r>
        <w:rPr>
          <w:rFonts w:ascii="Times New Roman" w:cs="Times New Roman" w:eastAsia="Times New Roman" w:hAnsi="Times New Roman"/>
          <w:sz w:val="18"/>
          <w:szCs w:val="18"/>
          <w:i w:val="1"/>
          <w:iCs w:val="1"/>
          <w:color w:val="auto"/>
        </w:rPr>
        <w:t>Foreign Exchange Administration Rules</w:t>
      </w:r>
      <w:r>
        <w:rPr>
          <w:rFonts w:ascii="Times New Roman" w:cs="Times New Roman" w:eastAsia="Times New Roman" w:hAnsi="Times New Roman"/>
          <w:sz w:val="18"/>
          <w:szCs w:val="18"/>
          <w:color w:val="auto"/>
        </w:rPr>
        <w:t xml:space="preserve">, Renminbi is convertible for current account items, including the distribution of dividends, interest payments, trade and service-related foreign exchange transactions. As for capital account items, such as direct investments, loans, security investments and the repatriation of investment returns, however, the conversion of foreign currency is still subject to the approval of, or registration with, SAFE or its competent local branches. SAFE approval is not necessary for the conversion of Renminbi for foreign currency payments for current account items except as otherwise explicitly provided by laws and regulations. Under the </w:t>
      </w:r>
      <w:r>
        <w:rPr>
          <w:rFonts w:ascii="Times New Roman" w:cs="Times New Roman" w:eastAsia="Times New Roman" w:hAnsi="Times New Roman"/>
          <w:sz w:val="18"/>
          <w:szCs w:val="18"/>
          <w:i w:val="1"/>
          <w:iCs w:val="1"/>
          <w:color w:val="auto"/>
        </w:rPr>
        <w:t>Administration Rules of the Settlement, Sale and Payment of Foreign Exchange</w:t>
      </w:r>
      <w:r>
        <w:rPr>
          <w:rFonts w:ascii="Times New Roman" w:cs="Times New Roman" w:eastAsia="Times New Roman" w:hAnsi="Times New Roman"/>
          <w:sz w:val="18"/>
          <w:szCs w:val="18"/>
          <w:color w:val="auto"/>
        </w:rPr>
        <w:t>, enterprises may only buy, sell or remit foreign currencies at banks that are authorized to conduct foreign exchange business after the enterprise provides valid commercial documents and relevant supporting documents and, in the case of certain capital account transactions, after obtaining approval from SAFE or its competent local branches. If we provide loans to any of our PRC subsidiaries, the total amount of such loans may not exceed the difference between its total investment as approved by the foreign investment authorities and its registered capital at the time of the provision of such loans. Such loans need to be registered with the SAFE, which usually takes no more than 20 working days to complete. The cost of completing such registration is minimal. Capital investments by enterprises outside of the PRC are subject to further limitations, which include approvals by MOFCOM, SAFE and the National Development and Reform Commission, or their respective competent local branches.</w:t>
      </w:r>
    </w:p>
    <w:p>
      <w:pPr>
        <w:spacing w:after="0" w:line="191"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color w:val="auto"/>
        </w:rPr>
        <w:t xml:space="preserve">On August 29, 2008, SAFE issued the </w:t>
      </w:r>
      <w:r>
        <w:rPr>
          <w:rFonts w:ascii="Times New Roman" w:cs="Times New Roman" w:eastAsia="Times New Roman" w:hAnsi="Times New Roman"/>
          <w:sz w:val="18"/>
          <w:szCs w:val="18"/>
          <w:i w:val="1"/>
          <w:iCs w:val="1"/>
          <w:color w:val="auto"/>
        </w:rPr>
        <w:t>Circular on the Relevant Operating Issues Concerning the Improvement of the Administration of the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Settlement of Foreign Currency Capital of Foreign-Invested Enterprises</w:t>
      </w:r>
      <w:r>
        <w:rPr>
          <w:rFonts w:ascii="Times New Roman" w:cs="Times New Roman" w:eastAsia="Times New Roman" w:hAnsi="Times New Roman"/>
          <w:sz w:val="18"/>
          <w:szCs w:val="18"/>
          <w:color w:val="auto"/>
        </w:rPr>
        <w:t>, or SAFE Circular 142. Pursuant to SAFE Circular 142, Renminbi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obtained from settlement of the foreign currency capital of a foreign-invested enterprise must be used within the business scope as approved by the applicable government authority and unless otherwise specifically provided by law, such Renminbi capital cannot be used for domestic equity investments. In addition, SAFE strengthened its oversight of the flow and use of the Renminbi capital converted from foreign currency registered capital of a foreign-invested company. As a result, the use of such Renminbi capital may not be altered without the SAFE’s approval, and such Renminbi capital may not be used to repay Renminbi loans if the relevant loan proceeds have not been used. As to the latest development, on March 30, 2015, SAFE issued the </w:t>
      </w:r>
      <w:r>
        <w:rPr>
          <w:rFonts w:ascii="Times New Roman" w:cs="Times New Roman" w:eastAsia="Times New Roman" w:hAnsi="Times New Roman"/>
          <w:sz w:val="18"/>
          <w:szCs w:val="18"/>
          <w:i w:val="1"/>
          <w:iCs w:val="1"/>
          <w:color w:val="auto"/>
        </w:rPr>
        <w:t>Circular 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 Concerning the Reform of the Payment and Settlement of Foreign Currency Capital of Foreign-Invested Enterprises</w:t>
      </w:r>
      <w:r>
        <w:rPr>
          <w:rFonts w:ascii="Times New Roman" w:cs="Times New Roman" w:eastAsia="Times New Roman" w:hAnsi="Times New Roman"/>
          <w:sz w:val="18"/>
          <w:szCs w:val="18"/>
          <w:color w:val="auto"/>
        </w:rPr>
        <w:t>, or SAFE Circular 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became effective on June 1, 2015 and replaced SAFE Circular 142. Pursuant to SAFE Circular 19, up to 100% of foreign currency capital of foreign-invested enterprise may be converted into RMB capital according to the actual operation of the enterprise within the business scope at its will and the RMB capital converted from foreign currency registered capital of a foreign-invested enterprise may be used for equity investments within the PRC. However, under SAFE Circular 19, RMB capital converted from foreign currency registered capital of a foreign-invested company still may not in any case be used to advance the RMB entrusted loan or repay RMB loans if the proceeds of such loans have not been used.</w:t>
      </w:r>
    </w:p>
    <w:p>
      <w:pPr>
        <w:spacing w:after="0" w:line="189" w:lineRule="exact"/>
        <w:rPr>
          <w:sz w:val="20"/>
          <w:szCs w:val="20"/>
          <w:color w:val="auto"/>
        </w:rPr>
      </w:pPr>
    </w:p>
    <w:p>
      <w:pPr>
        <w:jc w:val="both"/>
        <w:ind w:right="240" w:firstLine="441"/>
        <w:spacing w:after="0" w:line="256" w:lineRule="auto"/>
        <w:rPr>
          <w:sz w:val="20"/>
          <w:szCs w:val="20"/>
          <w:color w:val="auto"/>
        </w:rPr>
      </w:pPr>
      <w:r>
        <w:rPr>
          <w:rFonts w:ascii="Times New Roman" w:cs="Times New Roman" w:eastAsia="Times New Roman" w:hAnsi="Times New Roman"/>
          <w:sz w:val="18"/>
          <w:szCs w:val="18"/>
          <w:color w:val="auto"/>
        </w:rPr>
        <w:t xml:space="preserve">On November 19, 2012, SAFE promulgated the </w:t>
      </w:r>
      <w:r>
        <w:rPr>
          <w:rFonts w:ascii="Times New Roman" w:cs="Times New Roman" w:eastAsia="Times New Roman" w:hAnsi="Times New Roman"/>
          <w:sz w:val="18"/>
          <w:szCs w:val="18"/>
          <w:i w:val="1"/>
          <w:iCs w:val="1"/>
          <w:color w:val="auto"/>
        </w:rPr>
        <w:t>Circular of Further Improving and Adjusting Foreign Exchange Administration Policies on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 Investment</w:t>
      </w:r>
      <w:r>
        <w:rPr>
          <w:rFonts w:ascii="Times New Roman" w:cs="Times New Roman" w:eastAsia="Times New Roman" w:hAnsi="Times New Roman"/>
          <w:sz w:val="18"/>
          <w:szCs w:val="18"/>
          <w:color w:val="auto"/>
        </w:rPr>
        <w:t>, or SAFE Circular 59, which became effective on December 17, 2012. SAFE Circular 59 substantially amends and simplifies the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exchange procedure. The major developments under SAFE Circular 59 are that the opening of various special purpose foreign exchange accounts, such as pre-establishment expenses accounts, foreign exchange capital accounts and guarantee accounts, no longer requires the approval of SAFE.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multiple capital accounts for the same entity may be opened in different provinces, which was not possible before the issuance of SAFE Circular</w:t>
      </w:r>
    </w:p>
    <w:p>
      <w:pPr>
        <w:spacing w:after="0" w:line="9" w:lineRule="exact"/>
        <w:rPr>
          <w:sz w:val="20"/>
          <w:szCs w:val="20"/>
          <w:color w:val="auto"/>
        </w:rPr>
      </w:pPr>
    </w:p>
    <w:p>
      <w:pPr>
        <w:ind w:right="160" w:firstLine="8"/>
        <w:spacing w:after="0" w:line="255" w:lineRule="auto"/>
        <w:tabs>
          <w:tab w:leader="none" w:pos="27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reinvestment of lawful incomes, such as profit and proceeds of equity transfer, capital reduction, liquidation and early repatriation of investment, by foreign investors in the PRC and the purchase and remittance of foreign exchange as a result of capital reduction, liquidation, early repatriation or share transfer in a foreign-invested enterprise no longer requires SAFE approval.</w:t>
      </w:r>
    </w:p>
    <w:p>
      <w:pPr>
        <w:spacing w:after="0" w:line="184" w:lineRule="exact"/>
        <w:rPr>
          <w:sz w:val="20"/>
          <w:szCs w:val="20"/>
          <w:color w:val="auto"/>
        </w:rPr>
      </w:pPr>
    </w:p>
    <w:p>
      <w:pPr>
        <w:ind w:right="20" w:firstLine="441"/>
        <w:spacing w:after="0" w:line="259" w:lineRule="auto"/>
        <w:rPr>
          <w:sz w:val="20"/>
          <w:szCs w:val="20"/>
          <w:color w:val="auto"/>
        </w:rPr>
      </w:pPr>
      <w:r>
        <w:rPr>
          <w:rFonts w:ascii="Times New Roman" w:cs="Times New Roman" w:eastAsia="Times New Roman" w:hAnsi="Times New Roman"/>
          <w:sz w:val="18"/>
          <w:szCs w:val="18"/>
          <w:color w:val="auto"/>
        </w:rPr>
        <w:t xml:space="preserve">On May 10, 2013, SAFE promulgated the </w:t>
      </w:r>
      <w:r>
        <w:rPr>
          <w:rFonts w:ascii="Times New Roman" w:cs="Times New Roman" w:eastAsia="Times New Roman" w:hAnsi="Times New Roman"/>
          <w:sz w:val="18"/>
          <w:szCs w:val="18"/>
          <w:i w:val="1"/>
          <w:iCs w:val="1"/>
          <w:color w:val="auto"/>
        </w:rPr>
        <w:t>Circular on Printing and Distributing the Provisions on Foreign Exchange Administration over Domestic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 Investment by Foreign Investors and the Supporting Documents</w:t>
      </w:r>
      <w:r>
        <w:rPr>
          <w:rFonts w:ascii="Times New Roman" w:cs="Times New Roman" w:eastAsia="Times New Roman" w:hAnsi="Times New Roman"/>
          <w:sz w:val="18"/>
          <w:szCs w:val="18"/>
          <w:color w:val="auto"/>
        </w:rPr>
        <w:t>, which specifies that the administration by SAFE or its local branches over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by foreign investors in the PRC shall be conducted by way of registration. Institutions and individuals shall register with SAFE and/or its branches for their direct investment in the PRC. Banks shall process foreign exchange business relating to the direct investment in the PRC based on the registration information provided by SAFE and its branches.</w:t>
      </w:r>
    </w:p>
    <w:p>
      <w:pPr>
        <w:sectPr>
          <w:pgSz w:w="11900" w:h="16838" w:orient="portrait"/>
          <w:cols w:equalWidth="0" w:num="1">
            <w:col w:w="11420"/>
          </w:cols>
          <w:pgMar w:left="240" w:top="121" w:right="239" w:bottom="60" w:gutter="0" w:footer="0" w:header="0"/>
        </w:sectPr>
      </w:pPr>
    </w:p>
    <w:bookmarkStart w:id="52" w:name="page53"/>
    <w:bookmarkEnd w:id="52"/>
    <w:p>
      <w:pPr>
        <w:spacing w:after="0" w:line="9" w:lineRule="exact"/>
        <w:rPr>
          <w:sz w:val="20"/>
          <w:szCs w:val="20"/>
          <w:color w:val="auto"/>
        </w:rPr>
      </w:pPr>
    </w:p>
    <w:p>
      <w:pPr>
        <w:ind w:right="120" w:firstLine="441"/>
        <w:spacing w:after="0" w:line="259" w:lineRule="auto"/>
        <w:rPr>
          <w:sz w:val="20"/>
          <w:szCs w:val="20"/>
          <w:color w:val="auto"/>
        </w:rPr>
      </w:pPr>
      <w:r>
        <w:rPr>
          <w:rFonts w:ascii="Times New Roman" w:cs="Times New Roman" w:eastAsia="Times New Roman" w:hAnsi="Times New Roman"/>
          <w:sz w:val="18"/>
          <w:szCs w:val="18"/>
          <w:color w:val="auto"/>
        </w:rPr>
        <w:t xml:space="preserve">On February 13, 2015, SAFE issued the </w:t>
      </w:r>
      <w:r>
        <w:rPr>
          <w:rFonts w:ascii="Times New Roman" w:cs="Times New Roman" w:eastAsia="Times New Roman" w:hAnsi="Times New Roman"/>
          <w:sz w:val="18"/>
          <w:szCs w:val="18"/>
          <w:i w:val="1"/>
          <w:iCs w:val="1"/>
          <w:color w:val="auto"/>
        </w:rPr>
        <w:t>Circular on Further Simplifying and Improving the Foreign Exchange Administration Policies on Direct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or SAFE Circular 13, pursuant to which the administrative examination and approval procedures with SAFE or its local branches relating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exchange registration approval for domestic direct investments as well as overseas direct investments have been cancelled, and qualified banks are delegated the power to directly conduct such foreign exchange registrations under the supervision of SAFE or its local branches. SAFE Circular 13 took effect on June 1, 2015.</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xml:space="preserve">On April 26, 2016, SAFE issued the </w:t>
      </w:r>
      <w:r>
        <w:rPr>
          <w:rFonts w:ascii="Times New Roman" w:cs="Times New Roman" w:eastAsia="Times New Roman" w:hAnsi="Times New Roman"/>
          <w:sz w:val="17"/>
          <w:szCs w:val="17"/>
          <w:i w:val="1"/>
          <w:iCs w:val="1"/>
          <w:color w:val="auto"/>
        </w:rPr>
        <w:t>Circular of the State Administration of Foreign Exchange on Further Promoting Trade and Investment Facility and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Improving the Examination and Verification of the Authenticity</w:t>
      </w:r>
      <w:r>
        <w:rPr>
          <w:rFonts w:ascii="Times New Roman" w:cs="Times New Roman" w:eastAsia="Times New Roman" w:hAnsi="Times New Roman"/>
          <w:sz w:val="18"/>
          <w:szCs w:val="18"/>
          <w:color w:val="auto"/>
        </w:rPr>
        <w:t>, pursuant to which when handling the remittance of profits exceeding the equivalent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US$50,000 abroad for a domestic institution, a bank shall examine, according to the principle of transaction authenticity, the profit distribution resolution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(or the profit distribution resolution of all partners) that is related to this remittance of profits abroad, the original of its tax record-filing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and the financial statements in proof of the profits involved in this remittance.</w:t>
      </w:r>
    </w:p>
    <w:p>
      <w:pPr>
        <w:spacing w:after="0" w:line="205" w:lineRule="exact"/>
        <w:rPr>
          <w:sz w:val="20"/>
          <w:szCs w:val="20"/>
          <w:color w:val="auto"/>
        </w:rPr>
      </w:pPr>
    </w:p>
    <w:p>
      <w:pPr>
        <w:ind w:right="40" w:firstLine="441"/>
        <w:spacing w:after="0" w:line="257" w:lineRule="auto"/>
        <w:rPr>
          <w:sz w:val="20"/>
          <w:szCs w:val="20"/>
          <w:color w:val="auto"/>
        </w:rPr>
      </w:pPr>
      <w:r>
        <w:rPr>
          <w:rFonts w:ascii="Times New Roman" w:cs="Times New Roman" w:eastAsia="Times New Roman" w:hAnsi="Times New Roman"/>
          <w:sz w:val="18"/>
          <w:szCs w:val="18"/>
          <w:color w:val="auto"/>
        </w:rPr>
        <w:t xml:space="preserve">On June 9, 2016, SAFE issued the </w:t>
      </w:r>
      <w:r>
        <w:rPr>
          <w:rFonts w:ascii="Times New Roman" w:cs="Times New Roman" w:eastAsia="Times New Roman" w:hAnsi="Times New Roman"/>
          <w:sz w:val="18"/>
          <w:szCs w:val="18"/>
          <w:i w:val="1"/>
          <w:iCs w:val="1"/>
          <w:color w:val="auto"/>
        </w:rPr>
        <w:t>Circular of the State Administration of Foreign Exchange on Reforming and Regulating Policies on the Control 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Exchange Settlement of Capital Accounts</w:t>
      </w:r>
      <w:r>
        <w:rPr>
          <w:rFonts w:ascii="Times New Roman" w:cs="Times New Roman" w:eastAsia="Times New Roman" w:hAnsi="Times New Roman"/>
          <w:sz w:val="18"/>
          <w:szCs w:val="18"/>
          <w:color w:val="auto"/>
        </w:rPr>
        <w:t>, to promote nationwide the reform of control approaches to foreign exchange settlement of foreign debts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enterprises and in the meantime to unify and regulate control over discretionary settlement and payment of foreign exchange receipts under capital accounts. Pursuant to this circular, domestic enterprises (including foreign-invested enterprises) may go through foreign exchange settlement formalities for their foreign debts at their discretion. In addition, domestic institutions may, at their discretion, settle up to 100% of foreign exchange receipts under capital accounts for the time being.</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Foreign Exchange Registration of Offshore Investment by PRC Residents</w:t>
      </w:r>
    </w:p>
    <w:p>
      <w:pPr>
        <w:spacing w:after="0" w:line="227" w:lineRule="exact"/>
        <w:rPr>
          <w:sz w:val="20"/>
          <w:szCs w:val="20"/>
          <w:color w:val="auto"/>
        </w:rPr>
      </w:pPr>
    </w:p>
    <w:p>
      <w:pPr>
        <w:ind w:right="40" w:firstLine="441"/>
        <w:spacing w:after="0" w:line="252" w:lineRule="auto"/>
        <w:rPr>
          <w:sz w:val="20"/>
          <w:szCs w:val="20"/>
          <w:color w:val="auto"/>
        </w:rPr>
      </w:pPr>
      <w:r>
        <w:rPr>
          <w:rFonts w:ascii="Times New Roman" w:cs="Times New Roman" w:eastAsia="Times New Roman" w:hAnsi="Times New Roman"/>
          <w:sz w:val="18"/>
          <w:szCs w:val="18"/>
          <w:color w:val="auto"/>
        </w:rPr>
        <w:t xml:space="preserve">On July 4, 2014, SAFE issued the </w:t>
      </w:r>
      <w:r>
        <w:rPr>
          <w:rFonts w:ascii="Times New Roman" w:cs="Times New Roman" w:eastAsia="Times New Roman" w:hAnsi="Times New Roman"/>
          <w:sz w:val="18"/>
          <w:szCs w:val="18"/>
          <w:i w:val="1"/>
          <w:iCs w:val="1"/>
          <w:color w:val="auto"/>
        </w:rPr>
        <w:t>Circular on Several Issues Concerning Foreign Exchange Administration of Domestic Residents Engaging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Overseas Investment, Financing and Round-Trip Investment via Special Purpose Vehicles</w:t>
      </w:r>
      <w:r>
        <w:rPr>
          <w:rFonts w:ascii="Times New Roman" w:cs="Times New Roman" w:eastAsia="Times New Roman" w:hAnsi="Times New Roman"/>
          <w:sz w:val="18"/>
          <w:szCs w:val="18"/>
          <w:color w:val="auto"/>
        </w:rPr>
        <w:t>, or SAFE Circular 37, which became effective on the same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SAFE Circular 37 and its detailed guidelines require PRC residents to register with the local branch of SAFE before contributing their legally owned onshore or offshore assets or equity interest into any special purpose vehicle, or SPV, directly established, or indirectly controlled, by them for the purpose of investment or financing; and when there is (i) any change to the basic information of the SPV, such as any change relating to its individual PRC resident shareholders, name or operation period or (ii) any material change, such as increase or decrease in the share capital held by its individual PRC resident shareholders, a share transfer or exchange of the shares in the SPV, or a merger or split of the SPV, the PRC resident must register such changes with the local branch of SAFE on a timely basis. According to the relevant SAFE rules, failure to comply with the registration procedures set forth in SAFE Circular 37 may result in restrictions being imposed on the foreign exchange activities of the relevant onshore companies of SPVs, including the payment of dividends and other distributions to its offshore parent or affiliate and the capital inflow from such offshore entity, and may also subject the relevant PRC residents and onshore companies to penalties under PRC foreign exchange administration regulations. Further, failure to comply with various SAFE registration requirements described above would result in administrative penalties or even criminal liabilities under PRC laws. On February 13, 2015, SAFE issued SAFE Circular 13, which is the </w:t>
      </w:r>
      <w:r>
        <w:rPr>
          <w:rFonts w:ascii="Times New Roman" w:cs="Times New Roman" w:eastAsia="Times New Roman" w:hAnsi="Times New Roman"/>
          <w:sz w:val="18"/>
          <w:szCs w:val="18"/>
          <w:i w:val="1"/>
          <w:iCs w:val="1"/>
          <w:color w:val="auto"/>
        </w:rPr>
        <w:t>Circular on Further Simplifying and Improving the Foreign Exchange Administration Policies on Direct Investments</w:t>
      </w:r>
      <w:r>
        <w:rPr>
          <w:rFonts w:ascii="Times New Roman" w:cs="Times New Roman" w:eastAsia="Times New Roman" w:hAnsi="Times New Roman"/>
          <w:sz w:val="18"/>
          <w:szCs w:val="18"/>
          <w:color w:val="auto"/>
        </w:rPr>
        <w:t>. Under SAFE Circular 13, qualified banks are delegated the power to register all PRC residents’ investments in SPVs pursuant to SAFE Circular 37, saving for supplementary registration application made by PRC residents who failed to comply with SAFE Circular 37, which shall still fall into the jurisdiction of the local branch of SAFE. SAFE Circular 13 took effect on June 1, 2015.</w:t>
      </w:r>
    </w:p>
    <w:p>
      <w:pPr>
        <w:spacing w:after="0" w:line="198"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color w:val="auto"/>
        </w:rPr>
        <w:t>We understand that the aforesaid registration requirement under SAFE Circular 37, SAFE Circular 13 and the relevant implementing rules do not apply to our PRC subsidiaries or our PRC resident beneficial owners due to the following reasons: (i) our company was incorporated and controlled by Phoenix TV, a Hong Kong listed company, rather than any PRC residents defined under SAFE Circular 37, (ii) none of the former or current shareholders of our PRC affiliated consolidated entities established or acquired interest in our company by injecting the assets of, or equity interest in, our affiliated consolidated entities, and (iii) before the public listing of our ADSs all of our PRC resident beneficial owners obtained interest in our company through exercise of options granted to them under our share incentive plan. However, we cannot assure you that SAFE or its local branch would hold the same opinion with us and the relevant government authorities have broad discretion in interpreting these rules and regulations. See “Item 3. Key Information—D. Risk Factors—Risk Relating to Doing Business in China—If the PRC government finds that our PRC beneficial owners are subject to the SAFE registration requirement under SAFE Circular 37 and the relevant implementing rules and our PRC beneficial owners fail to comply with such registration requirements, such PRC beneficial owners may be subject to personal liability, our ability to acquire PRC companies or to inject capital into our PRC subsidiaries may be limited, our PRC subsidiaries’ ability to distribute profits to us may be limited, or our business may be otherwise materially and adversely affected.”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 Regulation of Stock Incentive Plan</w:t>
      </w:r>
    </w:p>
    <w:p>
      <w:pPr>
        <w:spacing w:after="0" w:line="227"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 xml:space="preserve">On December 25, 2006, the People’s Bank of China promulgated the </w:t>
      </w:r>
      <w:r>
        <w:rPr>
          <w:rFonts w:ascii="Times New Roman" w:cs="Times New Roman" w:eastAsia="Times New Roman" w:hAnsi="Times New Roman"/>
          <w:sz w:val="18"/>
          <w:szCs w:val="18"/>
          <w:i w:val="1"/>
          <w:iCs w:val="1"/>
          <w:color w:val="auto"/>
        </w:rPr>
        <w:t>Administrative Measures for Individual Foreign Exchange</w:t>
      </w:r>
      <w:r>
        <w:rPr>
          <w:rFonts w:ascii="Times New Roman" w:cs="Times New Roman" w:eastAsia="Times New Roman" w:hAnsi="Times New Roman"/>
          <w:sz w:val="18"/>
          <w:szCs w:val="18"/>
          <w:color w:val="auto"/>
        </w:rPr>
        <w:t xml:space="preserve">. On January 5, 2007, SAFE issued the </w:t>
      </w:r>
      <w:r>
        <w:rPr>
          <w:rFonts w:ascii="Times New Roman" w:cs="Times New Roman" w:eastAsia="Times New Roman" w:hAnsi="Times New Roman"/>
          <w:sz w:val="18"/>
          <w:szCs w:val="18"/>
          <w:i w:val="1"/>
          <w:iCs w:val="1"/>
          <w:color w:val="auto"/>
        </w:rPr>
        <w:t>Implementation Rules of the Administrative Measures for Individual Foreign Exchange</w:t>
      </w:r>
      <w:r>
        <w:rPr>
          <w:rFonts w:ascii="Times New Roman" w:cs="Times New Roman" w:eastAsia="Times New Roman" w:hAnsi="Times New Roman"/>
          <w:sz w:val="18"/>
          <w:szCs w:val="18"/>
          <w:color w:val="auto"/>
        </w:rPr>
        <w:t xml:space="preserve">, or the Individual Foreign Exchange Rules, which, among other things, specifies the approval requirements for a “domestic individual’s” (including both PRC residents and non-PRC residents who reside in the PRC for a continuous period of not less than one year, excluding the foreign diplomatic personnel and representatives of international organizations) participation in employee stock plans or stock option plans of an overseas publicly listed company. On February 15, 2012, SAFE issued the </w:t>
      </w:r>
      <w:r>
        <w:rPr>
          <w:rFonts w:ascii="Times New Roman" w:cs="Times New Roman" w:eastAsia="Times New Roman" w:hAnsi="Times New Roman"/>
          <w:sz w:val="18"/>
          <w:szCs w:val="18"/>
          <w:i w:val="1"/>
          <w:iCs w:val="1"/>
          <w:color w:val="auto"/>
        </w:rPr>
        <w:t>Notices on Issues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concerning the Foreign Exchange Administration for Domestic Individuals Participating in Stock Incentive Plan of Overseas Publicly-Listed Company</w:t>
      </w:r>
      <w:r>
        <w:rPr>
          <w:rFonts w:ascii="Times New Roman" w:cs="Times New Roman" w:eastAsia="Times New Roman" w:hAnsi="Times New Roman"/>
          <w:sz w:val="18"/>
          <w:szCs w:val="18"/>
          <w:color w:val="auto"/>
        </w:rPr>
        <w:t>,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Stock Incentive Plan Rules, which terminated the </w:t>
      </w:r>
      <w:r>
        <w:rPr>
          <w:rFonts w:ascii="Times New Roman" w:cs="Times New Roman" w:eastAsia="Times New Roman" w:hAnsi="Times New Roman"/>
          <w:sz w:val="18"/>
          <w:szCs w:val="18"/>
          <w:i w:val="1"/>
          <w:iCs w:val="1"/>
          <w:color w:val="auto"/>
        </w:rPr>
        <w:t>Processing Guidance on Foreign Exchange Administration of Domestic Individuals Participating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Employee Stock Ownership Plans or Stock Option Plans of Overseas-Listed Companies </w:t>
      </w:r>
      <w:r>
        <w:rPr>
          <w:rFonts w:ascii="Times New Roman" w:cs="Times New Roman" w:eastAsia="Times New Roman" w:hAnsi="Times New Roman"/>
          <w:sz w:val="18"/>
          <w:szCs w:val="18"/>
          <w:color w:val="auto"/>
        </w:rPr>
        <w:t>issued by SAFE on March 28, 2007. According to the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Plan Rules, if a domestic individual participates in any stock incentive plan of an overseas listed company, a qualified PRC domestic agent, which can be the PRC subsidiaries of such overseas listed company, shall, among other things, file, on behalf of such individual, an application with SAFE to conduct the SAFE registration with respect to such stock incentive plan, and obtain approval for an annual allowance with respect to the purchase of foreign exchange in connection with the stock purchase or stock option exercise. Such PRC individuals’ foreign exchange income received from the sale of stocks and dividends distributed by the overseas listed company and any other income shall be fully remitted into a collective foreign currency account in the PRC opened and managed by the PRC domestic agent before distribution to such individuals.</w:t>
      </w:r>
    </w:p>
    <w:p>
      <w:pPr>
        <w:spacing w:after="0" w:line="189"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Our employees who are “domestic individuals” and have been granted share options, or PRC optionees are subject to the Stock Incentive Plan Rules. If we or our PRC optionees fail to comply with the Individual Foreign Exchange Rules and the Stock Incentive Plan Rules, we and/or our PRC optionees may be subject to fines and other legal sanctions. We may also face regulatory uncertainties that could restrict our ability to adopt additional option plans for our directors and employees under PRC law. See “Item 3. Key Information—D. Risk Factors—Risks Relating to Our Business and Industry—Failure to comply</w:t>
      </w:r>
    </w:p>
    <w:p>
      <w:pPr>
        <w:sectPr>
          <w:pgSz w:w="11900" w:h="16848" w:orient="portrait"/>
          <w:cols w:equalWidth="0" w:num="1">
            <w:col w:w="11420"/>
          </w:cols>
          <w:pgMar w:left="240" w:top="119" w:right="239" w:bottom="0" w:gutter="0" w:footer="0" w:header="0"/>
        </w:sectPr>
      </w:pPr>
    </w:p>
    <w:bookmarkStart w:id="53" w:name="page54"/>
    <w:bookmarkEnd w:id="53"/>
    <w:p>
      <w:pPr>
        <w:ind w:right="480"/>
        <w:spacing w:after="0" w:line="282" w:lineRule="auto"/>
        <w:rPr>
          <w:sz w:val="20"/>
          <w:szCs w:val="20"/>
          <w:color w:val="auto"/>
        </w:rPr>
      </w:pPr>
      <w:r>
        <w:rPr>
          <w:rFonts w:ascii="Times New Roman" w:cs="Times New Roman" w:eastAsia="Times New Roman" w:hAnsi="Times New Roman"/>
          <w:sz w:val="18"/>
          <w:szCs w:val="18"/>
          <w:color w:val="auto"/>
        </w:rPr>
        <w:t>with PRC regulations regarding the registration requirements for stock incentive plans may subject the plan participants or us to fines and other legal or administrative sanctions.”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Dividend Distributions</w:t>
      </w:r>
    </w:p>
    <w:p>
      <w:pPr>
        <w:spacing w:after="0" w:line="229"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Wholly foreign-owned enterprises in the PRC may pay dividends only out of their accumulated profits, if any, as determined in accordance with PRC accounting standards and regulations. In addition, a wholly foreign-owned enterprise in the PRC is required to set aside at least 10% of its after-tax profit based on PRC accounting standards each year to its general reserves until its cumulative total reserve funds reaches 50% of its registered capital. The board of directors of a wholly foreign-owned enterprise has the discretion to allocate a portion of its after-tax profits to its employee welfare and bonus funds. These reserve funds, however, may not be distributed as cash dividends. Under the CIT Law and its implementation rules, dividends payable by a foreign-invested enterprise in the PRC to its foreign investor who is a non-resident enterprise will be subject to a 10% withholding tax, unless any such foreign investor’s jurisdiction of incorporation has a tax treaty with the PRC that provides for a lower withholding tax rate.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Overseas Listings</w:t>
      </w:r>
    </w:p>
    <w:p>
      <w:pPr>
        <w:spacing w:after="0" w:line="229"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 xml:space="preserve">On August 8, 2006, six PRC regulatory agencies, namely, MOFCOM, the State Assets Supervision and Administration Commission, the State Administration for Taxation, SAIC, CSRC and SAFE, jointly adopted the </w:t>
      </w:r>
      <w:r>
        <w:rPr>
          <w:rFonts w:ascii="Times New Roman" w:cs="Times New Roman" w:eastAsia="Times New Roman" w:hAnsi="Times New Roman"/>
          <w:sz w:val="18"/>
          <w:szCs w:val="18"/>
          <w:i w:val="1"/>
          <w:iCs w:val="1"/>
          <w:color w:val="auto"/>
        </w:rPr>
        <w:t>Regulations on Mergers and Acquisitions of Domestic Enterprises by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Investors</w:t>
      </w:r>
      <w:r>
        <w:rPr>
          <w:rFonts w:ascii="Times New Roman" w:cs="Times New Roman" w:eastAsia="Times New Roman" w:hAnsi="Times New Roman"/>
          <w:sz w:val="18"/>
          <w:szCs w:val="18"/>
          <w:color w:val="auto"/>
        </w:rPr>
        <w:t>, or the M&amp;A Rules, which became effective on September 8, 2006 and were amended in June 22, 2009. The M&amp;A Rules purport, among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things, to require that offshore special purpose vehicles, or SPVs, that are controlled by PRC companies or individuals and that have been formed for overseas listing purposes through acquisitions of PRC domestic interest held by such PRC companies or individuals, to obtain the approval of the CSRC prior to publicly listing their securities on an overseas stock exchange. On September 21, 2006, the CSRC published a notice on its official website specifying documents and materials required to be submitted to it by SPVs seeking CSRC approval of their overseas listings. While the application of the M&amp;A</w:t>
      </w:r>
    </w:p>
    <w:p>
      <w:pPr>
        <w:spacing w:after="0" w:line="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Rules remains unclear, our PRC counsel has advised us that based on its understanding of the current PRC laws, rules and regulations and the M&amp;A Rules, prior approval from the CSRC is not required under the M&amp;A Rules for the listing and trading of our ADSs on the NYSE because we have not acquired any equity interest or assets of a PRC domestic company owned by PRC companies or individuals, as defined under the M&amp;A Rules, that are our beneficial owners after the effective date of the M&amp;A Rules.</w:t>
      </w:r>
    </w:p>
    <w:p>
      <w:pPr>
        <w:spacing w:after="0" w:line="186"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However, our PRC counsel has further advised us uncertainties still exist as to how the M&amp;A Rules will be interpreted and implemented and its opinions summarized above are subject to any new laws, rules and regulations or detailed implementations and interpretations in any form relating to the M&amp;A Rules. If the CSRC or another PRC regulatory agency subsequently determines that prior CSRC approval was required, we may face regulatory actions or other sanctions from the CSRC or other PRC regulatory agencies. These regulatory agencies may impose fines and penalties on our operations, limit our operating privileges, delay or restrict the repatriation of the proceeds from our initial public offering into the PRC or payment or distribution of dividends by our PRC subsidiaries, or take other actions that could materially adversely affect our business, financial condition, operating results, reputation and prospects, as well as the trading price of our ADSs. If the CSRC later requires that we obtain its approval for our initial public offering, we may be unable to obtain a waiver of CSRC approval requirements, if and when procedures are established to obtain such a waiver. Any uncertainties or negative publicity regarding CSRC approval requirements could have a material adverse effect on the trading price of our ADSs.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720" w:hanging="712"/>
        <w:spacing w:after="0"/>
        <w:tabs>
          <w:tab w:leader="none" w:pos="7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Organizational Structure</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Our Corporate Structure</w:t>
      </w:r>
    </w:p>
    <w:p>
      <w:pPr>
        <w:spacing w:after="0" w:line="229"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as of the date of this annual report, including our subsidiaries, affiliated consolidated entities and their subsidiaries which are significant subsidiaries as defined in rule 1-02(w) of Regulation S-X:</w:t>
      </w:r>
    </w:p>
    <w:p>
      <w:pPr>
        <w:sectPr>
          <w:pgSz w:w="11900" w:h="16838" w:orient="portrait"/>
          <w:cols w:equalWidth="0" w:num="1">
            <w:col w:w="11400"/>
          </w:cols>
          <w:pgMar w:left="240" w:top="121" w:right="259"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894715</wp:posOffset>
            </wp:positionH>
            <wp:positionV relativeFrom="page">
              <wp:posOffset>88900</wp:posOffset>
            </wp:positionV>
            <wp:extent cx="5771515" cy="31299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5771515"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40"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Aligned with our business strategies, we have made the following investments in subsidiaries, affiliates and other business alliance partners in various Internet-related businesses.</w:t>
      </w:r>
    </w:p>
    <w:p>
      <w:pPr>
        <w:spacing w:after="0" w:line="162" w:lineRule="exact"/>
        <w:rPr>
          <w:sz w:val="20"/>
          <w:szCs w:val="20"/>
          <w:color w:val="auto"/>
        </w:rPr>
      </w:pPr>
    </w:p>
    <w:p>
      <w:pPr>
        <w:ind w:right="200" w:firstLine="441"/>
        <w:spacing w:after="0" w:line="258" w:lineRule="auto"/>
        <w:rPr>
          <w:sz w:val="20"/>
          <w:szCs w:val="20"/>
          <w:color w:val="auto"/>
        </w:rPr>
      </w:pPr>
      <w:r>
        <w:rPr>
          <w:rFonts w:ascii="Times New Roman" w:cs="Times New Roman" w:eastAsia="Times New Roman" w:hAnsi="Times New Roman"/>
          <w:sz w:val="18"/>
          <w:szCs w:val="18"/>
          <w:color w:val="auto"/>
        </w:rPr>
        <w:t>In March 2014, IDG-Accel China Growth Fund III L.P. and IDG-Accel China III Investors L.P., or the IDG-Accel Funds, acquired US$3.0 million convertible preferred shares of Phoenix FM Limited, previously a subsidiary of us, to accelerate development of the ifeng application business. Despite holding 100% of Phoenix FM Limited’s ordinary shares, we accounted for our investment in Phoenix FM Limited as an equity method investment since we did not control Phoenix FM Limited due to substantive participating rights that have been provided to the IDG-Accel Funds. As of December 31, 2016, the carrying value of our equity investment in Phoenix FM was nil.</w:t>
      </w:r>
    </w:p>
    <w:p>
      <w:pPr>
        <w:spacing w:after="0" w:line="184" w:lineRule="exact"/>
        <w:rPr>
          <w:sz w:val="20"/>
          <w:szCs w:val="20"/>
          <w:color w:val="auto"/>
        </w:rPr>
      </w:pPr>
    </w:p>
    <w:p>
      <w:pPr>
        <w:ind w:right="140" w:firstLine="450"/>
        <w:spacing w:after="0" w:line="258" w:lineRule="auto"/>
        <w:rPr>
          <w:sz w:val="20"/>
          <w:szCs w:val="20"/>
          <w:color w:val="auto"/>
        </w:rPr>
      </w:pPr>
      <w:r>
        <w:rPr>
          <w:rFonts w:ascii="Times New Roman" w:cs="Times New Roman" w:eastAsia="Times New Roman" w:hAnsi="Times New Roman"/>
          <w:sz w:val="18"/>
          <w:szCs w:val="18"/>
          <w:color w:val="auto"/>
        </w:rPr>
        <w:t>In April 2014, we established Shenzhen Fenghuang Jingcai Network Technology Co., Ltd, or Fenghuang Jingcai, a company engaged in online lottery ticket distribution with capitalization of RMB2.0 million. Subsequently, we invested additional RMB2.5 million in Fenghuang Jingcai. In 2014 and 2016, Fenghuang Jingcai obtained capital injection from other independent third parties. We held approximately 31.54% of the equity interests in Fenghuang Jingcai as of December 31, 2016 and accounted it as an equity method investment. As of December 31, 2016, the carrying value of our equity investment in Fenghuang Jingcai was nil.</w:t>
      </w:r>
    </w:p>
    <w:p>
      <w:pPr>
        <w:spacing w:after="0" w:line="184"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In October 2014, we acquired Series B convertible redeemable preferred shares of Particle, representing 9.34% of the equity interest in Particle on an as-if converted basis, with a total cash consideration of US$6.0 million. Particle owns the mobile application Yidian, a personalized news and life-style information application in China, which allows users to define and explore desired content over mobile devices. In December 2014, we acquired ordinary shares of Particle, representing 9.08% of the equity interest in Particle on an as-if converted basis, with a cash consideration of US$5.0 million and a number of our ordinary shares with fair value of US$2.8 million. In April 2015, we acquired Series C convertible redeemable preferred shares of Particle with a cash consideration of US$30.0 million, and we also acquired additional ordinary shares and Class A ordinary shares of Particle from certain existing shareholders for an aggregate purchase price of US$27.6 million. Following the transactions, also in April 2015, Particle repurchased all the ordinary shares and Class A ordinary shares held by us, including ordinary shares purchased by us in 2014, and issued to us one Series C convertible redeemable preferred share for each ordinary share or Class A ordinary share. In January and April 2016, we granted two unsecured short-term loans to Particle with an aggregate principal amount of US$20.0 million, and we converted the principal amounts of these loans and all accrued interests with a total amount of US$20.7 million into Series D1 convertible redeemable preferred shares of Particle in December 2016. As of the date hereof, we held Series B, Series C and Series D1 convertible redeemable preferred shares, which had been accounted for as available-for-sale investments, representing an aggregate of approximately 44.2% equity interest of Particle on an as-if converted basis. The fair value of our available-for-sale investments in Particle was US$135.3 million as of December 31, 2016.</w:t>
      </w:r>
    </w:p>
    <w:p>
      <w:pPr>
        <w:spacing w:after="0" w:line="189" w:lineRule="exact"/>
        <w:rPr>
          <w:sz w:val="20"/>
          <w:szCs w:val="20"/>
          <w:color w:val="auto"/>
        </w:rPr>
      </w:pPr>
    </w:p>
    <w:p>
      <w:pPr>
        <w:ind w:right="160" w:firstLine="441"/>
        <w:spacing w:after="0" w:line="258" w:lineRule="auto"/>
        <w:rPr>
          <w:sz w:val="20"/>
          <w:szCs w:val="20"/>
          <w:color w:val="auto"/>
        </w:rPr>
      </w:pPr>
      <w:r>
        <w:rPr>
          <w:rFonts w:ascii="Times New Roman" w:cs="Times New Roman" w:eastAsia="Times New Roman" w:hAnsi="Times New Roman"/>
          <w:sz w:val="18"/>
          <w:szCs w:val="18"/>
          <w:color w:val="auto"/>
        </w:rPr>
        <w:t>In December 2014, we lost control over Beijing Fenghuang Tianbo Network Technology Co., Ltd., or Tianbo, a previously consolidated subsidiary, as the result of disposal of certain equity interest of Tianbo, and we currently still hold 50% of the equity interest of Tianbo. As we have significant influence over financial and operating decision-making after deconsolidation, we account for the retained 50% equity interests by using the equity method of accounting. Tianbo is principally engaged in exclusive operation of the real property channel and exclusive sales of real property advertisements for ifeng.com.</w:t>
      </w:r>
    </w:p>
    <w:p>
      <w:pPr>
        <w:spacing w:after="0" w:line="184"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18"/>
          <w:szCs w:val="18"/>
          <w:color w:val="auto"/>
        </w:rPr>
        <w:t>In January 2015, in order to leverage our brand, content platform and large user base to expand into more entertainment related businesses, we established a new subsidiary, Shanghai Meowpaw Info&amp;Tech Co., Ltd., or Meowpaw. Meowpaw is engaged in creating intellectual properties, related games, books, movies and animations, etc. As of the date of this annual report, we held 75% of Meowpaw’s equity interest, and its noncontrolling shareholder, who is an individual, held the remaining of 25%. Meowpaw’s share capital was not sufficient to support its operations. In addition to the capital injection, we provided a long-term financing of RMB79.0 million to support its operations.</w:t>
      </w:r>
    </w:p>
    <w:p>
      <w:pPr>
        <w:spacing w:after="0" w:line="184" w:lineRule="exact"/>
        <w:rPr>
          <w:sz w:val="20"/>
          <w:szCs w:val="20"/>
          <w:color w:val="auto"/>
        </w:rPr>
      </w:pPr>
    </w:p>
    <w:p>
      <w:pPr>
        <w:ind w:right="200" w:firstLine="441"/>
        <w:spacing w:after="0" w:line="261" w:lineRule="auto"/>
        <w:rPr>
          <w:sz w:val="20"/>
          <w:szCs w:val="20"/>
          <w:color w:val="auto"/>
        </w:rPr>
      </w:pPr>
      <w:r>
        <w:rPr>
          <w:rFonts w:ascii="Times New Roman" w:cs="Times New Roman" w:eastAsia="Times New Roman" w:hAnsi="Times New Roman"/>
          <w:sz w:val="18"/>
          <w:szCs w:val="18"/>
          <w:color w:val="auto"/>
        </w:rPr>
        <w:t>In January 2015, we acquired 5% equity interest of Beijing Phoenix Lilita Information Technology Co., Ltd., or Lilita, from a family member of the chairman of Phoenix TV, for an aggregate purchase price of RMB0.5 million. Lilita is principally engaged in P2P lending and reward-based crowd-funding businesses. In July 2016, Lilita completed its Series A round of financing and the percentage of our equity interest in Lilita decreased to 4.69%. We account for our equity interests in Lilita by using the cost method of accounting.</w:t>
      </w:r>
    </w:p>
    <w:p>
      <w:pPr>
        <w:sectPr>
          <w:pgSz w:w="11900" w:h="16838" w:orient="portrait"/>
          <w:cols w:equalWidth="0" w:num="1">
            <w:col w:w="11420"/>
          </w:cols>
          <w:pgMar w:left="240" w:top="1440" w:right="239" w:bottom="0" w:gutter="0" w:footer="0" w:header="0"/>
          <w:type w:val="continuous"/>
        </w:sectPr>
      </w:pPr>
    </w:p>
    <w:bookmarkStart w:id="55" w:name="page56"/>
    <w:bookmarkEnd w:id="55"/>
    <w:p>
      <w:pPr>
        <w:spacing w:after="0" w:line="118" w:lineRule="exact"/>
        <w:rPr>
          <w:sz w:val="20"/>
          <w:szCs w:val="20"/>
          <w:color w:val="auto"/>
        </w:rPr>
      </w:pPr>
    </w:p>
    <w:p>
      <w:pPr>
        <w:ind w:right="220" w:firstLine="450"/>
        <w:spacing w:after="0" w:line="261" w:lineRule="auto"/>
        <w:rPr>
          <w:sz w:val="20"/>
          <w:szCs w:val="20"/>
          <w:color w:val="auto"/>
        </w:rPr>
      </w:pPr>
      <w:r>
        <w:rPr>
          <w:rFonts w:ascii="Times New Roman" w:cs="Times New Roman" w:eastAsia="Times New Roman" w:hAnsi="Times New Roman"/>
          <w:sz w:val="18"/>
          <w:szCs w:val="18"/>
          <w:color w:val="auto"/>
        </w:rPr>
        <w:t>In February 2015, we invested approximately RMB4.5 million in Hangzhou Qike Technology Co., Ltd., or Hangzhou Qike, a company engaged in providing risk management and credit control assessment based on big data analysis to enterprises and eventually directly to individual customers. We hold 45% equity interest of Hangzhou Qike and account for it by using the equity method of accounting. As of December 31, 2016, the carrying value of our equity investment in Hangzhou Qike was RMB0.1 million.</w:t>
      </w:r>
    </w:p>
    <w:p>
      <w:pPr>
        <w:spacing w:after="0" w:line="180" w:lineRule="exact"/>
        <w:rPr>
          <w:sz w:val="20"/>
          <w:szCs w:val="20"/>
          <w:color w:val="auto"/>
        </w:rPr>
      </w:pPr>
    </w:p>
    <w:p>
      <w:pPr>
        <w:ind w:right="220" w:firstLine="450"/>
        <w:spacing w:after="0" w:line="261" w:lineRule="auto"/>
        <w:rPr>
          <w:sz w:val="20"/>
          <w:szCs w:val="20"/>
          <w:color w:val="auto"/>
        </w:rPr>
      </w:pPr>
      <w:r>
        <w:rPr>
          <w:rFonts w:ascii="Times New Roman" w:cs="Times New Roman" w:eastAsia="Times New Roman" w:hAnsi="Times New Roman"/>
          <w:sz w:val="18"/>
          <w:szCs w:val="18"/>
          <w:color w:val="auto"/>
        </w:rPr>
        <w:t>In April 2015, we acquired 0.3% equity interest of Lifeix Inc., an Internet company that operates L99.com and Lifeix.com, for an aggregate purchase price of US$1.0 million. We account for our equity investment in Lifeix by using the cost method of accounting. In December 2015, in view of business performance and near-term business outlook of Lifeix Inc. that were below our previous expectation, based on the other-than-temporary impairment assessment, we recorded an impairment loss of US$1.0 million (RMB6.4 million) to fully write down the equity investment.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Our Affiliated Consolidated Entities</w:t>
      </w:r>
    </w:p>
    <w:p>
      <w:pPr>
        <w:spacing w:after="0" w:line="229" w:lineRule="exact"/>
        <w:rPr>
          <w:sz w:val="20"/>
          <w:szCs w:val="20"/>
          <w:color w:val="auto"/>
        </w:rPr>
      </w:pPr>
    </w:p>
    <w:p>
      <w:pPr>
        <w:jc w:val="both"/>
        <w:ind w:right="260" w:firstLine="441"/>
        <w:spacing w:after="0" w:line="266" w:lineRule="auto"/>
        <w:rPr>
          <w:sz w:val="20"/>
          <w:szCs w:val="20"/>
          <w:color w:val="auto"/>
        </w:rPr>
      </w:pPr>
      <w:r>
        <w:rPr>
          <w:rFonts w:ascii="Times New Roman" w:cs="Times New Roman" w:eastAsia="Times New Roman" w:hAnsi="Times New Roman"/>
          <w:sz w:val="18"/>
          <w:szCs w:val="18"/>
          <w:color w:val="auto"/>
        </w:rPr>
        <w:t>Foreign investment in the Internet and mobile services industries is currently prohibited or restricted in China. As a Cayman Islands company, we do not qualify to conduct these businesses under PRC regulations. See “—B. Business Overview—Regulatory Matters.” As a result, our business in China is operated through contractual arrangements with our affiliated consolidated entities.</w:t>
      </w:r>
    </w:p>
    <w:p>
      <w:pPr>
        <w:spacing w:after="0" w:line="176" w:lineRule="exact"/>
        <w:rPr>
          <w:sz w:val="20"/>
          <w:szCs w:val="20"/>
          <w:color w:val="auto"/>
        </w:rPr>
      </w:pPr>
    </w:p>
    <w:p>
      <w:pPr>
        <w:ind w:right="20" w:firstLine="450"/>
        <w:spacing w:after="0" w:line="255" w:lineRule="auto"/>
        <w:rPr>
          <w:sz w:val="20"/>
          <w:szCs w:val="20"/>
          <w:color w:val="auto"/>
        </w:rPr>
      </w:pPr>
      <w:r>
        <w:rPr>
          <w:rFonts w:ascii="Times New Roman" w:cs="Times New Roman" w:eastAsia="Times New Roman" w:hAnsi="Times New Roman"/>
          <w:sz w:val="18"/>
          <w:szCs w:val="18"/>
          <w:color w:val="auto"/>
        </w:rPr>
        <w:t>We do not have any equity interests in Tianying Jiuzhou or its subsidiaries or Yifeng Lianhe. However, as a result of these contractual arrangements, we are the primary beneficiary of each of Tiangying Jiuzhou and Yifeng Lianhe and account for them as our affiliated consolidated entities under U.S. GAAP. Outstanding equity interests in Tianying Jiuzhou and Yifeng Lianhe are held by Haiyan Qiao and Ximin Gao, and Yinxia Liu and Yansheng He, respectively. Mssrs. Qiao, Gao and He are all current employees of our company and have each been employed by us for approximately ten years. Ms. Liu is an employee of Zhongcheng Letian Property Development Company Ltd., a company founded by the chairman of Phoenix TV, Mr. Changle Liu. See “Item 3. Key Information—D. Risk Factors—Risks Relating to Our Corporate Structure—The shareholders of our affiliated consolidated entities may have potential conflicts of interest with us.”</w:t>
      </w:r>
    </w:p>
    <w:p>
      <w:pPr>
        <w:spacing w:after="0" w:line="189" w:lineRule="exact"/>
        <w:rPr>
          <w:sz w:val="20"/>
          <w:szCs w:val="20"/>
          <w:color w:val="auto"/>
        </w:rPr>
      </w:pPr>
    </w:p>
    <w:p>
      <w:pPr>
        <w:ind w:right="140" w:firstLine="441"/>
        <w:spacing w:after="0" w:line="266" w:lineRule="auto"/>
        <w:rPr>
          <w:sz w:val="20"/>
          <w:szCs w:val="20"/>
          <w:color w:val="auto"/>
        </w:rPr>
      </w:pPr>
      <w:r>
        <w:rPr>
          <w:rFonts w:ascii="Times New Roman" w:cs="Times New Roman" w:eastAsia="Times New Roman" w:hAnsi="Times New Roman"/>
          <w:sz w:val="18"/>
          <w:szCs w:val="18"/>
          <w:color w:val="auto"/>
        </w:rPr>
        <w:t>We have consolidated the financial results of each of Tianying Jiuzhou and its subsidiaries, and Yifeng Lianhe in our consolidated financial statements in accordance with U.S. GAAP. In 2016, Tianying Jiuzhou and its subsidiaries accounted for 76.9% of our total revenues, and Yifeng Lianhe accounted for 1.1% of our total revenues.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the Contractual Arrangements</w:t>
      </w:r>
    </w:p>
    <w:p>
      <w:pPr>
        <w:spacing w:after="0" w:line="229"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The contractual arrangements among Fenghuang On-line, the affiliated consolidated entities and the shareholders of the affiliated consolidated entities enable us to:</w:t>
      </w:r>
    </w:p>
    <w:p>
      <w:pPr>
        <w:spacing w:after="0" w:line="162" w:lineRule="exact"/>
        <w:rPr>
          <w:sz w:val="20"/>
          <w:szCs w:val="20"/>
          <w:color w:val="auto"/>
        </w:rPr>
      </w:pPr>
    </w:p>
    <w:p>
      <w:pPr>
        <w:ind w:left="1100" w:right="580" w:hanging="327"/>
        <w:spacing w:after="0" w:line="282" w:lineRule="auto"/>
        <w:tabs>
          <w:tab w:leader="none" w:pos="106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substantially all of the economic benefits from Tianying Jiuzhou and its subsidiaries, and Yifeng Lianhe in consideration for the technical and consulting services provided and intellectual property rights licensed by Fenghuang On-line;</w:t>
      </w:r>
    </w:p>
    <w:p>
      <w:pPr>
        <w:spacing w:after="0" w:line="161" w:lineRule="exact"/>
        <w:rPr>
          <w:rFonts w:ascii="Times New Roman" w:cs="Times New Roman" w:eastAsia="Times New Roman" w:hAnsi="Times New Roman"/>
          <w:sz w:val="18"/>
          <w:szCs w:val="18"/>
          <w:color w:val="auto"/>
        </w:rPr>
      </w:pPr>
    </w:p>
    <w:p>
      <w:pPr>
        <w:ind w:left="1060" w:hanging="287"/>
        <w:spacing w:after="0"/>
        <w:tabs>
          <w:tab w:leader="none" w:pos="10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effective control over Tianying Jiuzhou and its subsidiaries, and Yifeng Lianhe; and</w:t>
      </w:r>
    </w:p>
    <w:p>
      <w:pPr>
        <w:spacing w:after="0" w:line="225" w:lineRule="exact"/>
        <w:rPr>
          <w:rFonts w:ascii="Times New Roman" w:cs="Times New Roman" w:eastAsia="Times New Roman" w:hAnsi="Times New Roman"/>
          <w:sz w:val="18"/>
          <w:szCs w:val="18"/>
          <w:color w:val="auto"/>
        </w:rPr>
      </w:pPr>
    </w:p>
    <w:p>
      <w:pPr>
        <w:ind w:left="1100" w:right="100" w:hanging="327"/>
        <w:spacing w:after="0" w:line="282" w:lineRule="auto"/>
        <w:tabs>
          <w:tab w:leader="none" w:pos="106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exclusive option to purchase all of the equity interests in Tianying Jiuzhou, and Yifeng Lianhe when and to the extent permitted under PRC laws.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that Transfer Economic Benefits to Us</w:t>
      </w:r>
    </w:p>
    <w:p>
      <w:pPr>
        <w:spacing w:after="0" w:line="227" w:lineRule="exact"/>
        <w:rPr>
          <w:sz w:val="20"/>
          <w:szCs w:val="20"/>
          <w:color w:val="auto"/>
        </w:rPr>
      </w:pPr>
    </w:p>
    <w:p>
      <w:pPr>
        <w:ind w:firstLine="441"/>
        <w:spacing w:after="0" w:line="259" w:lineRule="auto"/>
        <w:rPr>
          <w:sz w:val="20"/>
          <w:szCs w:val="20"/>
          <w:color w:val="auto"/>
        </w:rPr>
      </w:pPr>
      <w:r>
        <w:rPr>
          <w:rFonts w:ascii="Times New Roman" w:cs="Times New Roman" w:eastAsia="Times New Roman" w:hAnsi="Times New Roman"/>
          <w:sz w:val="18"/>
          <w:szCs w:val="18"/>
          <w:i w:val="1"/>
          <w:iCs w:val="1"/>
          <w:color w:val="auto"/>
        </w:rPr>
        <w:t>Exclusive Technical Licensing and Service Agreements</w:t>
      </w:r>
      <w:r>
        <w:rPr>
          <w:rFonts w:ascii="Times New Roman" w:cs="Times New Roman" w:eastAsia="Times New Roman" w:hAnsi="Times New Roman"/>
          <w:sz w:val="18"/>
          <w:szCs w:val="18"/>
          <w:color w:val="auto"/>
        </w:rPr>
        <w:t>. Under the exclusive technical licensing and service agreements between Fenghuang On-line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each of the respective affiliated consolidated entities, or the technical service agreements, Fenghuang On-line has the exclusive right to provide designated technical and consulting services to the affiliated consolidated entities, including developing and upgrading various software, developing system technology, maintaining operational hardware and providing various training and consulting services, among other services. Third parties may only be engaged to provide the designated services to the affiliated consolidated entities under limited circumstances that are within the control of Fenghuang On-line.</w:t>
      </w:r>
    </w:p>
    <w:p>
      <w:pPr>
        <w:spacing w:after="0" w:line="182" w:lineRule="exact"/>
        <w:rPr>
          <w:sz w:val="20"/>
          <w:szCs w:val="20"/>
          <w:color w:val="auto"/>
        </w:rPr>
      </w:pPr>
    </w:p>
    <w:p>
      <w:pPr>
        <w:ind w:right="100" w:firstLine="441"/>
        <w:spacing w:after="0" w:line="274" w:lineRule="auto"/>
        <w:rPr>
          <w:sz w:val="20"/>
          <w:szCs w:val="20"/>
          <w:color w:val="auto"/>
        </w:rPr>
      </w:pPr>
      <w:r>
        <w:rPr>
          <w:rFonts w:ascii="Times New Roman" w:cs="Times New Roman" w:eastAsia="Times New Roman" w:hAnsi="Times New Roman"/>
          <w:sz w:val="17"/>
          <w:szCs w:val="17"/>
          <w:color w:val="auto"/>
        </w:rPr>
        <w:t>Pursuant to the technical service agreements, the affiliated consolidated entities have each agreed to pay to Fenghuang On-line an amount equal to a certain percentage of their respective annual revenues, plus a special service fee for certain services rendered by Fenghuang On-line at the request of the relevant affiliated consolidated entity. However, the technical service agreements also provide that notwithstanding such agreement as to payment, the actual amount of the service fee may be adjusted upon mutual agreement of the parties. Historically, the affiliated consolidated entities have deducted relevant costs and expenses from the amount that is subject to the service fee payment. In 2014, 2015 and 2016, the affiliated consolidated entities transferred technical service fees of RMB414.4 million, RMB236.4 million and RMB119.0 million (US$17.1 million), respectively, to Fenghuang On-line and its subsidiary.</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The technical service agreements also transfer all of the economic benefit of intellectual property created by the affiliated consolidated entities to Fenghuang On-line. To the extent that the affiliated consolidated entities jointly develop business-related technologies with Fenghuang On-line or are entrusted by Fenghuang On-line to develop business-related technologies, the ownership and patent application rights for such technologies are vested in Fenghuang On-line. To extent that the affiliated consolidated entities develop business-related technologies independently, the affiliated consolidated entities are required to promptly notify Fenghuang On-line of such technologies, and Fenghuang On-line has the right to purchase each such technology for RMB1 or the minimum purchase price permitted by then applicable law, or otherwise has priority rights with respect to any transfer or license of such technologies. In addition, Fenghuang On-line controls the patent applications of any business-related technologies created by the affiliated consolidated entities.</w:t>
      </w:r>
    </w:p>
    <w:p>
      <w:pPr>
        <w:spacing w:after="0" w:line="189" w:lineRule="exact"/>
        <w:rPr>
          <w:sz w:val="20"/>
          <w:szCs w:val="20"/>
          <w:color w:val="auto"/>
        </w:rPr>
      </w:pPr>
    </w:p>
    <w:p>
      <w:pPr>
        <w:ind w:right="240" w:firstLine="441"/>
        <w:spacing w:after="0" w:line="313" w:lineRule="auto"/>
        <w:rPr>
          <w:sz w:val="20"/>
          <w:szCs w:val="20"/>
          <w:color w:val="auto"/>
        </w:rPr>
      </w:pPr>
      <w:r>
        <w:rPr>
          <w:rFonts w:ascii="Times New Roman" w:cs="Times New Roman" w:eastAsia="Times New Roman" w:hAnsi="Times New Roman"/>
          <w:sz w:val="17"/>
          <w:szCs w:val="17"/>
          <w:color w:val="auto"/>
        </w:rPr>
        <w:t>The term of each technical service agreement is indefinite unless terminated by Fenghuang On-line by providing prior written notice to the relevant affiliated consolidated entity. The technical service agreements provide that the affiliated consolidated entities cannot terminate such agreements under any</w:t>
      </w:r>
    </w:p>
    <w:p>
      <w:pPr>
        <w:sectPr>
          <w:pgSz w:w="11900" w:h="16957" w:orient="portrait"/>
          <w:cols w:equalWidth="0" w:num="1">
            <w:col w:w="11420"/>
          </w:cols>
          <w:pgMar w:left="240" w:top="121" w:right="239" w:bottom="0" w:gutter="0" w:footer="0" w:header="0"/>
        </w:sectPr>
      </w:pPr>
    </w:p>
    <w:bookmarkStart w:id="56" w:name="page57"/>
    <w:bookmarkEnd w:id="56"/>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circumstances or on any ground unless otherwise provided for by law.</w:t>
      </w:r>
    </w:p>
    <w:p>
      <w:pPr>
        <w:spacing w:after="0" w:line="225" w:lineRule="exact"/>
        <w:rPr>
          <w:sz w:val="20"/>
          <w:szCs w:val="20"/>
          <w:color w:val="auto"/>
        </w:rPr>
      </w:pPr>
    </w:p>
    <w:p>
      <w:pPr>
        <w:ind w:right="200" w:firstLine="441"/>
        <w:spacing w:after="0" w:line="266" w:lineRule="auto"/>
        <w:rPr>
          <w:sz w:val="20"/>
          <w:szCs w:val="20"/>
          <w:color w:val="auto"/>
        </w:rPr>
      </w:pPr>
      <w:r>
        <w:rPr>
          <w:rFonts w:ascii="Times New Roman" w:cs="Times New Roman" w:eastAsia="Times New Roman" w:hAnsi="Times New Roman"/>
          <w:sz w:val="18"/>
          <w:szCs w:val="18"/>
          <w:color w:val="auto"/>
        </w:rPr>
        <w:t>The technical service agreements provide that any disputes shall be resolved by the parties through negotiation, and if the parties cannot reach an agreement within thirty days, the dispute shall be submitted to the China International Economic and Trade Arbitration Commission in Beijing. The arbitral awards shall be final and binding upon both parties.</w:t>
      </w:r>
    </w:p>
    <w:p>
      <w:pPr>
        <w:spacing w:after="0" w:line="17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Agreements that Provide Us with Effective Control and Grant Fenghuang On-line an Exclusive Option to Purchase all of the Equity Interests in the Affiliated consolidated Entities When and To the Extent Permitted Under PRC Laws</w:t>
      </w:r>
    </w:p>
    <w:p>
      <w:pPr>
        <w:spacing w:after="0" w:line="157" w:lineRule="exact"/>
        <w:rPr>
          <w:sz w:val="20"/>
          <w:szCs w:val="20"/>
          <w:color w:val="auto"/>
        </w:rPr>
      </w:pPr>
    </w:p>
    <w:p>
      <w:pPr>
        <w:ind w:right="80"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Voting Right Entrustment Agreements</w:t>
      </w:r>
      <w:r>
        <w:rPr>
          <w:rFonts w:ascii="Times New Roman" w:cs="Times New Roman" w:eastAsia="Times New Roman" w:hAnsi="Times New Roman"/>
          <w:sz w:val="18"/>
          <w:szCs w:val="18"/>
          <w:color w:val="auto"/>
        </w:rPr>
        <w:t>. Each of the respective affiliated consolidated entities, their respective shareholders and Fenghuang On-line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entered into a voting right entrustment agreement. Pursuant to the voting right entrustment agreements the shareholders of each affiliated consolidated entity have granted a person designated by Fenghuang On-line, or the trustee, the right to exercise their rights as shareholders, including all voting rights, as well as rights to attend and propose the convening of shareholder meetings. Under the voting right entrustment agreements, the respective trustees have the right to access all information regarding the relevant affiliated consolidated entity’s operation, business, clients, finances and employees, as well as their financial, business and corporate documentation.</w:t>
      </w:r>
    </w:p>
    <w:p>
      <w:pPr>
        <w:spacing w:after="0" w:line="185" w:lineRule="exact"/>
        <w:rPr>
          <w:sz w:val="20"/>
          <w:szCs w:val="20"/>
          <w:color w:val="auto"/>
        </w:rPr>
      </w:pPr>
    </w:p>
    <w:p>
      <w:pPr>
        <w:ind w:right="140" w:firstLine="441"/>
        <w:spacing w:after="0" w:line="261" w:lineRule="auto"/>
        <w:rPr>
          <w:sz w:val="20"/>
          <w:szCs w:val="20"/>
          <w:color w:val="auto"/>
        </w:rPr>
      </w:pPr>
      <w:r>
        <w:rPr>
          <w:rFonts w:ascii="Times New Roman" w:cs="Times New Roman" w:eastAsia="Times New Roman" w:hAnsi="Times New Roman"/>
          <w:sz w:val="18"/>
          <w:szCs w:val="18"/>
          <w:color w:val="auto"/>
        </w:rPr>
        <w:t>The term of each voting right entrustment agreement is indefinite unless both parties agree to terminate the agreement in writing, or unless Fenghuang On-line decides in its discretion to terminate the relevant agreement after the relevant affiliated consolidated entity or one of its shareholders breaches the agreement and such breach is not remedied within ten days of receipt of written notice. The voting right entrustment agreements provide that the affiliated consolidated entities cannot terminate such agreements under any circumstances or on any ground unless otherwise provided for by law.</w:t>
      </w:r>
    </w:p>
    <w:p>
      <w:pPr>
        <w:spacing w:after="0" w:line="180" w:lineRule="exact"/>
        <w:rPr>
          <w:sz w:val="20"/>
          <w:szCs w:val="20"/>
          <w:color w:val="auto"/>
        </w:rPr>
      </w:pPr>
    </w:p>
    <w:p>
      <w:pPr>
        <w:ind w:right="200" w:firstLine="441"/>
        <w:spacing w:after="0" w:line="266" w:lineRule="auto"/>
        <w:rPr>
          <w:sz w:val="20"/>
          <w:szCs w:val="20"/>
          <w:color w:val="auto"/>
        </w:rPr>
      </w:pPr>
      <w:r>
        <w:rPr>
          <w:rFonts w:ascii="Times New Roman" w:cs="Times New Roman" w:eastAsia="Times New Roman" w:hAnsi="Times New Roman"/>
          <w:sz w:val="18"/>
          <w:szCs w:val="18"/>
          <w:color w:val="auto"/>
        </w:rPr>
        <w:t>The voting right entrustment agreements provide that any disputes shall be resolved by the parties through negotiation, and if the parties cannot reach an agreement within thirty days, the dispute shall be submitted to the China International Economic and Trade Arbitration Commission in Beijing. The arbitral awards shall be final and binding upon both parties.</w:t>
      </w:r>
    </w:p>
    <w:p>
      <w:pPr>
        <w:spacing w:after="0" w:line="174"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Exclusive Equity Option Agreements</w:t>
      </w:r>
      <w:r>
        <w:rPr>
          <w:rFonts w:ascii="Times New Roman" w:cs="Times New Roman" w:eastAsia="Times New Roman" w:hAnsi="Times New Roman"/>
          <w:sz w:val="18"/>
          <w:szCs w:val="18"/>
          <w:color w:val="auto"/>
        </w:rPr>
        <w:t>. Each of the respective affiliated consolidated entities, their respective shareholders and Fenghuang On-Line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entered into an exclusive equity option agreement, or equity option agreement, pursuant to which Fenghuang On-line has an irrevocable, unconditional and exclusive option to purchase, or to designate other persons to purchase from the shareholders, to the extent permitted by applicable PRC laws, rules and regulations, all of the equity interest in the affiliated consolidated entities. Fenghuang On-line may acquire all of the equity interest in the relevant affiliated entity through one purchase or a series of purchases, the timing, manner and frequency of which are in Fenghuang On-line’s discretion. The purchase price for the entire equity interest is to be calculated based on the paid-up amount of the relevant equity interest or the minimum price permitted by applicable PRC laws, rules and regulations. In addition, the amount borrowed by the respective shareholders from Fenghuang On-line for making the capital contributions to the relevant affiliated consolidated entities under the loan agreements, as described in “—Loan Agreements,” shall offset the purchase price paid for any transfer of equity interest from the respective shareholders to Fenghuang On-line.</w:t>
      </w:r>
    </w:p>
    <w:p>
      <w:pPr>
        <w:spacing w:after="0" w:line="191"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Under the equity option agreements, the shareholders have agreed that, without Fenghuang On-line’s written consent, they will not take certain actions, including transferring any of their equity interests in the affiliated consolidated entities, disposing or causing the affiliated consolidated entities’ management to dispose of any of the entities’ tangible or intangible assets, terminating any material agreement to which the affiliated consolidated entities are party, appointing or removing any of the affiliated consolidated entities’ directors, supervisors or management members, causing or endorsing the declaration or actual distribution of any profit, bonus, dividends or interests of the affiliated consolidated entities, or causing or endorsing any lending or borrowing or provision of any guarantee or creation of any other security interest other than in the normal course of business, among other actions.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The term of each equity option agreement will expire when all of the equity interests in the relevant affiliated consolidated entities have been duly transferred to Fenghuang On-line or its designated representative. In addition, the equity option agreements provide that neither of the affiliated consolidated entities nor their shareholders may terminate such agreements under any circumstances or on any ground.</w:t>
      </w:r>
    </w:p>
    <w:p>
      <w:pPr>
        <w:spacing w:after="0" w:line="176" w:lineRule="exact"/>
        <w:rPr>
          <w:sz w:val="20"/>
          <w:szCs w:val="20"/>
          <w:color w:val="auto"/>
        </w:rPr>
      </w:pPr>
    </w:p>
    <w:p>
      <w:pPr>
        <w:ind w:right="200" w:firstLine="441"/>
        <w:spacing w:after="0" w:line="266" w:lineRule="auto"/>
        <w:rPr>
          <w:sz w:val="20"/>
          <w:szCs w:val="20"/>
          <w:color w:val="auto"/>
        </w:rPr>
      </w:pPr>
      <w:r>
        <w:rPr>
          <w:rFonts w:ascii="Times New Roman" w:cs="Times New Roman" w:eastAsia="Times New Roman" w:hAnsi="Times New Roman"/>
          <w:sz w:val="18"/>
          <w:szCs w:val="18"/>
          <w:color w:val="auto"/>
        </w:rPr>
        <w:t>The equity option agreements provide that any disputes shall be resolved by the parties through negotiation, and if the parties cannot reach an agreement within thirty days, the dispute shall be submitted to the China International Economic and Trade Arbitration Commission in Beijing. The arbitral awards shall be final and binding upon both parties.</w:t>
      </w:r>
    </w:p>
    <w:p>
      <w:pPr>
        <w:spacing w:after="0" w:line="174" w:lineRule="exact"/>
        <w:rPr>
          <w:sz w:val="20"/>
          <w:szCs w:val="20"/>
          <w:color w:val="auto"/>
        </w:rPr>
      </w:pPr>
    </w:p>
    <w:p>
      <w:pPr>
        <w:ind w:right="120" w:firstLine="441"/>
        <w:spacing w:after="0" w:line="259" w:lineRule="auto"/>
        <w:rPr>
          <w:sz w:val="20"/>
          <w:szCs w:val="20"/>
          <w:color w:val="auto"/>
        </w:rPr>
      </w:pPr>
      <w:r>
        <w:rPr>
          <w:rFonts w:ascii="Times New Roman" w:cs="Times New Roman" w:eastAsia="Times New Roman" w:hAnsi="Times New Roman"/>
          <w:sz w:val="18"/>
          <w:szCs w:val="18"/>
          <w:i w:val="1"/>
          <w:iCs w:val="1"/>
          <w:color w:val="auto"/>
        </w:rPr>
        <w:t>Loan Agreements</w:t>
      </w:r>
      <w:r>
        <w:rPr>
          <w:rFonts w:ascii="Times New Roman" w:cs="Times New Roman" w:eastAsia="Times New Roman" w:hAnsi="Times New Roman"/>
          <w:sz w:val="18"/>
          <w:szCs w:val="18"/>
          <w:color w:val="auto"/>
        </w:rPr>
        <w:t>. Pursuant to the loan agreements among Fenghuang On-line and the respective shareholders of each of the affiliated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Fenghuang On-line granted interest-free loans to the shareholders of the affiliated consolidated entities in an amount equal to their respective capital contribution in the affiliated consolidated entities. The loans can be repaid only with proceeds from the sale of all of the respective shareholder’s equity interests in the applicable affiliated consolidated entity to Fenghuang On-line or its designated representatives pursuant to the applicable equity option agreement.</w:t>
      </w:r>
    </w:p>
    <w:p>
      <w:pPr>
        <w:spacing w:after="0" w:line="182" w:lineRule="exact"/>
        <w:rPr>
          <w:sz w:val="20"/>
          <w:szCs w:val="20"/>
          <w:color w:val="auto"/>
        </w:rPr>
      </w:pPr>
    </w:p>
    <w:p>
      <w:pPr>
        <w:ind w:right="20" w:firstLine="441"/>
        <w:spacing w:after="0" w:line="289" w:lineRule="auto"/>
        <w:rPr>
          <w:sz w:val="20"/>
          <w:szCs w:val="20"/>
          <w:color w:val="auto"/>
        </w:rPr>
      </w:pPr>
      <w:r>
        <w:rPr>
          <w:rFonts w:ascii="Times New Roman" w:cs="Times New Roman" w:eastAsia="Times New Roman" w:hAnsi="Times New Roman"/>
          <w:sz w:val="17"/>
          <w:szCs w:val="17"/>
          <w:color w:val="auto"/>
        </w:rPr>
        <w:t>The term of each loan is ten years from the execution of the applicable loan agreement, and may be extended upon mutual agreement of the parties. Any disputes shall be resolved by the parties through negotiation, and if the parties cannot reach an agreement within thirty days, the dispute shall be submitted to the China International Economic and Trade Arbitration Commission in Beijing. The arbitral awards shall be final and binding upon both parties.</w:t>
      </w:r>
    </w:p>
    <w:p>
      <w:pPr>
        <w:spacing w:after="0" w:line="156"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Equity Pledge Agreements</w:t>
      </w:r>
      <w:r>
        <w:rPr>
          <w:rFonts w:ascii="Times New Roman" w:cs="Times New Roman" w:eastAsia="Times New Roman" w:hAnsi="Times New Roman"/>
          <w:sz w:val="18"/>
          <w:szCs w:val="18"/>
          <w:color w:val="auto"/>
        </w:rPr>
        <w:t>. Each of the affiliated consolidated entities, their respective shareholders and Fenghuang On-line, have entered into an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pledge agreement. Under the equity pledge agreements, the shareholders have pledged their respective equity interests in the affiliated consolidated entities to Fenghuang On-line to secure the performance of the obligations of the affiliated consolidated entities and the shareholders under the applicable technical service agreements, voting right entrustment agreements, equity option agreements and loan agreements, including, among others, the payment of the service fees, the entrustment of the shareholders’ voting rights in the affiliated consolidated entities, the conditional transfer of the shareholders’ equity interests in the affiliated consolidated entities and the repayment of the shareholder loans with proceeds from the transfer of the shareholders’ equity interests, respectively. All registrations necessary to secure the enforceability of each of the equity pledge agreements have been completed.</w:t>
      </w:r>
    </w:p>
    <w:p>
      <w:pPr>
        <w:spacing w:after="0" w:line="185" w:lineRule="exact"/>
        <w:rPr>
          <w:sz w:val="20"/>
          <w:szCs w:val="20"/>
          <w:color w:val="auto"/>
        </w:rPr>
      </w:pPr>
    </w:p>
    <w:p>
      <w:pPr>
        <w:jc w:val="both"/>
        <w:ind w:right="560" w:firstLine="450"/>
        <w:spacing w:after="0" w:line="266" w:lineRule="auto"/>
        <w:rPr>
          <w:sz w:val="20"/>
          <w:szCs w:val="20"/>
          <w:color w:val="auto"/>
        </w:rPr>
      </w:pPr>
      <w:r>
        <w:rPr>
          <w:rFonts w:ascii="Times New Roman" w:cs="Times New Roman" w:eastAsia="Times New Roman" w:hAnsi="Times New Roman"/>
          <w:sz w:val="18"/>
          <w:szCs w:val="18"/>
          <w:color w:val="auto"/>
        </w:rPr>
        <w:t>The term of each equity pledge agreement will expire when the secured obligations have been fully performed or released. Any disputes shall be resolved by the parties through negotiation, and if the parties cannot reach an agreement within thirty days, the dispute shall be submitted to the China International Economic and Trade Arbitration Commission in Beijing. The arbitral awards shall be final and binding upon both parties.</w:t>
      </w:r>
    </w:p>
    <w:p>
      <w:pPr>
        <w:sectPr>
          <w:pgSz w:w="11900" w:h="16852" w:orient="portrait"/>
          <w:cols w:equalWidth="0" w:num="1">
            <w:col w:w="11420"/>
          </w:cols>
          <w:pgMar w:left="240" w:top="121" w:right="239" w:bottom="0" w:gutter="0" w:footer="0" w:header="0"/>
        </w:sectPr>
      </w:pPr>
    </w:p>
    <w:bookmarkStart w:id="57" w:name="page58"/>
    <w:bookmarkEnd w:id="57"/>
    <w:p>
      <w:pPr>
        <w:spacing w:after="0" w:line="9" w:lineRule="exact"/>
        <w:rPr>
          <w:sz w:val="20"/>
          <w:szCs w:val="20"/>
          <w:color w:val="auto"/>
        </w:rPr>
      </w:pPr>
    </w:p>
    <w:p>
      <w:pPr>
        <w:ind w:right="60" w:firstLine="450"/>
        <w:spacing w:after="0" w:line="253" w:lineRule="auto"/>
        <w:rPr>
          <w:sz w:val="20"/>
          <w:szCs w:val="20"/>
          <w:color w:val="auto"/>
        </w:rPr>
      </w:pPr>
      <w:r>
        <w:rPr>
          <w:rFonts w:ascii="Times New Roman" w:cs="Times New Roman" w:eastAsia="Times New Roman" w:hAnsi="Times New Roman"/>
          <w:sz w:val="18"/>
          <w:szCs w:val="18"/>
          <w:color w:val="auto"/>
        </w:rPr>
        <w:t>We have been advised by our PRC legal counsel, Zhong Lun Law Firm, that the structure for operating our business in China (including our corporate structure and our contractual arrangements with our affiliated consolidated entities) complies with all applicable PRC laws, rules and regulations, and does not violate, breach, contravene or otherwise conflict with any applicable PRC laws, rules or regulations. However, there are uncertainties regarding the interpretation and application of the relevant PRC laws, rules and regulations. Accordingly, there can be no assurance that the PRC regulatory authorities will not take a view that is contrary to the opinion of our PRC legal counsel. Our PRC legal counsel has further advised that if a PRC government authority determines that our corporate structure, the contractual arrangements or the reorganization to establish our current corporate structure violates any applicable PRC laws, rules or regulations, the contractual arrangements will become invalid or unenforceable, and we could be subject to severe penalties and required to obtain additional governmental approvals from the PRC regulatory authorities. See “Item 3. Key Information—D. Risk Factors—Risks Relating to Our Corporate Structure—If the PRC government finds that the agreements that establish the structure for operating our businesses in China do not comply with PRC governmental restrictions on foreign investment in Internet businesses, or if these regulations or the interpretation of existing regulations change in the future, we would be subject to severe penalties or be forced to relinquish our interests in those operations” and “Item 3. Key Information—D. Risk Factors— Risks Relating to Doing Business in China—Uncertainties with respect to the PRC legal system could limit the protections available to you and us.”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Relationship with Phoenix TV</w:t>
      </w:r>
    </w:p>
    <w:p>
      <w:pPr>
        <w:spacing w:after="0" w:line="229" w:lineRule="exact"/>
        <w:rPr>
          <w:sz w:val="20"/>
          <w:szCs w:val="20"/>
          <w:color w:val="auto"/>
        </w:rPr>
      </w:pPr>
    </w:p>
    <w:p>
      <w:pPr>
        <w:ind w:right="180" w:firstLine="441"/>
        <w:spacing w:after="0" w:line="261" w:lineRule="auto"/>
        <w:rPr>
          <w:sz w:val="20"/>
          <w:szCs w:val="20"/>
          <w:color w:val="auto"/>
        </w:rPr>
      </w:pPr>
      <w:r>
        <w:rPr>
          <w:rFonts w:ascii="Times New Roman" w:cs="Times New Roman" w:eastAsia="Times New Roman" w:hAnsi="Times New Roman"/>
          <w:sz w:val="18"/>
          <w:szCs w:val="18"/>
          <w:color w:val="auto"/>
        </w:rPr>
        <w:t>We are currently a subsidiary of Phoenix TV, the leading Hong Kong-based satellite TV network broadcasting Chinese language content globally and into China. Phoenix TV owned 55.5% of our outstanding ordinary shares and 61.8% of the voting power of our ordinary shares as of March 31, 2017. Phoenix TV first reported its new media business as one of its business segments in its annual report submitted to the Hong Kong Stock Exchange for the year ended December 31, 2007.</w:t>
      </w:r>
    </w:p>
    <w:p>
      <w:pPr>
        <w:spacing w:after="0" w:line="180" w:lineRule="exact"/>
        <w:rPr>
          <w:sz w:val="20"/>
          <w:szCs w:val="20"/>
          <w:color w:val="auto"/>
        </w:rPr>
      </w:pPr>
    </w:p>
    <w:p>
      <w:pPr>
        <w:ind w:right="100" w:firstLine="441"/>
        <w:spacing w:after="0" w:line="253" w:lineRule="auto"/>
        <w:rPr>
          <w:sz w:val="20"/>
          <w:szCs w:val="20"/>
          <w:color w:val="auto"/>
        </w:rPr>
      </w:pPr>
      <w:r>
        <w:rPr>
          <w:rFonts w:ascii="Times New Roman" w:cs="Times New Roman" w:eastAsia="Times New Roman" w:hAnsi="Times New Roman"/>
          <w:sz w:val="18"/>
          <w:szCs w:val="18"/>
          <w:color w:val="auto"/>
        </w:rPr>
        <w:t>Fenghuang On-line and Phoenix TV entered into a cooperation agreement, or the Phoenix TV Cooperation Agreement, on November 24, 2009, which expired on May 27, 2016. Under this agreement, Fenghuang On-line and Phoenix TV agreed to certain cooperative arrangements in the areas of content, branding promotion and technology. Pursuant to the Phoenix TV Cooperation Agreement, in November 2009 each of our affiliated consolidated entities entered into a program content license agreement, or Content License Agreement, with Phoenix Satellite Television Company Limited and a trademark license agreement, or Trademark License Agreement, with Phoenix Satellite Television Trademark Limited. Considering the significant growth and changes in our business since execution of these agreements in 2009, we and Phoenix TV Group entered into a new set of agreements in May 2016, or the New Agreements, to amend and replace the previous agreements and provide the terms of our continued cooperation. The New Agreements include Program Resource License Agreements and Program Text/Graphics Resource License Agreements, or the Program License Agreements, between Phoenix Satellite Television Company Limited and each of Tianying Jiuzhou, Yifeng Lianhe and another subsidiary of us, and a Third Supplemental Agreement to the Trademark License Agreement by and among Phoenix Satellite Television Trademark Limited and both Tianying Jiuzhou and Yifeng Lianhe. Unlike the previous agreements, the New Agreements do not grant us the right to sublicense Phoenix TV Group’s copyrighted content to third parties. While we are in the process of negotiating with Phoenix TV Group to potentially re-acquire such right of sublicense, we cannot assure you that we will be able to re-acquire such right at reasonable costs or at all.</w:t>
      </w:r>
    </w:p>
    <w:p>
      <w:pPr>
        <w:spacing w:after="0" w:line="18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Pursuant to the Program License Agreements, Phoenix TV Group agreed to grant our affiliated consolidated entities and another subsidiary of us the license with priority over any third party to broadcast Phoenix TV Group’s copyrighted video content from three television channels of Phoenix TV Group on ifeng.com (our main Internet channel), i.ifeng.com (a mobile Internet channel of ours), and ifeng News, ifeng Video and ifeng VIP (three mobile applications of ours) in China (excluding Hong Kong, Macau and Taiwan) concurrently with such content broadcasted on the three television channels of Phoenix TV Group. Phoenix TV Group also agreed to grant our affiliated consolidated entities and another subsidiary of us a non-exclusive license to use Phoenix TV Group’s copyrighted text and graphics on the same Internet and mobile channels of ours in China for which Phoenix TV Group’s copyrighted video content license, above, was granted. These licenses help to distinguish our content offerings from those of other Internet and new media companies in China. The fees payable to Phoenix TV Group by us for all content licenses described above will be RMB10.0 million for the first year of the agreements, which will incrementally increase by 15% for each subsequent year of the agreements.</w:t>
      </w:r>
    </w:p>
    <w:p>
      <w:pPr>
        <w:spacing w:after="0" w:line="189" w:lineRule="exact"/>
        <w:rPr>
          <w:sz w:val="20"/>
          <w:szCs w:val="20"/>
          <w:color w:val="auto"/>
        </w:rPr>
      </w:pPr>
    </w:p>
    <w:p>
      <w:pPr>
        <w:ind w:right="60" w:firstLine="441"/>
        <w:spacing w:after="0" w:line="257" w:lineRule="auto"/>
        <w:rPr>
          <w:sz w:val="20"/>
          <w:szCs w:val="20"/>
          <w:color w:val="auto"/>
        </w:rPr>
      </w:pPr>
      <w:r>
        <w:rPr>
          <w:rFonts w:ascii="Times New Roman" w:cs="Times New Roman" w:eastAsia="Times New Roman" w:hAnsi="Times New Roman"/>
          <w:sz w:val="18"/>
          <w:szCs w:val="18"/>
          <w:color w:val="auto"/>
        </w:rPr>
        <w:t>Each of the Program License Agreements has an initial term of three years and will expire on May 26, 2019 and may be renewed on an annual basis thereafter upon agreement of both parties. Each of the parties to the Program License Agreements has the right to terminate the Program License Agreements before their expiration date by 6-month prior written notice to the other party. In addition, each of the Program License Agreements can be terminated earlier</w:t>
      </w:r>
    </w:p>
    <w:p>
      <w:pPr>
        <w:spacing w:after="0" w:line="2" w:lineRule="exact"/>
        <w:rPr>
          <w:sz w:val="20"/>
          <w:szCs w:val="20"/>
          <w:color w:val="auto"/>
        </w:rPr>
      </w:pPr>
    </w:p>
    <w:p>
      <w:pPr>
        <w:ind w:firstLine="8"/>
        <w:spacing w:after="0" w:line="252" w:lineRule="auto"/>
        <w:tabs>
          <w:tab w:leader="none" w:pos="2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non-breaching party in the event of a breach and if the breach is not cured within ten business days after receipt of notice of breach from the non-breaching party, (ii) in the event of bankruptcy or the cessation of business operations of either party, or a change in the shareholder or equity structure of the relevant affiliated consolidated entity, other than in connection with the contractual arrangements, (iii) by Phoenix Satellite Television Company Limited in the event that our shareholders or ownership structure change so that the shares held by Phoenix TV Group account for 50% or less of our actual total issued shares, or in the event that we lose control of Tianying Jiuzhou, Yifeng Lianhe or the another subsidiary of us; or if Tianying Jiuzhou, Yifeng Lianhe or the another subsidiary of us, as applicable, ceases business operation; (iv) if either party’s performance of its obligations is held unlawful under PRC law; or (v) if an event occurs that adversely affects the performance by either party of its obligations and upon written notice by the unaffected party.</w:t>
      </w:r>
    </w:p>
    <w:p>
      <w:pPr>
        <w:spacing w:after="0" w:line="18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In addition, our affiliated consolidated entities are able to use certain of Phoenix TV Group’s logos pursuant to the Trademark License Agreements. We believe that our use of these logos helps to affiliate us with the brand of Phoenix TV, which helps to enhance our own brand. Tianying Jiuzhou and Yifeng Lianhe are obligated to pay annual license fees of US$7,000 and US$3,000, respectively, under the Trademark License Agreements, which fees are not subject to adjustment and may be waived at the discretion of Phoenix TV Group. Each of these agreements may be terminated earlier (i) by agreement of both parties in writing or (ii) by the non-breaching party in the event of a material breach by the other party of any covenant or a material failure by such party to perform any of its obligation and if the breach or failure, as applicable, is not rectified within ten days of receipt of written notice from the non-breaching party. Pursuant to the Third Supplemental Agreement to the Trademark License Agreements by and among Phoenix Satellite Television Trademark Limited and both Tianying Jiuzhou and Yifeng Lianhe, the Trademark License Agreements were extended until the earlier of (x) two months after the effective date of Phoenix TV’s trademark licensing policy and (y) such time as we and Phoenix Satellite Television Trademark Limited enter into new trademark license agreements in accordance with Phoenix TV’s trademark licensing policy.</w:t>
      </w:r>
    </w:p>
    <w:p>
      <w:pPr>
        <w:spacing w:after="0" w:line="186"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We have a mutually beneficial relationship with Phoenix TV. We and Phoenix TV share a common vision of the convergence of traditional and new media channels, and work together to realize this vision. While we furnish Phoenix TV with access to our new media delivery channels, Phoenix TV enables us to display our proprietary content on its TV programs. We believe that our and Phoenix TV’s active promotion of one another’s brands on our respective Internet-enabled and TV platforms helps to grow our combined audience synergistically.</w:t>
      </w:r>
    </w:p>
    <w:p>
      <w:pPr>
        <w:sectPr>
          <w:pgSz w:w="11900" w:h="16848" w:orient="portrait"/>
          <w:cols w:equalWidth="0" w:num="1">
            <w:col w:w="11400"/>
          </w:cols>
          <w:pgMar w:left="240" w:top="337" w:right="259" w:bottom="0" w:gutter="0" w:footer="0" w:header="0"/>
        </w:sectPr>
      </w:pPr>
    </w:p>
    <w:bookmarkStart w:id="58" w:name="page59"/>
    <w:bookmarkEnd w:id="58"/>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On February 17, 2014, our Chief Executive Officer Mr. Shuang Liu, was also promoted to the position of Chief Operating Officer of Phoenix TV. The key initiative for his new position at Phoenix TV is to accelerate the convergence of TV, Internet and mobile platforms of the two companies. In his new role, Mr. Liu is tasked with strategizing, overseeing and allocating resources to implement this convergence strategy. Through this appointment, both companies can more seamlessly expand user reach on each of its media platforms, provide advertisers a one-stop shop solution, more effectively monetize the Phoenix brand across all verticals, and achieve greater cost synergies.</w:t>
      </w:r>
    </w:p>
    <w:p>
      <w:pPr>
        <w:spacing w:after="0" w:line="184" w:lineRule="exact"/>
        <w:rPr>
          <w:sz w:val="20"/>
          <w:szCs w:val="20"/>
          <w:color w:val="auto"/>
        </w:rPr>
      </w:pPr>
    </w:p>
    <w:p>
      <w:pPr>
        <w:ind w:right="40" w:firstLine="495"/>
        <w:spacing w:after="0" w:line="256" w:lineRule="auto"/>
        <w:rPr>
          <w:sz w:val="20"/>
          <w:szCs w:val="20"/>
          <w:color w:val="auto"/>
        </w:rPr>
      </w:pPr>
      <w:r>
        <w:rPr>
          <w:rFonts w:ascii="Times New Roman" w:cs="Times New Roman" w:eastAsia="Times New Roman" w:hAnsi="Times New Roman"/>
          <w:sz w:val="18"/>
          <w:szCs w:val="18"/>
          <w:color w:val="auto"/>
        </w:rPr>
        <w:t>Although we believe that our interests and those of Phoenix TV are mostly aligned because Phoenix TV will continue to consolidate our financial results as long as Phoenix TV maintains a majority voting interest in our company, there may be conflicts of interest between our company and Phoenix TV from time to time. We may not be able to resolve any potential conflicts, and even if we do so, the resolution may be less favorable to us than if we were dealing with a non-controlling shareholder. For more information about our potential conflicts of interest with Phoenix TV, see “Item 3. Key Information—D. Risk Factors—Risks Relating to Our Corporate Structure—We may have conflicts of interest with Phoenix TV and, because of Phoenix TV’s controlling beneficial ownership interest in our company, may not be able to resolve such conflicts on terms favorable for 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 of Phoenix New Media Limited</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 exhibit containing a list of our significant subsidiaries has been filed with this annual report.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hanging="452"/>
        <w:spacing w:after="0"/>
        <w:tabs>
          <w:tab w:leader="none" w:pos="4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Plants and Equipment</w:t>
      </w:r>
    </w:p>
    <w:p>
      <w:pPr>
        <w:spacing w:after="0" w:line="229"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Please refer to “B. Business Overview—Facilities” for a discussion of our property, plants and equipment.</w:t>
      </w:r>
    </w:p>
    <w:p>
      <w:pPr>
        <w:spacing w:after="0" w:line="22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OPERATING AND FINANCIAL REVIEW AND PROSPECTS</w:t>
      </w:r>
    </w:p>
    <w:p>
      <w:pPr>
        <w:spacing w:after="0" w:line="229"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Unless otherwise states, the discussion and analysis of our financial condition and results of operation in this section apply to our financial information as prepared according to U.S. GAAP. You should read the following discussion and analysis of our financial condition and operating results in conjunction with our consolidated financial statements and the related notes included elsewhere in this annual report. The following discussion contains forward-looking statements based upon current expectations that involve risks and uncertainties. Our actual results and the timing of selected events may differ materially from those anticipated in these forward-looking statements as a result of various factors, including those set forth under “Item 3. Key Information—D. Risk Factors.”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We are a leading new media company providing premium content on an integrated Internet platform, including PC and mobile, in China. Having originated from a leading global Chinese language TV network based in Hong Kong, Phoenix TV, we enable consumers to access professional news and other quality information and UGC, on the Internet and through their PCs and mobile devices. We also transmit our UGC and in-house produced content to TV viewers primarily through Phoenix TV. Our PC channel includes major verticals such as news, military, finance, web-based games, and digital reading. Our mobile channel includes our mobile news applications, mobile video application, mobile Internet website (“WAP”), mobile digital reading application, and fashion application. We also act as a service provider for telecom operators, providing content and mobile value-added services. The appeal of our brand is enhanced by its affiliation with the “Phoenix” ( ) brand of Phoenix TV.</w:t>
      </w:r>
    </w:p>
    <w:p>
      <w:pPr>
        <w:spacing w:after="0" w:line="189" w:lineRule="exact"/>
        <w:rPr>
          <w:sz w:val="20"/>
          <w:szCs w:val="20"/>
          <w:color w:val="auto"/>
        </w:rPr>
      </w:pPr>
    </w:p>
    <w:p>
      <w:pPr>
        <w:ind w:right="140" w:firstLine="441"/>
        <w:spacing w:after="0" w:line="261" w:lineRule="auto"/>
        <w:rPr>
          <w:sz w:val="20"/>
          <w:szCs w:val="20"/>
          <w:color w:val="auto"/>
        </w:rPr>
      </w:pPr>
      <w:r>
        <w:rPr>
          <w:rFonts w:ascii="Times New Roman" w:cs="Times New Roman" w:eastAsia="Times New Roman" w:hAnsi="Times New Roman"/>
          <w:sz w:val="18"/>
          <w:szCs w:val="18"/>
          <w:color w:val="auto"/>
        </w:rPr>
        <w:t>According to iResearch, our number of PC daily unique visitors was 37.7 million, and number of monthly unique visitors was 274.1 million in December 2016. We have ranked third among all Internet portals in China in terms of daily unique visitors in December 2016, according to iResearch. According to our internal data, our aggregated mobile daily unique visitors from mobile website i.ifeng.com and mobile applications reached 35.0 million in December 2016. We earn revenues from advertising and paid services, which accounted for 85.3% and 14.7% of our total revenues, respectively, in 2016.</w:t>
      </w:r>
    </w:p>
    <w:p>
      <w:pPr>
        <w:spacing w:after="0" w:line="180"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Our net advertising revenues accounted for 72.7%, 76.2% and 85.3% of our total revenues in 2014, 2015 and 2016, respectively. We provide advertising services through PC channel and mobile channel, which accounted for 56.7% and 43.3% of our net advertising revenues respectively in 2016. We recognize revenues from our advertising services on a net basis, after deducting the agency service fees we pay to advertising agencies.</w:t>
      </w:r>
    </w:p>
    <w:p>
      <w:pPr>
        <w:spacing w:after="0" w:line="176" w:lineRule="exact"/>
        <w:rPr>
          <w:sz w:val="20"/>
          <w:szCs w:val="20"/>
          <w:color w:val="auto"/>
        </w:rPr>
      </w:pPr>
    </w:p>
    <w:p>
      <w:pPr>
        <w:ind w:right="100" w:firstLine="441"/>
        <w:spacing w:after="0" w:line="276" w:lineRule="auto"/>
        <w:rPr>
          <w:sz w:val="20"/>
          <w:szCs w:val="20"/>
          <w:color w:val="auto"/>
        </w:rPr>
      </w:pPr>
      <w:r>
        <w:rPr>
          <w:rFonts w:ascii="Times New Roman" w:cs="Times New Roman" w:eastAsia="Times New Roman" w:hAnsi="Times New Roman"/>
          <w:sz w:val="17"/>
          <w:szCs w:val="17"/>
          <w:color w:val="auto"/>
        </w:rPr>
        <w:t>We offer a wide variety of paid services primarily through our mobile channel and operations with the telecom operators. We classify our paid services into (i) digital entertainment, which includes mobile value-added services delivered through telecom operators’ platforms, or MVAS, and digital reading, and</w:t>
      </w:r>
    </w:p>
    <w:p>
      <w:pPr>
        <w:spacing w:after="0" w:line="1" w:lineRule="exact"/>
        <w:rPr>
          <w:sz w:val="20"/>
          <w:szCs w:val="20"/>
          <w:color w:val="auto"/>
        </w:rPr>
      </w:pPr>
    </w:p>
    <w:p>
      <w:pPr>
        <w:ind w:right="180" w:firstLine="8"/>
        <w:spacing w:after="0" w:line="252" w:lineRule="auto"/>
        <w:tabs>
          <w:tab w:leader="none" w:pos="26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games and others, which includes web-based games, mobile games, content sales, and other online and mobile paid services through our own platforms. Prior to 2016, our paid service revenues mainly comprised of the revenues generated from MVAS and games and others. Digital reading was previously classified under “games and others”. In order to align with our overall strategies, in 2016, digital reading was re-classified from “Games and others”, and digital reading together with MVAS was determined as “Digital entertainment”. We derived 74.6% and 25.4% of our paid services revenues, respectively, from our digital entertainment, and games and others in 2016. Due to a decrease in revenues generated from MVAS, our paid services revenues decreased from RMB382.7 million in 2015 to RMB212.7 million (US$30.6 million) in 2016.</w:t>
      </w:r>
    </w:p>
    <w:p>
      <w:pPr>
        <w:spacing w:after="0" w:line="190" w:lineRule="exact"/>
        <w:rPr>
          <w:sz w:val="20"/>
          <w:szCs w:val="20"/>
          <w:color w:val="auto"/>
        </w:rPr>
      </w:pPr>
    </w:p>
    <w:p>
      <w:pPr>
        <w:ind w:right="140" w:firstLine="450"/>
        <w:spacing w:after="0" w:line="261" w:lineRule="auto"/>
        <w:rPr>
          <w:sz w:val="20"/>
          <w:szCs w:val="20"/>
          <w:color w:val="auto"/>
        </w:rPr>
      </w:pPr>
      <w:r>
        <w:rPr>
          <w:rFonts w:ascii="Times New Roman" w:cs="Times New Roman" w:eastAsia="Times New Roman" w:hAnsi="Times New Roman"/>
          <w:sz w:val="18"/>
          <w:szCs w:val="18"/>
          <w:color w:val="auto"/>
        </w:rPr>
        <w:t>Our business and operating results are affected by general factors affecting China’s new media industry, which include China’s overall economic growth, per capita disposable income, the trend of media convergence, growth of new media and its popularity as an advertising medium, growth of Internet (including mobile Internet) penetration, adoption of paid services, including 3G /4G mobile services, and smart phones. Unfavorable changes in any of these general industry conditions could negatively affect demand for our services and negatively and materially affect our operating results.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04"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business, operating results, financial condition and future growth are more directly affected by company specific factors and trends, including:</w:t>
      </w:r>
    </w:p>
    <w:p>
      <w:pPr>
        <w:spacing w:after="0" w:line="225" w:lineRule="exact"/>
        <w:rPr>
          <w:sz w:val="20"/>
          <w:szCs w:val="20"/>
          <w:color w:val="auto"/>
        </w:rPr>
      </w:pPr>
    </w:p>
    <w:p>
      <w:pPr>
        <w:ind w:left="1380" w:hanging="607"/>
        <w:spacing w:after="0"/>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expand our target user base;</w:t>
      </w:r>
    </w:p>
    <w:p>
      <w:pPr>
        <w:spacing w:after="0" w:line="225" w:lineRule="exact"/>
        <w:rPr>
          <w:rFonts w:ascii="Times New Roman" w:cs="Times New Roman" w:eastAsia="Times New Roman" w:hAnsi="Times New Roman"/>
          <w:sz w:val="18"/>
          <w:szCs w:val="18"/>
          <w:color w:val="auto"/>
        </w:rPr>
      </w:pPr>
    </w:p>
    <w:p>
      <w:pPr>
        <w:ind w:left="1380" w:hanging="607"/>
        <w:spacing w:after="0"/>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effective advertising services and enhance our pricing power;</w:t>
      </w:r>
    </w:p>
    <w:p>
      <w:pPr>
        <w:spacing w:after="0" w:line="225" w:lineRule="exact"/>
        <w:rPr>
          <w:rFonts w:ascii="Times New Roman" w:cs="Times New Roman" w:eastAsia="Times New Roman" w:hAnsi="Times New Roman"/>
          <w:sz w:val="18"/>
          <w:szCs w:val="18"/>
          <w:color w:val="auto"/>
        </w:rPr>
      </w:pPr>
    </w:p>
    <w:p>
      <w:pPr>
        <w:ind w:left="1380" w:hanging="607"/>
        <w:spacing w:after="0"/>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paid services on both mobile operators’ platforms and our own platforms; and</w:t>
      </w:r>
    </w:p>
    <w:p>
      <w:pPr>
        <w:spacing w:after="0" w:line="225" w:lineRule="exact"/>
        <w:rPr>
          <w:rFonts w:ascii="Times New Roman" w:cs="Times New Roman" w:eastAsia="Times New Roman" w:hAnsi="Times New Roman"/>
          <w:sz w:val="18"/>
          <w:szCs w:val="18"/>
          <w:color w:val="auto"/>
        </w:rPr>
      </w:pPr>
    </w:p>
    <w:p>
      <w:pPr>
        <w:ind w:left="1380" w:hanging="607"/>
        <w:spacing w:after="0"/>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procure and produce content in a cost-effective manner.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300" w:firstLine="441"/>
        <w:spacing w:after="0" w:line="261" w:lineRule="auto"/>
        <w:rPr>
          <w:sz w:val="20"/>
          <w:szCs w:val="20"/>
          <w:color w:val="auto"/>
        </w:rPr>
      </w:pPr>
      <w:r>
        <w:rPr>
          <w:rFonts w:ascii="Times New Roman" w:cs="Times New Roman" w:eastAsia="Times New Roman" w:hAnsi="Times New Roman"/>
          <w:sz w:val="18"/>
          <w:szCs w:val="18"/>
          <w:color w:val="auto"/>
        </w:rPr>
        <w:t>The following descriptions of critical accounting policies, judgments and estimates should be read in conjunction with our consolidated financial statements and other disclosures included in this annual report. When reviewing our financial statements, you should consider (i) our selection of critical accounting policies, (ii) judgment and other uncertainties affecting the application of such policies and (iii) the sensitivity of reported results to changes in conditions and assumptions.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Principles of Consolidation and Recognition of Noncontrolling Interests</w:t>
      </w:r>
    </w:p>
    <w:p>
      <w:pPr>
        <w:spacing w:after="0" w:line="227"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 xml:space="preserve">The consolidated financial statements include the financial statements of us, our subsidiaries, our affiliated consolidated entities, and the subsidiaries of our affiliated consolidated entities. The consolidated financial statements have been prepared in accordance with U.S. GAAP and on a going concern basis. All significant transactions and balances among us, our subsidiaries, our affiliated consolidated entities and the subsidiaries of our affiliated consolidated entities have been eliminated upon consolidation. We consolidate our affiliated consolidated entities and the subsidiaries of our affiliated consolidated entities as required by Accounting Standards Codification, or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because Fenghuang On-line holds all the variable interests of our affiliated consolidated entities and the subsidiaries of our affiliated consolidated entities and has been determined to be the primary beneficiary of our affiliated consolidated entities.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right="100" w:firstLine="441"/>
        <w:spacing w:after="0" w:line="255"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U.S.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such estimates. These estimates and assumptions include, but are not limited to, the accounting for advertising and paid services revenues, the determination of estimated selling prices of multiple elements revenues contract, accounting for income taxes and uncertain tax positions, allowance for doubtful accounts, share-based compensation, consolidation, foreign currency translation, determination of the estimated useful lives of property and equipment and intangible assets, assessment of impairment of long-lived assets and equity investments, determination of fair value of financial instruments, and determination of the fair value of retained equity interest in deconsolidation.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 xml:space="preserve">Revenue is recognized when persuasive evidence of an arrangement exists, the price is fixed or determinable, service is performed and the collectability of the related fee is reasonably assured. In October 2009, the Financial Accounting Standards Board, or the FASB, issued Accounting Standards Update, or ASU, 2009-13, </w:t>
      </w:r>
      <w:r>
        <w:rPr>
          <w:rFonts w:ascii="Times New Roman" w:cs="Times New Roman" w:eastAsia="Times New Roman" w:hAnsi="Times New Roman"/>
          <w:sz w:val="18"/>
          <w:szCs w:val="18"/>
          <w:i w:val="1"/>
          <w:iCs w:val="1"/>
          <w:color w:val="auto"/>
        </w:rPr>
        <w:t>Multiple Deliverable Revenue Arrangements</w:t>
      </w:r>
      <w:r>
        <w:rPr>
          <w:rFonts w:ascii="Times New Roman" w:cs="Times New Roman" w:eastAsia="Times New Roman" w:hAnsi="Times New Roman"/>
          <w:sz w:val="18"/>
          <w:szCs w:val="18"/>
          <w:color w:val="auto"/>
        </w:rPr>
        <w:t>, to address the accounting for multiple-deliverable arrangements. We have applied ASU 2009-13 to all revenue arrangements for all years presented of the financial statements</w:t>
      </w:r>
    </w:p>
    <w:p>
      <w:pPr>
        <w:spacing w:after="0" w:line="178" w:lineRule="exact"/>
        <w:rPr>
          <w:sz w:val="20"/>
          <w:szCs w:val="20"/>
          <w:color w:val="auto"/>
        </w:rPr>
      </w:pPr>
    </w:p>
    <w:p>
      <w:pPr>
        <w:ind w:left="980" w:hanging="972"/>
        <w:spacing w:after="0"/>
        <w:tabs>
          <w:tab w:leader="none" w:pos="980" w:val="left"/>
        </w:tabs>
        <w:numPr>
          <w:ilvl w:val="0"/>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Advertising Revenues</w:t>
      </w:r>
    </w:p>
    <w:p>
      <w:pPr>
        <w:spacing w:after="0" w:line="227" w:lineRule="exact"/>
        <w:rPr>
          <w:sz w:val="20"/>
          <w:szCs w:val="20"/>
          <w:color w:val="auto"/>
        </w:rPr>
      </w:pPr>
    </w:p>
    <w:p>
      <w:pPr>
        <w:ind w:right="40" w:firstLine="576"/>
        <w:spacing w:after="0" w:line="266" w:lineRule="auto"/>
        <w:rPr>
          <w:sz w:val="20"/>
          <w:szCs w:val="20"/>
          <w:color w:val="auto"/>
        </w:rPr>
      </w:pPr>
      <w:r>
        <w:rPr>
          <w:rFonts w:ascii="Times New Roman" w:cs="Times New Roman" w:eastAsia="Times New Roman" w:hAnsi="Times New Roman"/>
          <w:sz w:val="18"/>
          <w:szCs w:val="18"/>
          <w:color w:val="auto"/>
        </w:rPr>
        <w:t>Advertising revenues are derived principally from advertising arrangements where the advertisers pay to place their advertisements on our ifeng.com, mobile Internet website i.ifeng.com and our mobile applications in different formats over a particular period of time. Such formats generally include but are not limited to banners, news feed, text-links, videos, logos, buttons and rich media.</w:t>
      </w:r>
    </w:p>
    <w:p>
      <w:pPr>
        <w:spacing w:after="0" w:line="176" w:lineRule="exact"/>
        <w:rPr>
          <w:sz w:val="20"/>
          <w:szCs w:val="20"/>
          <w:color w:val="auto"/>
        </w:rPr>
      </w:pPr>
    </w:p>
    <w:p>
      <w:pPr>
        <w:ind w:right="40" w:firstLine="567"/>
        <w:spacing w:after="0" w:line="254" w:lineRule="auto"/>
        <w:rPr>
          <w:sz w:val="20"/>
          <w:szCs w:val="20"/>
          <w:color w:val="auto"/>
        </w:rPr>
      </w:pPr>
      <w:r>
        <w:rPr>
          <w:rFonts w:ascii="Times New Roman" w:cs="Times New Roman" w:eastAsia="Times New Roman" w:hAnsi="Times New Roman"/>
          <w:sz w:val="18"/>
          <w:szCs w:val="18"/>
          <w:color w:val="auto"/>
        </w:rPr>
        <w:t>The majority of our advertising revenue arrangements involve multiple element deliverables, including placements of different advertisement formats on our website over different periods of time. We break down the multiple element arrangements into single units of accounting when possible, and allocate total consideration to each single unit of accounting using the relative selling price method. For most deliverables in its multiple element arrangements, we use management’s best estimate of the selling price in the allocation as the vendor-specific objective evidence or third-party evidence of selling price is not available for those deliverables. The best estimate of the selling price is determined based on the publicly published advertising rate card, times the relevant discount rates, which are taking into considerations of the historical trend, the pricing of advertising areas sold with similar popularities, advertisements with similar formats and quoted prices from competitors, and other relevant market conditions. We recognize revenue on the elements delivered and defers the recognition of revenue for the estimated value of the undelivered elements until the remaining obligations have been satisfied. Where all of the elements within an arrangement are delivered uniformly over the agreement period, the revenues are recognized on a straight-line basis over the contract period.</w:t>
      </w:r>
    </w:p>
    <w:p>
      <w:pPr>
        <w:spacing w:after="0" w:line="189" w:lineRule="exact"/>
        <w:rPr>
          <w:sz w:val="20"/>
          <w:szCs w:val="20"/>
          <w:color w:val="auto"/>
        </w:rPr>
      </w:pPr>
    </w:p>
    <w:p>
      <w:pPr>
        <w:ind w:right="400" w:firstLine="540"/>
        <w:spacing w:after="0" w:line="282" w:lineRule="auto"/>
        <w:rPr>
          <w:sz w:val="20"/>
          <w:szCs w:val="20"/>
          <w:color w:val="auto"/>
        </w:rPr>
      </w:pPr>
      <w:r>
        <w:rPr>
          <w:rFonts w:ascii="Times New Roman" w:cs="Times New Roman" w:eastAsia="Times New Roman" w:hAnsi="Times New Roman"/>
          <w:sz w:val="18"/>
          <w:szCs w:val="18"/>
          <w:color w:val="auto"/>
        </w:rPr>
        <w:t>Currently the advertising business has three main types of pricing models, consisting of the Fixed Price model, the Cost Per Impression (“CPM”) model, and the Cost Per Click (“CPC”) model.</w:t>
      </w:r>
    </w:p>
    <w:p>
      <w:pPr>
        <w:spacing w:after="0" w:line="160" w:lineRule="exact"/>
        <w:rPr>
          <w:sz w:val="20"/>
          <w:szCs w:val="20"/>
          <w:color w:val="auto"/>
        </w:rPr>
      </w:pPr>
    </w:p>
    <w:p>
      <w:pPr>
        <w:jc w:val="both"/>
        <w:ind w:right="500" w:firstLine="5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Fixed Price model. </w:t>
      </w:r>
      <w:r>
        <w:rPr>
          <w:rFonts w:ascii="Times New Roman" w:cs="Times New Roman" w:eastAsia="Times New Roman" w:hAnsi="Times New Roman"/>
          <w:sz w:val="18"/>
          <w:szCs w:val="18"/>
          <w:color w:val="auto"/>
        </w:rPr>
        <w:t>Under the Fixed Price model, advertisements on our website are generally charged on the basis of duration, and advertising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arrangements are entered to establish the fixed price and the advertising services to be provided. Where collectability is reasonably assured, advertising revenues from advertising contractual arrangements are recognized ratably over the contract period of display.</w:t>
      </w:r>
    </w:p>
    <w:p>
      <w:pPr>
        <w:sectPr>
          <w:pgSz w:w="11900" w:h="16838" w:orient="portrait"/>
          <w:cols w:equalWidth="0" w:num="1">
            <w:col w:w="11400"/>
          </w:cols>
          <w:pgMar w:left="240" w:top="121" w:right="259" w:bottom="54" w:gutter="0" w:footer="0" w:header="0"/>
        </w:sectPr>
      </w:pPr>
    </w:p>
    <w:bookmarkStart w:id="60" w:name="page61"/>
    <w:bookmarkEnd w:id="60"/>
    <w:p>
      <w:pPr>
        <w:ind w:right="100" w:firstLine="5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CPM model. </w:t>
      </w:r>
      <w:r>
        <w:rPr>
          <w:rFonts w:ascii="Times New Roman" w:cs="Times New Roman" w:eastAsia="Times New Roman" w:hAnsi="Times New Roman"/>
          <w:sz w:val="18"/>
          <w:szCs w:val="18"/>
          <w:color w:val="auto"/>
        </w:rPr>
        <w:t>Under the CPM model, the unit price for each qualifying display is fixed, but there is no overall fixed price for the advertising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stated in the contract with the advertiser. A qualifying display is defined as the appearance of an advertisement, where the advertisement meets criteria specified in the contract. Revenue is recognized based on the fees charged to the advertisers, which are based on the unit prices and the number of qualifying displays.</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 xml:space="preserve">CPC model. </w:t>
      </w:r>
      <w:r>
        <w:rPr>
          <w:rFonts w:ascii="Times New Roman" w:cs="Times New Roman" w:eastAsia="Times New Roman" w:hAnsi="Times New Roman"/>
          <w:sz w:val="18"/>
          <w:szCs w:val="18"/>
          <w:color w:val="auto"/>
        </w:rPr>
        <w:t>Under the CPC model, there is no overall fixed price for advertising services stated in the contract with the advertiser. We</w:t>
      </w:r>
    </w:p>
    <w:p>
      <w:pPr>
        <w:spacing w:after="0" w:line="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charge advertisers on a per-click basis when the users click on the advertisements. The unit price for each click is auction-based. The revenue is recognized based on qualified clicks and unit price.</w:t>
      </w:r>
    </w:p>
    <w:p>
      <w:pPr>
        <w:spacing w:after="0" w:line="180"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 xml:space="preserve">We provide cash incentives in the form of agency service fees to certain third-party advertising agencies based on their sales performance, and account for such incentives as a reduction of revenue in accordance with ASC 605-50-25, </w:t>
      </w:r>
      <w:r>
        <w:rPr>
          <w:rFonts w:ascii="Times New Roman" w:cs="Times New Roman" w:eastAsia="Times New Roman" w:hAnsi="Times New Roman"/>
          <w:sz w:val="18"/>
          <w:szCs w:val="18"/>
          <w:i w:val="1"/>
          <w:iCs w:val="1"/>
          <w:color w:val="auto"/>
        </w:rPr>
        <w:t>Customer Payments and Incentives: Recognition</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140" w:firstLine="441"/>
        <w:spacing w:after="0" w:line="259" w:lineRule="auto"/>
        <w:rPr>
          <w:sz w:val="20"/>
          <w:szCs w:val="20"/>
          <w:color w:val="auto"/>
        </w:rPr>
      </w:pPr>
      <w:r>
        <w:rPr>
          <w:rFonts w:ascii="Times New Roman" w:cs="Times New Roman" w:eastAsia="Times New Roman" w:hAnsi="Times New Roman"/>
          <w:sz w:val="18"/>
          <w:szCs w:val="18"/>
          <w:color w:val="auto"/>
        </w:rPr>
        <w:t xml:space="preserve">We enter into barter transactions involving advertising services and follow ASC 605-20, </w:t>
      </w:r>
      <w:r>
        <w:rPr>
          <w:rFonts w:ascii="Times New Roman" w:cs="Times New Roman" w:eastAsia="Times New Roman" w:hAnsi="Times New Roman"/>
          <w:sz w:val="18"/>
          <w:szCs w:val="18"/>
          <w:i w:val="1"/>
          <w:iCs w:val="1"/>
          <w:color w:val="auto"/>
        </w:rPr>
        <w:t>Revenue Recognition: Services</w:t>
      </w:r>
      <w:r>
        <w:rPr>
          <w:rFonts w:ascii="Times New Roman" w:cs="Times New Roman" w:eastAsia="Times New Roman" w:hAnsi="Times New Roman"/>
          <w:sz w:val="18"/>
          <w:szCs w:val="18"/>
          <w:color w:val="auto"/>
        </w:rPr>
        <w:t>. Such barter transactions should be recorded at fair value only if such value of the advertising surrendered in the transaction is determinable within reasonable limits. We did not recognize revenues and expenses for advertising-for-advertising barter transactions since the fair value of the advertising services surrendered or received in the transaction is not determinable. Except for advertising-for-advertising barter transactions, we recognize revenue from barter transactions involving exchanging advertising services for content, technical, application pre-installation services and others.</w:t>
      </w:r>
    </w:p>
    <w:p>
      <w:pPr>
        <w:spacing w:after="0" w:line="180" w:lineRule="exact"/>
        <w:rPr>
          <w:sz w:val="20"/>
          <w:szCs w:val="20"/>
          <w:color w:val="auto"/>
        </w:rPr>
      </w:pPr>
    </w:p>
    <w:p>
      <w:pPr>
        <w:ind w:left="980" w:hanging="972"/>
        <w:spacing w:after="0"/>
        <w:tabs>
          <w:tab w:leader="none" w:pos="98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Paid Services Revenues</w:t>
      </w:r>
    </w:p>
    <w:p>
      <w:pPr>
        <w:spacing w:after="0" w:line="227"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We offer a wide variety of paid services primarily through mobile channel and operations with the telecom operators. Prior to 2016, our paid service revenues mainly comprised of the revenues generated from MVAS and games and others. Digital reading was previously classified under “games and others”. In order to align with our overall strategies, in 2016, digital reading was re-classified from “Games and others”, and digital reading together with MVAS was determined as “Digital entertainment”.</w:t>
      </w:r>
    </w:p>
    <w:p>
      <w:pPr>
        <w:spacing w:after="0" w:line="180" w:lineRule="exact"/>
        <w:rPr>
          <w:sz w:val="20"/>
          <w:szCs w:val="20"/>
          <w:color w:val="auto"/>
        </w:rPr>
      </w:pPr>
    </w:p>
    <w:p>
      <w:pPr>
        <w:jc w:val="both"/>
        <w:ind w:right="120" w:firstLine="441"/>
        <w:spacing w:after="0" w:line="266" w:lineRule="auto"/>
        <w:rPr>
          <w:sz w:val="20"/>
          <w:szCs w:val="20"/>
          <w:color w:val="auto"/>
        </w:rPr>
      </w:pPr>
      <w:r>
        <w:rPr>
          <w:rFonts w:ascii="Times New Roman" w:cs="Times New Roman" w:eastAsia="Times New Roman" w:hAnsi="Times New Roman"/>
          <w:sz w:val="18"/>
          <w:szCs w:val="18"/>
          <w:color w:val="auto"/>
        </w:rPr>
        <w:t>As such, effective in 2016, paid services revenues now comprise of (i) revenues from digital entertainment, which includes MVAS and digital reading, and (ii) revenues from games and others, which includes web-based games, mobile games, content sales, and other online and mobile paid services through our own platforms.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entertainment.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Digital Entertainment revenues mainly comprised revenues generated from MVAS and digital reading.</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MVAS</w:t>
      </w:r>
    </w:p>
    <w:p>
      <w:pPr>
        <w:spacing w:after="0" w:line="227" w:lineRule="exact"/>
        <w:rPr>
          <w:sz w:val="20"/>
          <w:szCs w:val="20"/>
          <w:color w:val="auto"/>
        </w:rPr>
      </w:pPr>
    </w:p>
    <w:p>
      <w:pPr>
        <w:ind w:right="140" w:firstLine="441"/>
        <w:spacing w:after="0" w:line="261" w:lineRule="auto"/>
        <w:rPr>
          <w:sz w:val="20"/>
          <w:szCs w:val="20"/>
          <w:color w:val="auto"/>
        </w:rPr>
      </w:pPr>
      <w:r>
        <w:rPr>
          <w:rFonts w:ascii="Times New Roman" w:cs="Times New Roman" w:eastAsia="Times New Roman" w:hAnsi="Times New Roman"/>
          <w:sz w:val="18"/>
          <w:szCs w:val="18"/>
          <w:color w:val="auto"/>
        </w:rPr>
        <w:t>MVAS revenues are derived from providing mobile phone users with mobile newspaper services, mobile game services delivered through the telecom operators’ platforms, mobile video services, and WVAS. WVAS include SMS, music services such as RBT, IVR services, MMS and animation services. Revenues from MVAS are charged on a monthly or per-usage basis, and are recognized in the period in which the service is performed, provided that no significant obligation remains, collection of the receivables is reasonably assured and the amounts can be accurately estimated.</w:t>
      </w:r>
    </w:p>
    <w:p>
      <w:pPr>
        <w:spacing w:after="0" w:line="180" w:lineRule="exact"/>
        <w:rPr>
          <w:sz w:val="20"/>
          <w:szCs w:val="20"/>
          <w:color w:val="auto"/>
        </w:rPr>
      </w:pPr>
    </w:p>
    <w:p>
      <w:pPr>
        <w:ind w:right="80" w:firstLine="495"/>
        <w:spacing w:after="0" w:line="254" w:lineRule="auto"/>
        <w:rPr>
          <w:sz w:val="20"/>
          <w:szCs w:val="20"/>
          <w:color w:val="auto"/>
        </w:rPr>
      </w:pPr>
      <w:r>
        <w:rPr>
          <w:rFonts w:ascii="Times New Roman" w:cs="Times New Roman" w:eastAsia="Times New Roman" w:hAnsi="Times New Roman"/>
          <w:sz w:val="18"/>
          <w:szCs w:val="18"/>
          <w:color w:val="auto"/>
        </w:rPr>
        <w:t>We mainly contract with China Mobile and its subsidiaries, and to a lesser degree, with other mobile operators, for billing, collection and transmission services related to the MVAS offered to our users. The determination of whether to record these revenues using the gross or net method is based on an assessment of various factors. The primary factors are whether we are acting as the principal in offering services to the customer or as an agent in the transaction, and the specific requirement of each contract. Most of revenues from mobile newspaper services, music services and mobile video services are recorded on a net basis as we are acting as an agent of operators in these transactions. For most of mobile game services delivered through telecom operators and most WVAS, we are responsible to provide desired services to the customers and have primary responsibility and broad discretion to establish price. Therefore, we are considered the primary obligor in these transactions, and revenues from these services are recorded on a gross basis. If the terms of the arrangement with operators were to change and cause the gross indicators to not be met, we would need to record our MVAS revenues on a net basis. Consequently, recording MVAS revenues on a net basis would cause a significant decline in our total revenues and could have a significant impact on our gross profit margin.</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60" w:firstLine="441"/>
        <w:spacing w:after="0" w:line="261" w:lineRule="auto"/>
        <w:rPr>
          <w:sz w:val="20"/>
          <w:szCs w:val="20"/>
          <w:color w:val="auto"/>
        </w:rPr>
      </w:pPr>
      <w:r>
        <w:rPr>
          <w:rFonts w:ascii="Times New Roman" w:cs="Times New Roman" w:eastAsia="Times New Roman" w:hAnsi="Times New Roman"/>
          <w:sz w:val="18"/>
          <w:szCs w:val="18"/>
          <w:color w:val="auto"/>
        </w:rPr>
        <w:t>Due to the time lag between when the services are rendered and when the mobile operators’ billing statements are received, most MVAS revenues are estimated based on our internal billing records and transmissions for the month, adjusting for prior periods’ confirmation rates with operators and prior periods’ discrepancies between internally estimated revenues and actual revenues confirmed by operators. There was no significant difference between our estimates and the operators’ billing statements for all the years presented.</w:t>
      </w:r>
    </w:p>
    <w:p>
      <w:pPr>
        <w:spacing w:after="0" w:line="180" w:lineRule="exact"/>
        <w:rPr>
          <w:sz w:val="20"/>
          <w:szCs w:val="20"/>
          <w:color w:val="auto"/>
        </w:rPr>
      </w:pPr>
    </w:p>
    <w:p>
      <w:pPr>
        <w:ind w:right="40" w:firstLine="450"/>
        <w:spacing w:after="0" w:line="266" w:lineRule="auto"/>
        <w:rPr>
          <w:sz w:val="20"/>
          <w:szCs w:val="20"/>
          <w:color w:val="auto"/>
        </w:rPr>
      </w:pPr>
      <w:r>
        <w:rPr>
          <w:rFonts w:ascii="Times New Roman" w:cs="Times New Roman" w:eastAsia="Times New Roman" w:hAnsi="Times New Roman"/>
          <w:sz w:val="18"/>
          <w:szCs w:val="18"/>
          <w:color w:val="auto"/>
        </w:rPr>
        <w:t>We also contract with China Mobile to provide news content and other services to China Mobile. News content and other services are charged for fixed fees respectively. The revenues attributable to the news content are recognized on a straight-line basis over the periods in which the news content are provided. Revenues attributable to other services are recognized when the other services are provided.</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Digital reading</w:t>
      </w:r>
    </w:p>
    <w:p>
      <w:pPr>
        <w:spacing w:after="0" w:line="227" w:lineRule="exact"/>
        <w:rPr>
          <w:sz w:val="20"/>
          <w:szCs w:val="20"/>
          <w:color w:val="auto"/>
        </w:rPr>
      </w:pPr>
    </w:p>
    <w:p>
      <w:pPr>
        <w:ind w:right="140" w:firstLine="450"/>
        <w:spacing w:after="0" w:line="261" w:lineRule="auto"/>
        <w:rPr>
          <w:sz w:val="20"/>
          <w:szCs w:val="20"/>
          <w:color w:val="auto"/>
        </w:rPr>
      </w:pPr>
      <w:r>
        <w:rPr>
          <w:rFonts w:ascii="Times New Roman" w:cs="Times New Roman" w:eastAsia="Times New Roman" w:hAnsi="Times New Roman"/>
          <w:sz w:val="18"/>
          <w:szCs w:val="18"/>
          <w:color w:val="auto"/>
        </w:rPr>
        <w:t>Digital reading revenues are derived from providing fee-based Internet literatures from writers and digital format books licensed from third-party publishers to customers on both of our PC and mobile platforms. Most revenues generated from digital reading are recorded on a gross basis and recognized evenly over the subscription period, or in the period in which a pay-per-view service is provided, as we are responsible for providing the desired services to the customers and have primary responsibility and broad discretion to establish price, therefore we are considered the primary obligor in these transactions.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Games and others</w:t>
      </w:r>
    </w:p>
    <w:p>
      <w:pPr>
        <w:spacing w:after="0" w:line="2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Games and others include web-based games, mobile games, content sales, and other online and mobile paid services through our own platforms.</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Revenues from these services are recognized over the periods in which the services are performed, provided that no significant obligations remain, collection</w:t>
      </w:r>
    </w:p>
    <w:p>
      <w:pPr>
        <w:sectPr>
          <w:pgSz w:w="11900" w:h="16838" w:orient="portrait"/>
          <w:cols w:equalWidth="0" w:num="1">
            <w:col w:w="11400"/>
          </w:cols>
          <w:pgMar w:left="240" w:top="119" w:right="259" w:bottom="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of the receivables is reasonably assured and the amounts can be accurately estimated.</w:t>
      </w:r>
    </w:p>
    <w:p>
      <w:pPr>
        <w:spacing w:after="0" w:line="225"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For web-based game services, all of the web-based games provided on our platform are developed by third-party game developers and can be accessed and played by game players without downloading separate software. We primarily view the game developers to be our customers and consider our responsibility under our agreements with the game developers to be promotion of the game developers’ games. We only collect payments from game players in connection with the sale of in-game virtual currencies and remit certain agreed-upon percentages of the proceeds to the game developers. Revenue from the sale of in-game virtual currency is recorded net of remittances to game developers and deferred until the estimated consumption date of the virtual items, which is within a short period of time, typically a few days, after purchase of the in-game virtual currency.</w:t>
      </w:r>
    </w:p>
    <w:p>
      <w:pPr>
        <w:spacing w:after="0" w:line="188" w:lineRule="exact"/>
        <w:rPr>
          <w:sz w:val="20"/>
          <w:szCs w:val="20"/>
          <w:color w:val="auto"/>
        </w:rPr>
      </w:pPr>
    </w:p>
    <w:p>
      <w:pPr>
        <w:ind w:right="140" w:firstLine="439"/>
        <w:spacing w:after="0" w:line="258" w:lineRule="auto"/>
        <w:rPr>
          <w:sz w:val="20"/>
          <w:szCs w:val="20"/>
          <w:color w:val="auto"/>
        </w:rPr>
      </w:pPr>
      <w:r>
        <w:rPr>
          <w:rFonts w:ascii="Times New Roman" w:cs="Times New Roman" w:eastAsia="Times New Roman" w:hAnsi="Times New Roman"/>
          <w:sz w:val="18"/>
          <w:szCs w:val="18"/>
          <w:color w:val="auto"/>
        </w:rPr>
        <w:t>Mobile games are licensed from third-party developers. The game portfolio includes action, role-playing and casual games operated on smartphone mobile operation systems, such as iOS and Android. The basic game play functions are free of charge, and players are charged for purchases of in-game virtual items, including perpetual and consumable items. Revenues are recognized over the estimated lives of the perpetual items purchased by game players or as the consumable items are consumed. Most mobile game revenues are recorded on a gross basis as we are acting as the principal in offering services to the customers in the transactions.</w:t>
      </w:r>
    </w:p>
    <w:p>
      <w:pPr>
        <w:spacing w:after="0" w:line="184" w:lineRule="exact"/>
        <w:rPr>
          <w:sz w:val="20"/>
          <w:szCs w:val="20"/>
          <w:color w:val="auto"/>
        </w:rPr>
      </w:pPr>
    </w:p>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We also provide video programming through our online subscription and pay-per-view services to the customers. Revenues from these services, which are recorded on a gross basis, are recognized evenly over the subscription period, or in the period in which a pay-per-view service is provided.</w:t>
      </w:r>
    </w:p>
    <w:p>
      <w:pPr>
        <w:spacing w:after="0" w:line="162" w:lineRule="exact"/>
        <w:rPr>
          <w:sz w:val="20"/>
          <w:szCs w:val="20"/>
          <w:color w:val="auto"/>
        </w:rPr>
      </w:pPr>
    </w:p>
    <w:p>
      <w:pPr>
        <w:ind w:right="120" w:firstLine="441"/>
        <w:spacing w:after="0" w:line="255" w:lineRule="auto"/>
        <w:rPr>
          <w:sz w:val="20"/>
          <w:szCs w:val="20"/>
          <w:color w:val="auto"/>
        </w:rPr>
      </w:pPr>
      <w:r>
        <w:rPr>
          <w:rFonts w:ascii="Times New Roman" w:cs="Times New Roman" w:eastAsia="Times New Roman" w:hAnsi="Times New Roman"/>
          <w:sz w:val="18"/>
          <w:szCs w:val="18"/>
          <w:color w:val="auto"/>
        </w:rPr>
        <w:t xml:space="preserve">We generate revenues from video content sales agreements for television programming mainly produced by Phoenix TV Group and content purchased from third parties. The video content sales agreements we enter into involve the transfer of non-exclusive broadcasting rights to other third party websites or other Internet and mobile media companies for a definitive license period. In accordance with ASC 926-605, </w:t>
      </w:r>
      <w:r>
        <w:rPr>
          <w:rFonts w:ascii="Times New Roman" w:cs="Times New Roman" w:eastAsia="Times New Roman" w:hAnsi="Times New Roman"/>
          <w:sz w:val="18"/>
          <w:szCs w:val="18"/>
          <w:i w:val="1"/>
          <w:iCs w:val="1"/>
          <w:color w:val="auto"/>
        </w:rPr>
        <w:t>Entertainment-Films, Revenue Recognition</w:t>
      </w:r>
      <w:r>
        <w:rPr>
          <w:rFonts w:ascii="Times New Roman" w:cs="Times New Roman" w:eastAsia="Times New Roman" w:hAnsi="Times New Roman"/>
          <w:sz w:val="18"/>
          <w:szCs w:val="18"/>
          <w:color w:val="auto"/>
        </w:rPr>
        <w:t>, we recognize revenues in respect of our video content sales arrangements when the following criteria are met: persuasive evidence of a video content sales arrangement with a customer exists, the content has been delivered or is available for immediate and unconditional delivery, the sublicense period of the arrangement has begun and the customer can begin its exhibition, the arrangement fee is fixed or determinable and collection of the arrangement fee is reasonably assured.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Allocation with Phoenix TV</w:t>
      </w:r>
    </w:p>
    <w:p>
      <w:pPr>
        <w:spacing w:after="0" w:line="227" w:lineRule="exact"/>
        <w:rPr>
          <w:sz w:val="20"/>
          <w:szCs w:val="20"/>
          <w:color w:val="auto"/>
        </w:rPr>
      </w:pPr>
    </w:p>
    <w:p>
      <w:pPr>
        <w:ind w:right="60" w:firstLine="450"/>
        <w:spacing w:after="0" w:line="253" w:lineRule="auto"/>
        <w:rPr>
          <w:sz w:val="20"/>
          <w:szCs w:val="20"/>
          <w:color w:val="auto"/>
        </w:rPr>
      </w:pPr>
      <w:r>
        <w:rPr>
          <w:rFonts w:ascii="Times New Roman" w:cs="Times New Roman" w:eastAsia="Times New Roman" w:hAnsi="Times New Roman"/>
          <w:sz w:val="18"/>
          <w:szCs w:val="18"/>
          <w:color w:val="auto"/>
        </w:rPr>
        <w:t>We and Phoenix TV Group have engaged in various mutual cooperation activities in content, branding, promotions, technical support and corporate management. Fenghuang On-line entered into the Phoenix TV Cooperation Agreement with Phoenix TV Group which stipulates the costs and expenses charged to us related to content and other services provided by. Based on the Phoenix TV Cooperation Agreement, we paid to Phoenix TV Group 50% of the after-tax revenues earned from sublicensing Phoenix TV Group’s video content to third parties, plus a fixed amount of payment to cover other services provided by Phoenix TV Group. The fixed amount was RMB1.6 million for the first year of the Agreement, and increased by 25% annually. The Phoenix TV Cooperation Agreement was effective as of January 1, 2010 and expired on May 27, 2016. We and Phoenix TV Group entered into the New Agreements, effective as of May 27, 2016 and will expire on May 26, 2019, to amend and replace the previous Phoenix TV Cooperation Agreement and provide the terms of continued cooperation. The fees payable to Phoenix TV Group by us are RMB10.0 million for the first year of the New Agreements, which will incrementally increase by 15% for each subsequent year of the New Agreements. Unlike the previous agreements, the New Agreements do not grant us the right to sublicense Phoenix TV Group’s copyrighted content to third parties. As such, we do not incur such revenue sharing fee to Phoenix TV Group accordingly.</w:t>
      </w:r>
    </w:p>
    <w:p>
      <w:pPr>
        <w:spacing w:after="0" w:line="193" w:lineRule="exact"/>
        <w:rPr>
          <w:sz w:val="20"/>
          <w:szCs w:val="20"/>
          <w:color w:val="auto"/>
        </w:rPr>
      </w:pPr>
    </w:p>
    <w:p>
      <w:pPr>
        <w:ind w:right="320" w:firstLine="441"/>
        <w:spacing w:after="0" w:line="266" w:lineRule="auto"/>
        <w:rPr>
          <w:sz w:val="20"/>
          <w:szCs w:val="20"/>
          <w:color w:val="auto"/>
        </w:rPr>
      </w:pPr>
      <w:r>
        <w:rPr>
          <w:rFonts w:ascii="Times New Roman" w:cs="Times New Roman" w:eastAsia="Times New Roman" w:hAnsi="Times New Roman"/>
          <w:sz w:val="18"/>
          <w:szCs w:val="18"/>
          <w:color w:val="auto"/>
        </w:rPr>
        <w:t>Apart from the Phoenix TV Cooperation Agreement and the New Agreements, Phoenix TV Group also paid certain expenses on our behalf, such as data line usage and other general and administrative expenses, which we needed to settle with Phoenix TV Group based on the actual amount and were recorded in the consolidated statements of comprehensive income.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27" w:lineRule="exact"/>
        <w:rPr>
          <w:sz w:val="20"/>
          <w:szCs w:val="20"/>
          <w:color w:val="auto"/>
        </w:rPr>
      </w:pPr>
    </w:p>
    <w:p>
      <w:pPr>
        <w:ind w:right="140" w:firstLine="450"/>
        <w:spacing w:after="0" w:line="261" w:lineRule="auto"/>
        <w:rPr>
          <w:sz w:val="20"/>
          <w:szCs w:val="20"/>
          <w:color w:val="auto"/>
        </w:rPr>
      </w:pPr>
      <w:r>
        <w:rPr>
          <w:rFonts w:ascii="Times New Roman" w:cs="Times New Roman" w:eastAsia="Times New Roman" w:hAnsi="Times New Roman"/>
          <w:sz w:val="18"/>
          <w:szCs w:val="18"/>
          <w:color w:val="auto"/>
        </w:rPr>
        <w:t>We have share incentive plans for the granting of share-based awards, including share options, restricted shares and restricted share units. We measure the cost of employee services received in exchange for share-based compensation at the grant date fair value of the award. We recognize the share-based compensation as costs and/or expenses in our consolidated statements of comprehensive income, net of estimated forfeitures, on a graded-vesting basis over the vesting term of the awards.</w:t>
      </w:r>
    </w:p>
    <w:p>
      <w:pPr>
        <w:spacing w:after="0" w:line="180" w:lineRule="exact"/>
        <w:rPr>
          <w:sz w:val="20"/>
          <w:szCs w:val="20"/>
          <w:color w:val="auto"/>
        </w:rPr>
      </w:pPr>
    </w:p>
    <w:p>
      <w:pPr>
        <w:ind w:right="160" w:firstLine="441"/>
        <w:spacing w:after="0" w:line="255" w:lineRule="auto"/>
        <w:rPr>
          <w:sz w:val="20"/>
          <w:szCs w:val="20"/>
          <w:color w:val="auto"/>
        </w:rPr>
      </w:pPr>
      <w:r>
        <w:rPr>
          <w:rFonts w:ascii="Times New Roman" w:cs="Times New Roman" w:eastAsia="Times New Roman" w:hAnsi="Times New Roman"/>
          <w:sz w:val="18"/>
          <w:szCs w:val="18"/>
          <w:color w:val="auto"/>
        </w:rPr>
        <w:t>Cancellation of an award accompanied by the concurrent grant of a replacement award is accounted for as a modification of the terms of the cancelled award, or modification awards. The share-based compensation cost associated with the modification awards are recognized if either the original vesting condition or the new vesting condition has been achieved. Such compensation costs cannot be less than the grant-date fair value of the original award. The incremental compensation cost is measured as the excess of the fair value of the replacement award over the fair value of the cancelled award at the cancellation date. Therefore, in relation to the modification awards, we recognize share-based compensation over the vesting periods of the new awards, which comprises, (1) the amortization of the incremental portion of share-based compensation over the remaining vesting term and (2) any unrecognized compensation cost of original award, using either the original term or the new term, whichever is higher for each reporting period.</w:t>
      </w:r>
    </w:p>
    <w:p>
      <w:pPr>
        <w:spacing w:after="0" w:line="189"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We used the Black-Scholes option pricing model to determine the fair value of share options based on the fair value of underlying ordinary shares at the grant date. The assumptions used in calculating the fair value of share options represent management’s best estimates, but these estimates involve inherent uncertainties and the application of management judgment. The fair values of the options granted during 2014, 2015 and 2016 used the following assumptions.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460" w:type="dxa"/>
            <w:vAlign w:val="bottom"/>
            <w:tcBorders>
              <w:bottom w:val="single" w:sz="8" w:color="auto"/>
            </w:tcBorders>
            <w:gridSpan w:val="5"/>
          </w:tcPr>
          <w:p>
            <w:pPr>
              <w:ind w:left="12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21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 rate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56.1%-57.5%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54.23%-54.32%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50.67%-55.65%</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5.81-6.16</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5.91-6.16</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3.91-6.16</w:t>
            </w:r>
          </w:p>
        </w:tc>
      </w:t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(per annum)</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1.43%-1.88%</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1.90%-1.98%</w:t>
            </w:r>
          </w:p>
        </w:tc>
        <w:tc>
          <w:tcPr>
            <w:tcW w:w="16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1.30%-1.55%</w:t>
            </w:r>
          </w:p>
        </w:tc>
      </w:tr>
    </w:tbl>
    <w:p>
      <w:pPr>
        <w:sectPr>
          <w:pgSz w:w="11900" w:h="16838" w:orient="portrait"/>
          <w:cols w:equalWidth="0" w:num="1">
            <w:col w:w="11420"/>
          </w:cols>
          <w:pgMar w:left="240" w:top="121" w:right="239" w:bottom="0" w:gutter="0" w:footer="0" w:header="0"/>
        </w:sectPr>
      </w:pPr>
    </w:p>
    <w:bookmarkStart w:id="62" w:name="page63"/>
    <w:bookmarkEnd w:id="62"/>
    <w:p>
      <w:pPr>
        <w:ind w:right="220"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We estimated the expected volatility at the date of grant based on the average annualized standard deviation of the share prices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comparable listed companies.</w:t>
      </w:r>
    </w:p>
    <w:p>
      <w:pPr>
        <w:spacing w:after="0" w:line="158" w:lineRule="exact"/>
        <w:rPr>
          <w:sz w:val="20"/>
          <w:szCs w:val="20"/>
          <w:color w:val="auto"/>
        </w:rPr>
      </w:pPr>
    </w:p>
    <w:p>
      <w:pPr>
        <w:ind w:right="180"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 The Black-Scholes option pricing model calls for a single expected dividend yield as an input. We have not declared or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cash dividends on our capital stock, and we do not anticipate any dividend payments on our ordinary shares in the foreseeable future.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We estimated the expected term based on the vesting schedule and the exercise period of the options.</w:t>
      </w:r>
    </w:p>
    <w:p>
      <w:pPr>
        <w:spacing w:after="0" w:line="225" w:lineRule="exact"/>
        <w:rPr>
          <w:sz w:val="20"/>
          <w:szCs w:val="20"/>
          <w:color w:val="auto"/>
        </w:rPr>
      </w:pPr>
    </w:p>
    <w:p>
      <w:pPr>
        <w:ind w:right="40"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We estimated the risk-free interest rate used in the Black-Scholes option pricing model based on the derived market yield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USD denominated Chinese government bonds for the term approximating the expected life of award at the time of grant.</w:t>
      </w:r>
    </w:p>
    <w:p>
      <w:pPr>
        <w:spacing w:after="0" w:line="160"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We determined the fair value of restricted share and restricted share units based on the fair value of the underlying ordinary shares at the grant date and considered the dilutive effect of restricted share and restricted share units.</w:t>
      </w:r>
    </w:p>
    <w:p>
      <w:pPr>
        <w:spacing w:after="0" w:line="162" w:lineRule="exact"/>
        <w:rPr>
          <w:sz w:val="20"/>
          <w:szCs w:val="20"/>
          <w:color w:val="auto"/>
        </w:rPr>
      </w:pPr>
    </w:p>
    <w:p>
      <w:pPr>
        <w:ind w:right="240" w:firstLine="441"/>
        <w:spacing w:after="0" w:line="266" w:lineRule="auto"/>
        <w:rPr>
          <w:sz w:val="20"/>
          <w:szCs w:val="20"/>
          <w:color w:val="auto"/>
        </w:rPr>
      </w:pPr>
      <w:r>
        <w:rPr>
          <w:rFonts w:ascii="Times New Roman" w:cs="Times New Roman" w:eastAsia="Times New Roman" w:hAnsi="Times New Roman"/>
          <w:sz w:val="18"/>
          <w:szCs w:val="18"/>
          <w:color w:val="auto"/>
        </w:rPr>
        <w:t>Forfeiture rates are estimated at the time of grant and revised, if necessary, in subsequent periods if actual forfeitures differ from initial estimates. We use historical data to estimate pre-vesting option and restricted share units forfeitures and record share-based compensation only for those awards that are expected to vest.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right="120" w:firstLine="441"/>
        <w:spacing w:after="0" w:line="255" w:lineRule="auto"/>
        <w:rPr>
          <w:sz w:val="20"/>
          <w:szCs w:val="20"/>
          <w:color w:val="auto"/>
        </w:rPr>
      </w:pPr>
      <w:r>
        <w:rPr>
          <w:rFonts w:ascii="Times New Roman" w:cs="Times New Roman" w:eastAsia="Times New Roman" w:hAnsi="Times New Roman"/>
          <w:sz w:val="18"/>
          <w:szCs w:val="18"/>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 Deferred income taxes are provided using an asset and liability method. Under this method, deferred income taxes are recognized for the tax consequences of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 The effect on deferred taxes of a change in tax rates is recognized in our consolidated statements of comprehensive income in the period of change. A valuation allowance is provided to reduce the amount of deferred tax assets if it is considered more likely than not that some portion of, or all of the deferred tax assets will not be realized.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right="140" w:firstLine="441"/>
        <w:spacing w:after="0" w:line="261" w:lineRule="auto"/>
        <w:rPr>
          <w:sz w:val="20"/>
          <w:szCs w:val="20"/>
          <w:color w:val="auto"/>
        </w:rPr>
      </w:pPr>
      <w:r>
        <w:rPr>
          <w:rFonts w:ascii="Times New Roman" w:cs="Times New Roman" w:eastAsia="Times New Roman" w:hAnsi="Times New Roman"/>
          <w:sz w:val="18"/>
          <w:szCs w:val="18"/>
          <w:color w:val="auto"/>
        </w:rPr>
        <w:t xml:space="preserve">On January 1, 2007, we adopted the provisions of ASC 740-10, </w:t>
      </w:r>
      <w:r>
        <w:rPr>
          <w:rFonts w:ascii="Times New Roman" w:cs="Times New Roman" w:eastAsia="Times New Roman" w:hAnsi="Times New Roman"/>
          <w:sz w:val="18"/>
          <w:szCs w:val="18"/>
          <w:i w:val="1"/>
          <w:iCs w:val="1"/>
          <w:color w:val="auto"/>
        </w:rPr>
        <w:t>Income Taxes- Overall,</w:t>
      </w:r>
      <w:r>
        <w:rPr>
          <w:rFonts w:ascii="Times New Roman" w:cs="Times New Roman" w:eastAsia="Times New Roman" w:hAnsi="Times New Roman"/>
          <w:sz w:val="18"/>
          <w:szCs w:val="18"/>
          <w:color w:val="auto"/>
        </w:rPr>
        <w:t xml:space="preserve"> which clarified the accounting for uncertainty in income taxes by prescribing the recognition and measurement thresholds a tax position is required to meet before being recognized in the financial statements. The guidance prescribes a more likely than not threshold for financial statement recognition and measurement of a tax position taken or expected to be taken in a tax return. Significant judgment is required in evaluating our uncertain tax positions and determining its provision for income taxes.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Doubtful Accounts Receivable</w:t>
      </w:r>
    </w:p>
    <w:p>
      <w:pPr>
        <w:spacing w:after="0" w:line="227"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The carrying value of accounts receivable is reduced by an allowance that reflects our best estimate of the amounts that will not be collected. We make estimations for general allowance considering many factors, including but not limited to reviewing accounts receivable balances, historical bad debt rates, aging analysis, customer credit worthiness, and industry trend analysis. We also make the specific allowance if there is evidence showing that the receivable is unlikely to be collected. Accounts receivable balances are written off against the allowance when they are determined to be uncollectible. If the economic situation and the financial condition of a customer deteriorates which results in an impairment of its ability to make payments, additional allowances might be required.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227" w:lineRule="exact"/>
        <w:rPr>
          <w:sz w:val="20"/>
          <w:szCs w:val="20"/>
          <w:color w:val="auto"/>
        </w:rPr>
      </w:pPr>
    </w:p>
    <w:p>
      <w:pPr>
        <w:ind w:right="80" w:firstLine="441"/>
        <w:spacing w:after="0" w:line="273" w:lineRule="auto"/>
        <w:rPr>
          <w:sz w:val="20"/>
          <w:szCs w:val="20"/>
          <w:color w:val="auto"/>
        </w:rPr>
      </w:pPr>
      <w:r>
        <w:rPr>
          <w:rFonts w:ascii="Times New Roman" w:cs="Times New Roman" w:eastAsia="Times New Roman" w:hAnsi="Times New Roman"/>
          <w:sz w:val="17"/>
          <w:szCs w:val="17"/>
          <w:color w:val="auto"/>
        </w:rPr>
        <w:t>Our functional currency is the U.S. dollar. Our subsidiaries and affiliated consolidated entities in the British Virgin Islands, Hong Kong and China use their respective currencies as their functional currencies. An entity’s functional currency is the currency of the primary economic environment in which the entity operates or, in the case of a start-up entity, is the currency that the entity plans to use on a long-term basis. Management must use judgment in determining an entity’s functional currency, assessing economic factors including cash flow, sales price, sales market, expense, financing and inter-company transactions and arrangements. The determination of our functional currency as the U.S. dollar is based largely on our planned future operations overseas. To the extent we significantly change how we carry out these plans or they do not materialize, we would need to re-assess the determination of our functional currency. To the extent a re-assessment results in a change to our functional currency our financial position and operating results may be materially impacted.</w:t>
      </w:r>
    </w:p>
    <w:p>
      <w:pPr>
        <w:spacing w:after="0" w:line="172"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Impact from exchange rate changes related to transactions denominated in currencies other than the functional currency is recorded as a gain and loss in our consolidated statements of comprehensive income, while impact from exchange rate changes related to translating a foreign entity’s financial statements from its functional currency to our reporting currency, the RMB, is disclosed and accumulated in a separate component under the equity section of our consolidated balance sheets. Translation adjustments are not released to net income unless the associated net investment has been sold, liquidated or substantially liquidated. Management uses judgment in determining the timing of recognition of translation gains or losses. Such determination requires assessing whether translation gains or losses were derived from the sale or complete or substantially complete liquidation of an investment in a foreign entity. Different judgments or assumptions resulting in a change of the timing of recognition of foreign exchange gains or losses may materially impact our financial position and operating results.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Fair Value Determination Related to the Accounting for Deconsolidation</w:t>
      </w:r>
    </w:p>
    <w:p>
      <w:pPr>
        <w:spacing w:after="0" w:line="227"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We recognized gain or loss in the net income when we lost control of our subsidiary according to ASC 810-10-40-5. In order to recognize the fair value of any retained noncontrolling investment in the former subsidiary at the date the subsidiary is deconsolidated, we use valuation techniques such as discounted cash flow analysis and ratio analysis in comparison to comparable companies in similar industries under the income approach, and market approach. Major factors considered include historical financial results and assumptions including future growth rates and an estimate of weighted average cost of capital. All the valuations have been performed by valuation specialists under our management’s supervision. We believe that the estimated fair value of any retained noncontrolling investment in the former subsidiary are based on reasonable assumptions. However, such assumptions are inherently uncertain and actual results could differ from those estimates.</w:t>
      </w:r>
    </w:p>
    <w:p>
      <w:pPr>
        <w:sectPr>
          <w:pgSz w:w="11900" w:h="16838" w:orient="portrait"/>
          <w:cols w:equalWidth="0" w:num="1">
            <w:col w:w="11420"/>
          </w:cols>
          <w:pgMar w:left="240" w:top="119" w:right="239" w:bottom="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i w:val="1"/>
          <w:iCs w:val="1"/>
          <w:color w:val="auto"/>
        </w:rPr>
        <w:t>Fair Value Determination Related to Financial Instruments Accounted for at Fair Value</w:t>
      </w:r>
    </w:p>
    <w:p>
      <w:pPr>
        <w:spacing w:after="0" w:line="227"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U.S. GAAP establishes a three-tier hierarchy to prioritize the inputs used in the valuation methodologies in measuring the fair value of financial instruments. This hierarchy also requires an entity to maximize the use of observable inputs and minimize the use of unobservable inputs when measuring fair value. The three-tier fair value hierarchy is: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1—Observable inputs that reflect quoted prices (unadjusted) for identical assets or liabilities in active markets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2— Include other inputs that are directly or indirectly observable in the marketplace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3—Unobservable inputs which are supported by little or no market activity</w:t>
      </w:r>
    </w:p>
    <w:p>
      <w:pPr>
        <w:spacing w:after="0" w:line="225" w:lineRule="exact"/>
        <w:rPr>
          <w:sz w:val="20"/>
          <w:szCs w:val="20"/>
          <w:color w:val="auto"/>
        </w:rPr>
      </w:pPr>
    </w:p>
    <w:p>
      <w:pPr>
        <w:ind w:right="60" w:firstLine="441"/>
        <w:spacing w:after="0" w:line="255" w:lineRule="auto"/>
        <w:rPr>
          <w:sz w:val="20"/>
          <w:szCs w:val="20"/>
          <w:color w:val="auto"/>
        </w:rPr>
      </w:pPr>
      <w:r>
        <w:rPr>
          <w:rFonts w:ascii="Times New Roman" w:cs="Times New Roman" w:eastAsia="Times New Roman" w:hAnsi="Times New Roman"/>
          <w:sz w:val="18"/>
          <w:szCs w:val="18"/>
          <w:color w:val="auto"/>
        </w:rPr>
        <w:t>U.S. GAAP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 When available, we use quoted market prices to determine the fair value of an asset or liability. If quoted market prices are not available, we will measure fair value using valuation techniques that use, when possible, current market-based or independently sourced market parameters, such as interest rates and currency rates. All financial assets and liabilities are recognized or disclosed at fair value in the consolidated financial statements on a recurring basis.</w:t>
      </w:r>
    </w:p>
    <w:p>
      <w:pPr>
        <w:spacing w:after="0" w:line="183" w:lineRule="exact"/>
        <w:rPr>
          <w:sz w:val="20"/>
          <w:szCs w:val="20"/>
          <w:color w:val="auto"/>
        </w:rPr>
      </w:pPr>
    </w:p>
    <w:p>
      <w:pPr>
        <w:ind w:right="60" w:firstLine="441"/>
        <w:spacing w:after="0" w:line="259" w:lineRule="auto"/>
        <w:rPr>
          <w:sz w:val="20"/>
          <w:szCs w:val="20"/>
          <w:color w:val="auto"/>
        </w:rPr>
      </w:pPr>
      <w:r>
        <w:rPr>
          <w:rFonts w:ascii="Times New Roman" w:cs="Times New Roman" w:eastAsia="Times New Roman" w:hAnsi="Times New Roman"/>
          <w:sz w:val="18"/>
          <w:szCs w:val="18"/>
          <w:color w:val="auto"/>
        </w:rPr>
        <w:t xml:space="preserve">We have a significant amount of financial instruments that are classified as Level 2 and Level 3 according to ASC 820 </w:t>
      </w:r>
      <w:r>
        <w:rPr>
          <w:rFonts w:ascii="Times New Roman" w:cs="Times New Roman" w:eastAsia="Times New Roman" w:hAnsi="Times New Roman"/>
          <w:sz w:val="18"/>
          <w:szCs w:val="18"/>
          <w:i w:val="1"/>
          <w:iCs w:val="1"/>
          <w:color w:val="auto"/>
        </w:rPr>
        <w:t>Fair Value Measurement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The financial instruments classified as Level 2 are short term investments. The valuation for the available-for-sale investments classified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Level 3 are determined based on unobservable inputs which require significant judgment. The valuation for the available-for-sale investments has been performed by valuation specialists under our management’s supervision. We believe that the estimated fair value of the available-for-sale investments is based on reasonable assumptions. However, such assumptions are inherently uncertain and actual results could differ from those estimates.</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key inputs used in available-for-sale investments valuation as of December 31, 2015 and 2016 were as follow: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3180" w:type="dxa"/>
            <w:vAlign w:val="bottom"/>
            <w:gridSpan w:val="4"/>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0" w:type="dxa"/>
            <w:vAlign w:val="bottom"/>
          </w:tcPr>
          <w:p>
            <w:pPr>
              <w:spacing w:after="0"/>
              <w:rPr>
                <w:sz w:val="15"/>
                <w:szCs w:val="15"/>
                <w:color w:val="auto"/>
              </w:rPr>
            </w:pPr>
          </w:p>
        </w:tc>
      </w:tr>
      <w:tr>
        <w:trPr>
          <w:trHeight w:val="142"/>
        </w:trPr>
        <w:tc>
          <w:tcPr>
            <w:tcW w:w="4360" w:type="dxa"/>
            <w:vAlign w:val="bottom"/>
            <w:tcBorders>
              <w:bottom w:val="single" w:sz="8" w:color="CCEEFF"/>
            </w:tcBorders>
          </w:tcPr>
          <w:p>
            <w:pPr>
              <w:spacing w:after="0"/>
              <w:rPr>
                <w:sz w:val="12"/>
                <w:szCs w:val="12"/>
                <w:color w:val="auto"/>
              </w:rPr>
            </w:pPr>
          </w:p>
        </w:tc>
        <w:tc>
          <w:tcPr>
            <w:tcW w:w="388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6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38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25.5%</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c>
          <w:tcPr>
            <w:tcW w:w="4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Lack of marketability discount (“DLOM”)</w:t>
            </w:r>
          </w:p>
        </w:tc>
        <w:tc>
          <w:tcPr>
            <w:tcW w:w="5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26.0%</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c>
          <w:tcPr>
            <w:tcW w:w="4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55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50.3%</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47.0%</w:t>
            </w:r>
          </w:p>
        </w:tc>
        <w:tc>
          <w:tcPr>
            <w:tcW w:w="4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Revenue growth rate</w:t>
            </w:r>
          </w:p>
        </w:tc>
        <w:tc>
          <w:tcPr>
            <w:tcW w:w="5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5.0%-503.0%</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10.0%-349.0%</w:t>
            </w:r>
          </w:p>
        </w:tc>
        <w:tc>
          <w:tcPr>
            <w:tcW w:w="4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Terminal growth rate</w:t>
            </w:r>
          </w:p>
        </w:tc>
        <w:tc>
          <w:tcPr>
            <w:tcW w:w="55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18"/>
                <w:szCs w:val="18"/>
                <w:color w:val="auto"/>
              </w:rPr>
            </w:pPr>
          </w:p>
        </w:tc>
      </w:tr>
      <w:tr>
        <w:trPr>
          <w:trHeight w:val="432"/>
        </w:trPr>
        <w:tc>
          <w:tcPr>
            <w:tcW w:w="4360" w:type="dxa"/>
            <w:vAlign w:val="bottom"/>
          </w:tcPr>
          <w:p>
            <w:pPr>
              <w:spacing w:after="0"/>
              <w:rPr>
                <w:sz w:val="24"/>
                <w:szCs w:val="24"/>
                <w:color w:val="auto"/>
              </w:rPr>
            </w:pPr>
          </w:p>
        </w:tc>
        <w:tc>
          <w:tcPr>
            <w:tcW w:w="3880" w:type="dxa"/>
            <w:vAlign w:val="bottom"/>
          </w:tcPr>
          <w:p>
            <w:pPr>
              <w:jc w:val="right"/>
              <w:ind w:right="2350"/>
              <w:spacing w:after="0"/>
              <w:rPr>
                <w:sz w:val="20"/>
                <w:szCs w:val="20"/>
                <w:color w:val="auto"/>
              </w:rPr>
            </w:pPr>
            <w:r>
              <w:rPr>
                <w:rFonts w:ascii="Times New Roman" w:cs="Times New Roman" w:eastAsia="Times New Roman" w:hAnsi="Times New Roman"/>
                <w:sz w:val="18"/>
                <w:szCs w:val="18"/>
                <w:color w:val="auto"/>
              </w:rPr>
              <w:t>83</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360" w:type="dxa"/>
            <w:vAlign w:val="bottom"/>
            <w:tcBorders>
              <w:bottom w:val="single" w:sz="8" w:color="808080"/>
            </w:tcBorders>
          </w:tcPr>
          <w:p>
            <w:pPr>
              <w:spacing w:after="0"/>
              <w:rPr>
                <w:sz w:val="11"/>
                <w:szCs w:val="11"/>
                <w:color w:val="auto"/>
              </w:rPr>
            </w:pPr>
          </w:p>
        </w:tc>
        <w:tc>
          <w:tcPr>
            <w:tcW w:w="38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loans due from a related party</w:t>
      </w:r>
    </w:p>
    <w:p>
      <w:pPr>
        <w:spacing w:after="0" w:line="227" w:lineRule="exact"/>
        <w:rPr>
          <w:sz w:val="20"/>
          <w:szCs w:val="20"/>
          <w:color w:val="auto"/>
        </w:rPr>
      </w:pPr>
    </w:p>
    <w:p>
      <w:pPr>
        <w:ind w:right="160" w:firstLine="545"/>
        <w:spacing w:after="0" w:line="256" w:lineRule="auto"/>
        <w:rPr>
          <w:sz w:val="20"/>
          <w:szCs w:val="20"/>
          <w:color w:val="auto"/>
        </w:rPr>
      </w:pPr>
      <w:r>
        <w:rPr>
          <w:rFonts w:ascii="Times New Roman" w:cs="Times New Roman" w:eastAsia="Times New Roman" w:hAnsi="Times New Roman"/>
          <w:sz w:val="18"/>
          <w:szCs w:val="18"/>
          <w:color w:val="auto"/>
        </w:rPr>
        <w:t xml:space="preserve">Convertible loans due from a related party represent short-term loans advanced to a related party of which we may at our option to convert all or a portion into preferred shares. We have determined that the convertible loans are not within the scope ASC 320 </w:t>
      </w:r>
      <w:r>
        <w:rPr>
          <w:rFonts w:ascii="Times New Roman" w:cs="Times New Roman" w:eastAsia="Times New Roman" w:hAnsi="Times New Roman"/>
          <w:sz w:val="18"/>
          <w:szCs w:val="18"/>
          <w:i w:val="1"/>
          <w:iCs w:val="1"/>
          <w:color w:val="auto"/>
        </w:rPr>
        <w:t>Investment — debt and equity securities</w:t>
      </w:r>
      <w:r>
        <w:rPr>
          <w:rFonts w:ascii="Times New Roman" w:cs="Times New Roman" w:eastAsia="Times New Roman" w:hAnsi="Times New Roman"/>
          <w:sz w:val="18"/>
          <w:szCs w:val="18"/>
          <w:color w:val="auto"/>
        </w:rPr>
        <w:t xml:space="preserve"> and therefore are accounted for under ASC 310 </w:t>
      </w:r>
      <w:r>
        <w:rPr>
          <w:rFonts w:ascii="Times New Roman" w:cs="Times New Roman" w:eastAsia="Times New Roman" w:hAnsi="Times New Roman"/>
          <w:sz w:val="18"/>
          <w:szCs w:val="18"/>
          <w:i w:val="1"/>
          <w:iCs w:val="1"/>
          <w:color w:val="auto"/>
        </w:rPr>
        <w:t>Receivables</w:t>
      </w:r>
      <w:r>
        <w:rPr>
          <w:rFonts w:ascii="Times New Roman" w:cs="Times New Roman" w:eastAsia="Times New Roman" w:hAnsi="Times New Roman"/>
          <w:sz w:val="18"/>
          <w:szCs w:val="18"/>
          <w:color w:val="auto"/>
        </w:rPr>
        <w:t>. The conversion features were considered as embedded derivatives that do not meet the criteria to be bifurcated under ASC 815-15-25-1 and were accounted for in a similar method as for the short-term loans advanced to a related party. We account for the convertible loans due from a related party at an amortized cost basis after deduction of any other-than-temporary impairment loss and review for impairment on a regular basis.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Available-for-sale investments</w:t>
      </w:r>
    </w:p>
    <w:p>
      <w:pPr>
        <w:spacing w:after="0" w:line="225" w:lineRule="exact"/>
        <w:rPr>
          <w:sz w:val="20"/>
          <w:szCs w:val="20"/>
          <w:color w:val="auto"/>
        </w:rPr>
      </w:pPr>
    </w:p>
    <w:p>
      <w:pPr>
        <w:ind w:right="80" w:firstLine="545"/>
        <w:spacing w:after="0" w:line="254" w:lineRule="auto"/>
        <w:rPr>
          <w:sz w:val="20"/>
          <w:szCs w:val="20"/>
          <w:color w:val="auto"/>
        </w:rPr>
      </w:pPr>
      <w:r>
        <w:rPr>
          <w:rFonts w:ascii="Times New Roman" w:cs="Times New Roman" w:eastAsia="Times New Roman" w:hAnsi="Times New Roman"/>
          <w:sz w:val="18"/>
          <w:szCs w:val="18"/>
          <w:color w:val="auto"/>
        </w:rPr>
        <w:t xml:space="preserve">In accordance with ASC topic 320 </w:t>
      </w:r>
      <w:r>
        <w:rPr>
          <w:rFonts w:ascii="Times New Roman" w:cs="Times New Roman" w:eastAsia="Times New Roman" w:hAnsi="Times New Roman"/>
          <w:sz w:val="18"/>
          <w:szCs w:val="18"/>
          <w:i w:val="1"/>
          <w:iCs w:val="1"/>
          <w:color w:val="auto"/>
        </w:rPr>
        <w:t>Investments-Debt and Equity Securities</w:t>
      </w:r>
      <w:r>
        <w:rPr>
          <w:rFonts w:ascii="Times New Roman" w:cs="Times New Roman" w:eastAsia="Times New Roman" w:hAnsi="Times New Roman"/>
          <w:sz w:val="18"/>
          <w:szCs w:val="18"/>
          <w:color w:val="auto"/>
        </w:rPr>
        <w:t>. we classify the investments in debt and equity securities as “held-to-maturity”, “trading” or “available-for-sale”, The securities that we have positive intent and ability to hold to maturity are classified as held-to-maturity securities. The securities that are bought and held principally for the purpose of selling them in the near term are classified as trading securities. Investments not classified as trading or as held-to-maturity are classified as available-for-sale investments. Available-for-sale investments are reported at fair value, which is estimated by management after considering an independent appraisal performed by a reputable appraisal firm, with unrealized gains and losses, if any, recorded in the accumulated other comprehensive loss or income in shareholder’s equity. Realized gains and losses are reflected in earnings during the year in which the gains and losses are realized. An impairment loss on the available-for-sale investments would be recognized in the consolidated statements of comprehensive income when the decline in value is determined to be other-than-temporary. Investments with maturities of greater than 12 months are recorded in non-current assets.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investments</w:t>
      </w:r>
    </w:p>
    <w:p>
      <w:pPr>
        <w:spacing w:after="0" w:line="227" w:lineRule="exact"/>
        <w:rPr>
          <w:sz w:val="20"/>
          <w:szCs w:val="20"/>
          <w:color w:val="auto"/>
        </w:rPr>
      </w:pPr>
    </w:p>
    <w:p>
      <w:pPr>
        <w:ind w:right="40" w:firstLine="545"/>
        <w:spacing w:after="0" w:line="258" w:lineRule="auto"/>
        <w:rPr>
          <w:sz w:val="20"/>
          <w:szCs w:val="20"/>
          <w:color w:val="auto"/>
        </w:rPr>
      </w:pPr>
      <w:r>
        <w:rPr>
          <w:rFonts w:ascii="Times New Roman" w:cs="Times New Roman" w:eastAsia="Times New Roman" w:hAnsi="Times New Roman"/>
          <w:sz w:val="18"/>
          <w:szCs w:val="18"/>
          <w:color w:val="auto"/>
        </w:rPr>
        <w:t xml:space="preserve">Investments in entities in which we can exercise significant influence but does not own a majority equity interest or control are accounted for using the equity method of accounting in accordance with ASC topic 323 </w:t>
      </w:r>
      <w:r>
        <w:rPr>
          <w:rFonts w:ascii="Times New Roman" w:cs="Times New Roman" w:eastAsia="Times New Roman" w:hAnsi="Times New Roman"/>
          <w:sz w:val="18"/>
          <w:szCs w:val="18"/>
          <w:i w:val="1"/>
          <w:iCs w:val="1"/>
          <w:color w:val="auto"/>
        </w:rPr>
        <w:t>Investments-Equity Method and Joint Ventures</w:t>
      </w:r>
      <w:r>
        <w:rPr>
          <w:rFonts w:ascii="Times New Roman" w:cs="Times New Roman" w:eastAsia="Times New Roman" w:hAnsi="Times New Roman"/>
          <w:sz w:val="18"/>
          <w:szCs w:val="18"/>
          <w:color w:val="auto"/>
        </w:rPr>
        <w:t>. We adjust the carrying amount of equity method investment for its share of the earnings or losses of the investee and report the recognized earnings or losses in the consolidated statements of comprehensive income. Our shares of the earnings or losses of an investee are based on the shares of common stock and in-substance common stock held by us.</w:t>
      </w:r>
    </w:p>
    <w:p>
      <w:pPr>
        <w:spacing w:after="0" w:line="184" w:lineRule="exact"/>
        <w:rPr>
          <w:sz w:val="20"/>
          <w:szCs w:val="20"/>
          <w:color w:val="auto"/>
        </w:rPr>
      </w:pPr>
    </w:p>
    <w:p>
      <w:pPr>
        <w:ind w:right="140" w:firstLine="545"/>
        <w:spacing w:after="0" w:line="266" w:lineRule="auto"/>
        <w:rPr>
          <w:sz w:val="20"/>
          <w:szCs w:val="20"/>
          <w:color w:val="auto"/>
        </w:rPr>
      </w:pPr>
      <w:r>
        <w:rPr>
          <w:rFonts w:ascii="Times New Roman" w:cs="Times New Roman" w:eastAsia="Times New Roman" w:hAnsi="Times New Roman"/>
          <w:sz w:val="18"/>
          <w:szCs w:val="18"/>
          <w:color w:val="auto"/>
        </w:rPr>
        <w:t xml:space="preserve">Investments in entities in which we do not have significant influence and which does not have readily determinable fair value are accounted for using the cost method of accounting in accordance with ASC subtopic 325-20 </w:t>
      </w:r>
      <w:r>
        <w:rPr>
          <w:rFonts w:ascii="Times New Roman" w:cs="Times New Roman" w:eastAsia="Times New Roman" w:hAnsi="Times New Roman"/>
          <w:sz w:val="18"/>
          <w:szCs w:val="18"/>
          <w:i w:val="1"/>
          <w:iCs w:val="1"/>
          <w:color w:val="auto"/>
        </w:rPr>
        <w:t>Investments-Other-Cost Method Investments.</w:t>
      </w:r>
      <w:r>
        <w:rPr>
          <w:rFonts w:ascii="Times New Roman" w:cs="Times New Roman" w:eastAsia="Times New Roman" w:hAnsi="Times New Roman"/>
          <w:sz w:val="18"/>
          <w:szCs w:val="18"/>
          <w:color w:val="auto"/>
        </w:rPr>
        <w:t xml:space="preserve"> An impairment loss on the equity investments is recognized in the consolidated statements of comprehensive income when the decline in value is determined to be other-than-temporary.</w:t>
      </w:r>
    </w:p>
    <w:p>
      <w:pPr>
        <w:sectPr>
          <w:pgSz w:w="11900" w:h="16838" w:orient="portrait"/>
          <w:cols w:equalWidth="0" w:num="1">
            <w:col w:w="11460"/>
          </w:cols>
          <w:pgMar w:left="240" w:top="119" w:right="199" w:bottom="163" w:gutter="0" w:footer="0" w:header="0"/>
        </w:sectPr>
      </w:pPr>
    </w:p>
    <w:bookmarkStart w:id="64" w:name="page65"/>
    <w:bookmarkEnd w:id="64"/>
    <w:p>
      <w:pPr>
        <w:ind w:right="40" w:firstLine="545"/>
        <w:spacing w:after="0" w:line="266" w:lineRule="auto"/>
        <w:rPr>
          <w:sz w:val="20"/>
          <w:szCs w:val="20"/>
          <w:color w:val="auto"/>
        </w:rPr>
      </w:pPr>
      <w:r>
        <w:rPr>
          <w:rFonts w:ascii="Times New Roman" w:cs="Times New Roman" w:eastAsia="Times New Roman" w:hAnsi="Times New Roman"/>
          <w:sz w:val="18"/>
          <w:szCs w:val="18"/>
          <w:color w:val="auto"/>
        </w:rPr>
        <w:t>We assess our equity investments for other-than-temporary impairment by considering factors as well as all relevant and available information including, but not limited to, current economic and market conditions, the operating performance of the companies including current earnings trends and other company-specific information such as financing rounds.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27" w:lineRule="exact"/>
        <w:rPr>
          <w:sz w:val="20"/>
          <w:szCs w:val="20"/>
          <w:color w:val="auto"/>
        </w:rPr>
      </w:pPr>
    </w:p>
    <w:p>
      <w:pPr>
        <w:ind w:right="100" w:firstLine="567"/>
        <w:spacing w:after="0" w:line="266" w:lineRule="auto"/>
        <w:rPr>
          <w:sz w:val="20"/>
          <w:szCs w:val="20"/>
          <w:color w:val="auto"/>
        </w:rPr>
      </w:pPr>
      <w:r>
        <w:rPr>
          <w:rFonts w:ascii="Times New Roman" w:cs="Times New Roman" w:eastAsia="Times New Roman" w:hAnsi="Times New Roman"/>
          <w:sz w:val="18"/>
          <w:szCs w:val="18"/>
          <w:color w:val="auto"/>
        </w:rPr>
        <w:t>Our segments are business units that offer different services and are reviewed separately by the chief operating decision maker (the “CODM”) in deciding how to allocate resources and in assessing performance. Our CODM has been identified as the Chief Executive Officer. As our long-lived assets and revenues are substantially located in and derived from the PRC, no geographical segments are presented.</w:t>
      </w:r>
    </w:p>
    <w:p>
      <w:pPr>
        <w:spacing w:after="0" w:line="176" w:lineRule="exact"/>
        <w:rPr>
          <w:sz w:val="20"/>
          <w:szCs w:val="20"/>
          <w:color w:val="auto"/>
        </w:rPr>
      </w:pPr>
    </w:p>
    <w:p>
      <w:pPr>
        <w:ind w:right="300" w:firstLine="567"/>
        <w:spacing w:after="0" w:line="266" w:lineRule="auto"/>
        <w:rPr>
          <w:sz w:val="20"/>
          <w:szCs w:val="20"/>
          <w:color w:val="auto"/>
        </w:rPr>
      </w:pPr>
      <w:r>
        <w:rPr>
          <w:rFonts w:ascii="Times New Roman" w:cs="Times New Roman" w:eastAsia="Times New Roman" w:hAnsi="Times New Roman"/>
          <w:sz w:val="18"/>
          <w:szCs w:val="18"/>
          <w:color w:val="auto"/>
        </w:rPr>
        <w:t>Our organizational structure is based on a number of factors that the CODM uses to evaluate, view and run our business operations, which include, but are not limited to, customer base, homogeneity of products and technology. Our operating segments are based on our organizational structure and information reviewed by our CODM to evaluate the operating segment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Key Statement of Comprehensive Income Items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principal components of our total revenues by amount and by percentage of total revenues for the years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4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6"/>
          </w:tcPr>
          <w:p>
            <w:pPr>
              <w:jc w:val="center"/>
              <w:ind w:left="59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2740" w:type="dxa"/>
            <w:vAlign w:val="bottom"/>
          </w:tcPr>
          <w:p>
            <w:pPr>
              <w:spacing w:after="0"/>
              <w:rPr>
                <w:sz w:val="12"/>
                <w:szCs w:val="12"/>
                <w:color w:val="auto"/>
              </w:rPr>
            </w:pPr>
          </w:p>
        </w:tc>
        <w:tc>
          <w:tcPr>
            <w:tcW w:w="1520" w:type="dxa"/>
            <w:vAlign w:val="bottom"/>
            <w:tcBorders>
              <w:bottom w:val="single" w:sz="8" w:color="auto"/>
            </w:tcBorders>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8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Borders>
              <w:bottom w:val="single" w:sz="8" w:color="auto"/>
            </w:tcBorders>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8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2740" w:type="dxa"/>
            <w:vAlign w:val="bottom"/>
          </w:tcPr>
          <w:p>
            <w:pPr>
              <w:spacing w:after="0"/>
              <w:rPr>
                <w:sz w:val="12"/>
                <w:szCs w:val="12"/>
                <w:color w:val="auto"/>
              </w:rPr>
            </w:pPr>
          </w:p>
        </w:tc>
        <w:tc>
          <w:tcPr>
            <w:tcW w:w="1520" w:type="dxa"/>
            <w:vAlign w:val="bottom"/>
            <w:tcBorders>
              <w:bottom w:val="single" w:sz="8" w:color="auto"/>
            </w:tcBorders>
            <w:gridSpan w:val="3"/>
          </w:tcPr>
          <w:p>
            <w:pPr>
              <w:jc w:val="right"/>
              <w:ind w:right="8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0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0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5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40" w:type="dxa"/>
            <w:vAlign w:val="bottom"/>
            <w:tcBorders>
              <w:bottom w:val="single" w:sz="8" w:color="auto"/>
            </w:tcBorders>
            <w:gridSpan w:val="2"/>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4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2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20" w:type="dxa"/>
            <w:vAlign w:val="bottom"/>
            <w:gridSpan w:val="6"/>
          </w:tcPr>
          <w:p>
            <w:pPr>
              <w:jc w:val="center"/>
              <w:ind w:left="61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advertising revenues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1,190,158</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72.7</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1,226,516</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76.2</w:t>
            </w:r>
          </w:p>
        </w:tc>
        <w:tc>
          <w:tcPr>
            <w:tcW w:w="3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1,232,210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177,475</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85.3</w:t>
            </w:r>
          </w:p>
        </w:tc>
        <w:tc>
          <w:tcPr>
            <w:tcW w:w="40" w:type="dxa"/>
            <w:vAlign w:val="bottom"/>
          </w:tcPr>
          <w:p>
            <w:pPr>
              <w:spacing w:after="0"/>
              <w:rPr>
                <w:sz w:val="18"/>
                <w:szCs w:val="18"/>
                <w:color w:val="auto"/>
              </w:rPr>
            </w:pPr>
          </w:p>
        </w:tc>
      </w:tr>
      <w:tr>
        <w:trPr>
          <w:trHeight w:val="216"/>
        </w:trPr>
        <w:tc>
          <w:tcPr>
            <w:tcW w:w="2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Paid services revenues</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447,702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382,680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212,697</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30,635</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40" w:type="dxa"/>
            <w:vAlign w:val="bottom"/>
          </w:tcPr>
          <w:p>
            <w:pPr>
              <w:spacing w:after="0"/>
              <w:rPr>
                <w:sz w:val="18"/>
                <w:szCs w:val="18"/>
                <w:color w:val="auto"/>
              </w:rPr>
            </w:pPr>
          </w:p>
        </w:tc>
      </w:tr>
      <w:tr>
        <w:trPr>
          <w:trHeight w:val="21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1,637,860</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1,609,196</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1,444,907</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208,110</w:t>
            </w:r>
          </w:p>
        </w:tc>
        <w:tc>
          <w:tcPr>
            <w:tcW w:w="2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2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74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derive our revenues from advertising services and paid services.</w:t>
      </w:r>
    </w:p>
    <w:p>
      <w:pPr>
        <w:spacing w:after="0" w:line="223" w:lineRule="exact"/>
        <w:rPr>
          <w:sz w:val="20"/>
          <w:szCs w:val="20"/>
          <w:color w:val="auto"/>
        </w:rPr>
      </w:pPr>
    </w:p>
    <w:p>
      <w:pPr>
        <w:ind w:right="220"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Advertising services</w:t>
      </w:r>
      <w:r>
        <w:rPr>
          <w:rFonts w:ascii="Times New Roman" w:cs="Times New Roman" w:eastAsia="Times New Roman" w:hAnsi="Times New Roman"/>
          <w:sz w:val="18"/>
          <w:szCs w:val="18"/>
          <w:color w:val="auto"/>
        </w:rPr>
        <w:t>. Our net advertising revenues accounted for 72.7%, 76.2% and 85.3% of our total revenues in 2014, 2015 and 2016,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generate our net advertising revenues from payments made by advertisers to place their advertisements on our ifeng.com, mobile Internet website i.ifeng.com and our mobile applications in different formats over a particular period of time. Such formats generally include but are not limited to banners, news feed, videos, text-links, logos, buttons and rich media.</w:t>
      </w:r>
    </w:p>
    <w:p>
      <w:pPr>
        <w:spacing w:after="0" w:line="182" w:lineRule="exact"/>
        <w:rPr>
          <w:sz w:val="20"/>
          <w:szCs w:val="20"/>
          <w:color w:val="auto"/>
        </w:rPr>
      </w:pPr>
    </w:p>
    <w:p>
      <w:pPr>
        <w:ind w:right="160" w:firstLine="540"/>
        <w:spacing w:after="0" w:line="261" w:lineRule="auto"/>
        <w:rPr>
          <w:sz w:val="20"/>
          <w:szCs w:val="20"/>
          <w:color w:val="auto"/>
        </w:rPr>
      </w:pPr>
      <w:r>
        <w:rPr>
          <w:rFonts w:ascii="Times New Roman" w:cs="Times New Roman" w:eastAsia="Times New Roman" w:hAnsi="Times New Roman"/>
          <w:sz w:val="18"/>
          <w:szCs w:val="18"/>
          <w:color w:val="auto"/>
        </w:rPr>
        <w:t>Advertisers purchase our advertising services primarily through third-party advertising agencies. Currently the advertising business has three main types of pricing models, consisting of the Fixed Price model, the Cost Per Impression (“CPM”) model, and the Cost Per Click (“CPC”) model. We recognize advertising revenues on a net basis after deducting service fees earned by advertising agencies. Going forward, we expect our net advertising revenues to comprise an increasing share of our total revenues.</w:t>
      </w:r>
    </w:p>
    <w:p>
      <w:pPr>
        <w:spacing w:after="0" w:line="180"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We also earn advertising revenues from related parties, including Phoenix TV, for joint TV and online advertising solutions which we provide together with Phoenix TV to certain Phoenix TV advertising customers, China Mobile and our investees for online advertising services. We also record these revenues as net advertising revenues earned from related parties. Our net advertising revenues earned from related parties accounted for 4.7%, 5.8% and 8.0% of our net advertising revenues in 2014, 2015 and 2016, respectively.</w:t>
      </w:r>
    </w:p>
    <w:p>
      <w:pPr>
        <w:spacing w:after="0" w:line="178" w:lineRule="exact"/>
        <w:rPr>
          <w:sz w:val="20"/>
          <w:szCs w:val="20"/>
          <w:color w:val="auto"/>
        </w:rPr>
      </w:pPr>
    </w:p>
    <w:p>
      <w:pPr>
        <w:ind w:right="40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Paid services</w:t>
      </w:r>
      <w:r>
        <w:rPr>
          <w:rFonts w:ascii="Times New Roman" w:cs="Times New Roman" w:eastAsia="Times New Roman" w:hAnsi="Times New Roman"/>
          <w:sz w:val="18"/>
          <w:szCs w:val="18"/>
          <w:color w:val="auto"/>
        </w:rPr>
        <w:t>. Our paid services revenues contributed 27.3%, 23.8% and 14.7% of our total revenues in 2014, 2015 and 2016, respectively.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table sets forth our paid services offerings and their respective contributions to our paid services revenues and total revenues in 2014, 2015 and 2016, respectively.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Paid Services Offerings</w:t>
            </w:r>
          </w:p>
        </w:tc>
        <w:tc>
          <w:tcPr>
            <w:tcW w:w="2880" w:type="dxa"/>
            <w:vAlign w:val="bottom"/>
            <w:tcBorders>
              <w:bottom w:val="single" w:sz="8" w:color="auto"/>
            </w:tcBorders>
            <w:gridSpan w:val="5"/>
          </w:tcPr>
          <w:p>
            <w:pPr>
              <w:ind w:left="1060"/>
              <w:spacing w:after="0" w:line="142" w:lineRule="exact"/>
              <w:rPr>
                <w:sz w:val="20"/>
                <w:szCs w:val="20"/>
                <w:color w:val="auto"/>
              </w:rPr>
            </w:pPr>
            <w:r>
              <w:rPr>
                <w:rFonts w:ascii="Times New Roman" w:cs="Times New Roman" w:eastAsia="Times New Roman" w:hAnsi="Times New Roman"/>
                <w:sz w:val="14"/>
                <w:szCs w:val="14"/>
                <w:b w:val="1"/>
                <w:bCs w:val="1"/>
                <w:color w:val="auto"/>
              </w:rPr>
              <w:t>% of Paid Services Revenues</w:t>
            </w:r>
          </w:p>
        </w:tc>
        <w:tc>
          <w:tcPr>
            <w:tcW w:w="10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 of Total Revenues</w:t>
            </w:r>
          </w:p>
        </w:tc>
        <w:tc>
          <w:tcPr>
            <w:tcW w:w="11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40" w:type="dxa"/>
            <w:vAlign w:val="bottom"/>
            <w:gridSpan w:val="2"/>
            <w:vMerge w:val="continue"/>
          </w:tcPr>
          <w:p>
            <w:pPr>
              <w:spacing w:after="0"/>
              <w:rPr>
                <w:sz w:val="12"/>
                <w:szCs w:val="12"/>
                <w:color w:val="auto"/>
              </w:rPr>
            </w:pPr>
          </w:p>
        </w:tc>
        <w:tc>
          <w:tcPr>
            <w:tcW w:w="1140" w:type="dxa"/>
            <w:vAlign w:val="bottom"/>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Pr>
          <w:p>
            <w:pPr>
              <w:spacing w:after="0"/>
              <w:rPr>
                <w:sz w:val="12"/>
                <w:szCs w:val="12"/>
                <w:color w:val="auto"/>
              </w:rPr>
            </w:pPr>
          </w:p>
        </w:tc>
        <w:tc>
          <w:tcPr>
            <w:tcW w:w="1160" w:type="dxa"/>
            <w:vAlign w:val="bottom"/>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Pr>
          <w:p>
            <w:pPr>
              <w:spacing w:after="0"/>
              <w:rPr>
                <w:sz w:val="12"/>
                <w:szCs w:val="12"/>
                <w:color w:val="auto"/>
              </w:rPr>
            </w:pPr>
          </w:p>
        </w:tc>
        <w:tc>
          <w:tcPr>
            <w:tcW w:w="1160" w:type="dxa"/>
            <w:vAlign w:val="bottom"/>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Pr>
          <w:p>
            <w:pPr>
              <w:spacing w:after="0"/>
              <w:rPr>
                <w:sz w:val="12"/>
                <w:szCs w:val="12"/>
                <w:color w:val="auto"/>
              </w:rPr>
            </w:pPr>
          </w:p>
        </w:tc>
        <w:tc>
          <w:tcPr>
            <w:tcW w:w="1280" w:type="dxa"/>
            <w:vAlign w:val="bottom"/>
            <w:gridSpan w:val="2"/>
          </w:tcPr>
          <w:p>
            <w:pPr>
              <w:jc w:val="right"/>
              <w:ind w:right="33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Pr>
          <w:p>
            <w:pPr>
              <w:spacing w:after="0"/>
              <w:rPr>
                <w:sz w:val="12"/>
                <w:szCs w:val="12"/>
                <w:color w:val="auto"/>
              </w:rPr>
            </w:pPr>
          </w:p>
        </w:tc>
        <w:tc>
          <w:tcPr>
            <w:tcW w:w="1140" w:type="dxa"/>
            <w:vAlign w:val="bottom"/>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 xml:space="preserve">Digital entertainment </w:t>
            </w:r>
            <w:r>
              <w:rPr>
                <w:rFonts w:ascii="Times New Roman" w:cs="Times New Roman" w:eastAsia="Times New Roman" w:hAnsi="Times New Roman"/>
                <w:sz w:val="18"/>
                <w:szCs w:val="18"/>
                <w:color w:val="auto"/>
              </w:rPr>
              <w:t>(1)</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Games and others </w:t>
            </w:r>
            <w:r>
              <w:rPr>
                <w:rFonts w:ascii="Times New Roman" w:cs="Times New Roman" w:eastAsia="Times New Roman" w:hAnsi="Times New Roman"/>
                <w:sz w:val="18"/>
                <w:szCs w:val="18"/>
                <w:color w:val="auto"/>
              </w:rPr>
              <w:t>(2)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182689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7" w:lineRule="exact"/>
        <w:rPr>
          <w:sz w:val="20"/>
          <w:szCs w:val="20"/>
          <w:color w:val="auto"/>
        </w:rPr>
      </w:pPr>
    </w:p>
    <w:p>
      <w:pPr>
        <w:ind w:left="440" w:right="60" w:hanging="432"/>
        <w:spacing w:after="0" w:line="254" w:lineRule="auto"/>
        <w:tabs>
          <w:tab w:leader="none" w:pos="45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2016, our paid service revenues mainly comprised of the revenues generated from MVAS and games and others. Digital reading was previously classified under “games and others”. In order to align with our overall strategies, in 2016, digital reading was re-classified from “Games and others”, and digital reading together with MVAS was determined as “Digital entertainment”. Accordingly, the percentage of paid services revenues and the percentage of total revenues in 2014 and 2015 has been revised to conform to those of 2016.</w:t>
      </w:r>
    </w:p>
    <w:p>
      <w:pPr>
        <w:spacing w:after="0" w:line="185" w:lineRule="exact"/>
        <w:rPr>
          <w:rFonts w:ascii="Times New Roman" w:cs="Times New Roman" w:eastAsia="Times New Roman" w:hAnsi="Times New Roman"/>
          <w:sz w:val="18"/>
          <w:szCs w:val="18"/>
          <w:color w:val="auto"/>
        </w:rPr>
      </w:pPr>
    </w:p>
    <w:p>
      <w:pPr>
        <w:ind w:left="440" w:right="100" w:hanging="432"/>
        <w:spacing w:after="0" w:line="266" w:lineRule="auto"/>
        <w:tabs>
          <w:tab w:leader="none" w:pos="45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Games and others include web-based games, mobile games, online digital reading, content sales, and other online and mobile paid services through our own platforms. As mentioned in note (1) above, the percentage of paid services revenues and the percentage of total revenues in 2014 and 2015 has been revised to conform to those of 2016.</w:t>
      </w:r>
    </w:p>
    <w:p>
      <w:pPr>
        <w:spacing w:after="0" w:line="176"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revenue were recorded either on gross or net basis depending on the nature of the services that we provided to the customers.</w:t>
      </w:r>
    </w:p>
    <w:p>
      <w:pPr>
        <w:sectPr>
          <w:pgSz w:w="11900" w:h="16838" w:orient="portrait"/>
          <w:cols w:equalWidth="0" w:num="1">
            <w:col w:w="11460"/>
          </w:cols>
          <w:pgMar w:left="240" w:top="121" w:right="199" w:bottom="0" w:gutter="0" w:footer="0" w:header="0"/>
        </w:sectPr>
      </w:pP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type w:val="continuous"/>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Our paid services revenues generated from China Mobile, a related party, accounted for 64.9%, 71.5% and 57.7% of our paid services revenues in 2014, 2015 and 2016, respectively. We generated paid services revenues of RMB240.9 million, RMB262.7 million and RMB105.4 million (US$15.2 million) from providing services to customers of China Mobile and collecting fees through arrangements with China Mobile in 2014, 2015 and 2016, respectively. The decrease in paid services revenues with China Mobile was primarily due to the decline in users’ demand for services provided through telecom operators in China, which was consistent with our expectations given the shrinking demand for such services in general. In the same years, we derived paid services revenues of RMB49.8 million, RMB10.8 million and RMB17.3 million (US$2.5 million), respectively, from fixed fees from China Mobile for our mobile newspaper service.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Our cost of revenues consists primarily of (1) revenue sharing fees, including service fees retained by mobile operators, which are recognized as cost of revenues for revenues recorded on gross basis, and revenue sharing fees paid to our channel and content partners, (2) content and operational costs, including personnel-related cost associated with content production and certain advertisement sales support personnel, content procurement costs to third-party professional media companies and to Phoenix TV Group, direct costs related to in-house content production, channel testing costs, rental cost, depreciation and amortization and other miscellaneous costs, (3) bandwidth costs and (4) sales taxes and surcharges, including business tax and value added tax. The following table sets forth the components of our cost of revenues by amount and by percentage of total revenues for the years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3160" w:type="dxa"/>
            <w:vAlign w:val="bottom"/>
          </w:tcPr>
          <w:p>
            <w:pPr>
              <w:spacing w:after="0"/>
              <w:rPr>
                <w:sz w:val="12"/>
                <w:szCs w:val="12"/>
                <w:color w:val="auto"/>
              </w:rPr>
            </w:pPr>
          </w:p>
        </w:tc>
        <w:tc>
          <w:tcPr>
            <w:tcW w:w="1420" w:type="dxa"/>
            <w:vAlign w:val="bottom"/>
            <w:tcBorders>
              <w:bottom w:val="single" w:sz="8" w:color="auto"/>
            </w:tcBorders>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7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Borders>
              <w:bottom w:val="single" w:sz="8" w:color="auto"/>
            </w:tcBorders>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7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3160" w:type="dxa"/>
            <w:vAlign w:val="bottom"/>
          </w:tcPr>
          <w:p>
            <w:pPr>
              <w:spacing w:after="0"/>
              <w:rPr>
                <w:sz w:val="12"/>
                <w:szCs w:val="12"/>
                <w:color w:val="auto"/>
              </w:rPr>
            </w:pPr>
          </w:p>
        </w:tc>
        <w:tc>
          <w:tcPr>
            <w:tcW w:w="1420" w:type="dxa"/>
            <w:vAlign w:val="bottom"/>
            <w:tcBorders>
              <w:bottom w:val="single" w:sz="8" w:color="auto"/>
            </w:tcBorders>
            <w:gridSpan w:val="3"/>
          </w:tcPr>
          <w:p>
            <w:pPr>
              <w:jc w:val="right"/>
              <w:ind w:right="7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74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ind w:right="7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760" w:type="dxa"/>
            <w:vAlign w:val="bottom"/>
            <w:tcBorders>
              <w:bottom w:val="single" w:sz="8" w:color="auto"/>
            </w:tcBorders>
          </w:tcPr>
          <w:p>
            <w:pPr>
              <w:jc w:val="center"/>
              <w:ind w:right="1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0" w:type="dxa"/>
            <w:vAlign w:val="bottom"/>
            <w:tcBorders>
              <w:bottom w:val="single" w:sz="8" w:color="auto"/>
            </w:tcBorders>
            <w:gridSpan w:val="2"/>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96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3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20" w:type="dxa"/>
            <w:vAlign w:val="bottom"/>
            <w:gridSpan w:val="6"/>
          </w:tcPr>
          <w:p>
            <w:pPr>
              <w:jc w:val="center"/>
              <w:ind w:left="55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Revenue sharing fees</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192,076</w:t>
            </w:r>
          </w:p>
        </w:tc>
        <w:tc>
          <w:tcPr>
            <w:tcW w:w="2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216,972</w:t>
            </w: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w:t>
            </w:r>
          </w:p>
        </w:tc>
        <w:tc>
          <w:tcPr>
            <w:tcW w:w="3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72,027</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10,374</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r>
      <w:tr>
        <w:trPr>
          <w:trHeight w:val="216"/>
        </w:trPr>
        <w:tc>
          <w:tcPr>
            <w:tcW w:w="3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Content and operational costs</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376,555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23.0</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406,741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470,813</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67,811</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shd w:val="clear" w:color="auto" w:fill="CCEEFF"/>
          </w:tcPr>
          <w:p>
            <w:pPr>
              <w:spacing w:after="0"/>
              <w:rPr>
                <w:sz w:val="18"/>
                <w:szCs w:val="18"/>
                <w:color w:val="auto"/>
              </w:rPr>
            </w:pPr>
          </w:p>
        </w:tc>
      </w:tr>
      <w:tr>
        <w:trPr>
          <w:trHeight w:val="216"/>
        </w:trPr>
        <w:tc>
          <w:tcPr>
            <w:tcW w:w="3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Bandwidth costs</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83,233</w:t>
            </w:r>
          </w:p>
        </w:tc>
        <w:tc>
          <w:tcPr>
            <w:tcW w:w="2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83,171</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64,200</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9,247</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r>
      <w:tr>
        <w:trPr>
          <w:trHeight w:val="216"/>
        </w:trPr>
        <w:tc>
          <w:tcPr>
            <w:tcW w:w="3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Sales taxes and surcharges</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129,768</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122,502</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119,767</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17,250</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18"/>
                <w:szCs w:val="18"/>
                <w:color w:val="auto"/>
              </w:rPr>
            </w:pPr>
          </w:p>
        </w:tc>
      </w:tr>
      <w:tr>
        <w:trPr>
          <w:trHeight w:val="21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781,632</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829,386</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726,807</w:t>
            </w:r>
          </w:p>
        </w:tc>
        <w:tc>
          <w:tcPr>
            <w:tcW w:w="2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104,682</w:t>
            </w:r>
          </w:p>
        </w:tc>
        <w:tc>
          <w:tcPr>
            <w:tcW w:w="2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right="480"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Revenue Sharing Fees</w:t>
      </w:r>
      <w:r>
        <w:rPr>
          <w:rFonts w:ascii="Times New Roman" w:cs="Times New Roman" w:eastAsia="Times New Roman" w:hAnsi="Times New Roman"/>
          <w:sz w:val="18"/>
          <w:szCs w:val="18"/>
          <w:color w:val="auto"/>
        </w:rPr>
        <w:t>. We share the revenues generated from these services with the mobile operators through whose networks and/or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platforms we offer our services to our users, and record the revenue sharing fee as cost of revenues. We also share the revenues generated from our paid services with channel partners through whose platforms we market and distribute our services and with certain content providers, as applicable. The percentage allocations for our revenue sharing are determined with the relevant parties and vary by service.</w:t>
      </w:r>
    </w:p>
    <w:p>
      <w:pPr>
        <w:spacing w:after="0" w:line="180" w:lineRule="exact"/>
        <w:rPr>
          <w:sz w:val="20"/>
          <w:szCs w:val="20"/>
          <w:color w:val="auto"/>
        </w:rPr>
      </w:pPr>
    </w:p>
    <w:p>
      <w:pPr>
        <w:ind w:right="60" w:firstLine="441"/>
        <w:spacing w:after="0" w:line="259" w:lineRule="auto"/>
        <w:rPr>
          <w:sz w:val="20"/>
          <w:szCs w:val="20"/>
          <w:color w:val="auto"/>
        </w:rPr>
      </w:pPr>
      <w:r>
        <w:rPr>
          <w:rFonts w:ascii="Times New Roman" w:cs="Times New Roman" w:eastAsia="Times New Roman" w:hAnsi="Times New Roman"/>
          <w:sz w:val="18"/>
          <w:szCs w:val="18"/>
          <w:i w:val="1"/>
          <w:iCs w:val="1"/>
          <w:color w:val="auto"/>
        </w:rPr>
        <w:t>Content and Operational Costs</w:t>
      </w:r>
      <w:r>
        <w:rPr>
          <w:rFonts w:ascii="Times New Roman" w:cs="Times New Roman" w:eastAsia="Times New Roman" w:hAnsi="Times New Roman"/>
          <w:sz w:val="18"/>
          <w:szCs w:val="18"/>
          <w:color w:val="auto"/>
        </w:rPr>
        <w:t>. Our content costs consist of (i) personnel-related costs which include share-based compensation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content production and advertising sales support staff, (ii) payments we make to third-party professional media companies, (iii) revenue sharing fees we pay to Phoenix TV Group for sales of its video content, (iv) the license fees we pay to Phoenix TV Group for the use of its content, (v) production costs related to our in-house produced content, and (vi) operational costs which consist of channel testing costs, event costs incurred in connection with advertising revenue-generating activities, rental costs, depreciation and amortization costs, and other miscellaneous costs.</w:t>
      </w:r>
    </w:p>
    <w:p>
      <w:pPr>
        <w:spacing w:after="0" w:line="180" w:lineRule="exact"/>
        <w:rPr>
          <w:sz w:val="20"/>
          <w:szCs w:val="20"/>
          <w:color w:val="auto"/>
        </w:rPr>
      </w:pPr>
    </w:p>
    <w:p>
      <w:pPr>
        <w:ind w:right="80" w:firstLine="450"/>
        <w:spacing w:after="0" w:line="284" w:lineRule="auto"/>
        <w:rPr>
          <w:sz w:val="20"/>
          <w:szCs w:val="20"/>
          <w:color w:val="auto"/>
        </w:rPr>
      </w:pPr>
      <w:r>
        <w:rPr>
          <w:rFonts w:ascii="Times New Roman" w:cs="Times New Roman" w:eastAsia="Times New Roman" w:hAnsi="Times New Roman"/>
          <w:sz w:val="18"/>
          <w:szCs w:val="18"/>
          <w:i w:val="1"/>
          <w:iCs w:val="1"/>
          <w:color w:val="auto"/>
        </w:rPr>
        <w:t>Bandwidth Costs</w:t>
      </w:r>
      <w:r>
        <w:rPr>
          <w:rFonts w:ascii="Times New Roman" w:cs="Times New Roman" w:eastAsia="Times New Roman" w:hAnsi="Times New Roman"/>
          <w:sz w:val="18"/>
          <w:szCs w:val="18"/>
          <w:color w:val="auto"/>
        </w:rPr>
        <w:t>. Bandwidth costs are the fees we pay to mobile operators and other service providers for telecommunications services and for hosting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servers at their Internet data centers.</w:t>
      </w:r>
    </w:p>
    <w:p>
      <w:pPr>
        <w:spacing w:after="0" w:line="158" w:lineRule="exact"/>
        <w:rPr>
          <w:sz w:val="20"/>
          <w:szCs w:val="20"/>
          <w:color w:val="auto"/>
        </w:rPr>
      </w:pPr>
    </w:p>
    <w:p>
      <w:pPr>
        <w:ind w:right="60" w:firstLine="441"/>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Sales Taxes and Surcharges. </w:t>
      </w:r>
      <w:r>
        <w:rPr>
          <w:rFonts w:ascii="Times New Roman" w:cs="Times New Roman" w:eastAsia="Times New Roman" w:hAnsi="Times New Roman"/>
          <w:sz w:val="18"/>
          <w:szCs w:val="18"/>
          <w:color w:val="auto"/>
        </w:rPr>
        <w:t>On November 16, 2011, Ministry of Finance and the State Administration of Taxation announced the Business Tax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Added Tax Transformation Pilot Program, or the VAT Pilot Program. Productive service industries, such as the transportation industry and certain modern services industries, were the first in the pilot regions to implement the VAT Pilot Program. The implementation of the VAT Pilot Program began on January 1, 2012 in Shanghai and on September 1, 2012 in Beijing, and was then expanded to seven other provinces and municipalities by the end of 2012. Commencing on August 1, 2013, the implementation of VAT Pilot Program has been expanded to all regions in the PRC. As a result of the VAT Pilot Program, the advertising revenues and other “modern service” revenues, such as games and others services revenues earned by our entities and technical service fees paid by affiliated consolidated entities to us, are subject to value-added tax and surcharges at a rate of approximately 6.7%. On April 29, 2014, a notification (the “Cai Shui [2014] No. 43”) was jointly issued by the Ministry of Finance and State Administration of Taxation of the People’s Republic of China, and as approved by the State Council of the People’s Republic of China, the telecommunications industry was included in the scope of the VAT Pilot Program for the transformation from the business tax to value-added tax from June 1, 2014. As a result, our MVAS revenues are subject to value-added tax and surcharges at a rate of approximately 6.7% from June 1, 2014. On March 23, 2016, the Ministry of Finance and the SAT jointly issued the Circular on the Pilot Program for Overall Implementation of the Collection of VAT Instead of Business Tax, or Circular 36, which took effect on May 1, 2016 and replace Notice No. 43. Pursuant to the Circular 36, all of the companies operating in construction, real estate, finance, modern service or other sectors which were required to pay business tax are required to pay VAT, in lieu of business tax. We are also subject to a cultural development fee on the provision of advertising services in China. The applicable tax rate is 3% of the net advertising revenues</w:t>
      </w:r>
      <w:r>
        <w:rPr>
          <w:rFonts w:ascii="Times New Roman" w:cs="Times New Roman" w:eastAsia="Times New Roman" w:hAnsi="Times New Roman"/>
          <w:sz w:val="18"/>
          <w:szCs w:val="18"/>
          <w:i w:val="1"/>
          <w:iCs w:val="1"/>
          <w:color w:val="auto"/>
        </w:rPr>
        <w:t>.</w:t>
      </w:r>
    </w:p>
    <w:p>
      <w:pPr>
        <w:spacing w:after="0" w:line="199" w:lineRule="exact"/>
        <w:rPr>
          <w:sz w:val="20"/>
          <w:szCs w:val="20"/>
          <w:color w:val="auto"/>
        </w:rPr>
      </w:pPr>
    </w:p>
    <w:p>
      <w:pPr>
        <w:jc w:val="both"/>
        <w:ind w:right="400" w:firstLine="441"/>
        <w:spacing w:after="0" w:line="266" w:lineRule="auto"/>
        <w:rPr>
          <w:sz w:val="20"/>
          <w:szCs w:val="20"/>
          <w:color w:val="auto"/>
        </w:rPr>
      </w:pPr>
      <w:r>
        <w:rPr>
          <w:rFonts w:ascii="Times New Roman" w:cs="Times New Roman" w:eastAsia="Times New Roman" w:hAnsi="Times New Roman"/>
          <w:sz w:val="18"/>
          <w:szCs w:val="18"/>
          <w:color w:val="auto"/>
        </w:rPr>
        <w:t>For more information about such taxes, surcharges and fees, see “—Taxation.” For more information about risks related to potential changes in the taxes applicable to us, see “Item 3. Key Information—D. Risk Factors—Risks Relating to Our Business and Industry—The discontinuation of any of the preferential tax treatments available to us in China could materially and adversely affect our operating results and financial condition.”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420"/>
          </w:cols>
          <w:pgMar w:left="240" w:top="364" w:right="239" w:bottom="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ectPr>
          <w:pgSz w:w="11900" w:h="16838" w:orient="portrait"/>
          <w:cols w:equalWidth="0" w:num="1">
            <w:col w:w="11420"/>
          </w:cols>
          <w:pgMar w:left="240" w:top="364" w:right="239" w:bottom="0" w:gutter="0" w:footer="0" w:header="0"/>
          <w:type w:val="continuous"/>
        </w:sectPr>
      </w:pPr>
    </w:p>
    <w:bookmarkStart w:id="66" w:name="page67"/>
    <w:bookmarkEnd w:id="66"/>
    <w:p>
      <w:pPr>
        <w:spacing w:after="0" w:line="62" w:lineRule="exact"/>
        <w:rPr>
          <w:sz w:val="20"/>
          <w:szCs w:val="20"/>
          <w:color w:val="auto"/>
        </w:rPr>
      </w:pPr>
    </w:p>
    <w:p>
      <w:pPr>
        <w:ind w:right="140" w:firstLine="441"/>
        <w:spacing w:after="0" w:line="258" w:lineRule="auto"/>
        <w:rPr>
          <w:sz w:val="20"/>
          <w:szCs w:val="20"/>
          <w:color w:val="auto"/>
        </w:rPr>
      </w:pPr>
      <w:r>
        <w:rPr>
          <w:rFonts w:ascii="Times New Roman" w:cs="Times New Roman" w:eastAsia="Times New Roman" w:hAnsi="Times New Roman"/>
          <w:sz w:val="18"/>
          <w:szCs w:val="18"/>
          <w:color w:val="auto"/>
        </w:rPr>
        <w:t>Our operating expenses consist of sales and marketing expenses, general and administrative expenses and technology and product development expenses, and include allocations of expenses from Phoenix TV. Share-based compensation is included in our operating expenses as they are incurred. The increase in operating expenses from 2014 to 2015 was primarily attributable to increased mobile traffic acquisition expenses and provision for bad debt. The decrease in operating expenses from 2015 to 2016 was primarily attributable to a decrease in share-based compensation expenses, which was partially offset by an increase in expenses associated with mobile traffic acquisition.</w:t>
      </w:r>
    </w:p>
    <w:p>
      <w:pPr>
        <w:spacing w:after="0" w:line="184"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operating expenses, divided into their major categories, by amount and by percentage of total revenues for the years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7"/>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560" w:type="dxa"/>
            <w:vAlign w:val="bottom"/>
          </w:tcPr>
          <w:p>
            <w:pPr>
              <w:spacing w:after="0"/>
              <w:rPr>
                <w:sz w:val="12"/>
                <w:szCs w:val="12"/>
                <w:color w:val="auto"/>
              </w:rPr>
            </w:pPr>
          </w:p>
        </w:tc>
        <w:tc>
          <w:tcPr>
            <w:tcW w:w="1360" w:type="dxa"/>
            <w:vAlign w:val="bottom"/>
            <w:tcBorders>
              <w:bottom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7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Borders>
              <w:bottom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7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560" w:type="dxa"/>
            <w:vAlign w:val="bottom"/>
          </w:tcPr>
          <w:p>
            <w:pPr>
              <w:spacing w:after="0"/>
              <w:rPr>
                <w:sz w:val="12"/>
                <w:szCs w:val="12"/>
                <w:color w:val="auto"/>
              </w:rPr>
            </w:pPr>
          </w:p>
        </w:tc>
        <w:tc>
          <w:tcPr>
            <w:tcW w:w="1360" w:type="dxa"/>
            <w:vAlign w:val="bottom"/>
            <w:tcBorders>
              <w:bottom w:val="single" w:sz="8" w:color="auto"/>
            </w:tcBorders>
            <w:gridSpan w:val="3"/>
          </w:tcPr>
          <w:p>
            <w:pPr>
              <w:jc w:val="right"/>
              <w:ind w:right="7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70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jc w:val="right"/>
              <w:ind w:right="7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70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120" w:type="dxa"/>
            <w:vAlign w:val="bottom"/>
            <w:tcBorders>
              <w:bottom w:val="single" w:sz="8" w:color="auto"/>
            </w:tcBorders>
            <w:gridSpan w:val="2"/>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92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r>
      <w:tr>
        <w:trPr>
          <w:trHeight w:val="142"/>
        </w:trPr>
        <w:tc>
          <w:tcPr>
            <w:tcW w:w="3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20" w:type="dxa"/>
            <w:vAlign w:val="bottom"/>
            <w:gridSpan w:val="7"/>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330,777</w:t>
            </w: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346,133</w:t>
            </w: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21.5</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339,171</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48,851</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3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137,818</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183,989</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181,677</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26,167</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r>
      <w:tr>
        <w:trPr>
          <w:trHeight w:val="198"/>
        </w:trPr>
        <w:tc>
          <w:tcPr>
            <w:tcW w:w="35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Technology and product development</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expenses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149,996</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170,714</w:t>
            </w:r>
          </w:p>
        </w:tc>
        <w:tc>
          <w:tcPr>
            <w:tcW w:w="2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10.6</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161,880</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23,316</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r>
      <w:tr>
        <w:trPr>
          <w:trHeight w:val="210"/>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618,591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700,836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682,728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98,334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right="60"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r>
        <w:rPr>
          <w:rFonts w:ascii="Times New Roman" w:cs="Times New Roman" w:eastAsia="Times New Roman" w:hAnsi="Times New Roman"/>
          <w:sz w:val="18"/>
          <w:szCs w:val="18"/>
          <w:color w:val="auto"/>
        </w:rPr>
        <w:t>. Our sales and marketing expenses consist primarily of sales and marketing personnel-related expenses, including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commissions, advertising and promotion expenses, mobile traffic acquisition expenses, rental expenses, and depreciation and amortization expenses.</w:t>
      </w:r>
    </w:p>
    <w:p>
      <w:pPr>
        <w:spacing w:after="0" w:line="155" w:lineRule="exact"/>
        <w:rPr>
          <w:sz w:val="20"/>
          <w:szCs w:val="20"/>
          <w:color w:val="auto"/>
        </w:rPr>
      </w:pPr>
    </w:p>
    <w:p>
      <w:pPr>
        <w:ind w:right="180"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r>
        <w:rPr>
          <w:rFonts w:ascii="Times New Roman" w:cs="Times New Roman" w:eastAsia="Times New Roman" w:hAnsi="Times New Roman"/>
          <w:sz w:val="18"/>
          <w:szCs w:val="18"/>
          <w:color w:val="auto"/>
        </w:rPr>
        <w:t>. Our general and administrative expenses primarily consist of personnel-related expenses for management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administrative staff, professional service expenses, bad debt provision, rental expenses, and depreciation and amortization expenses.</w:t>
      </w:r>
    </w:p>
    <w:p>
      <w:pPr>
        <w:spacing w:after="0" w:line="155" w:lineRule="exact"/>
        <w:rPr>
          <w:sz w:val="20"/>
          <w:szCs w:val="20"/>
          <w:color w:val="auto"/>
        </w:rPr>
      </w:pPr>
    </w:p>
    <w:p>
      <w:pPr>
        <w:ind w:right="180" w:firstLine="44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Technology and Product Development Expenses</w:t>
      </w:r>
      <w:r>
        <w:rPr>
          <w:rFonts w:ascii="Times New Roman" w:cs="Times New Roman" w:eastAsia="Times New Roman" w:hAnsi="Times New Roman"/>
          <w:sz w:val="18"/>
          <w:szCs w:val="18"/>
          <w:color w:val="auto"/>
        </w:rPr>
        <w:t>. Our technology and product development expenses mainly consist of personnel-related expenses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associated with the development and maintenance of, and enhancement to our websites, expenses associated with new technology and product development and enhancement, rental expenses, and depreciation and amortization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We measure the cost of employee services received in exchange for share-based compensation at the grant date fair value of the award. We recognize share-based compensation, net of forfeitures, on a graded-vesting basis over the vesting term of the award. We adopt the Black-Scholes option pricing model to determine the fair value of stock options, and determine the fair value of restricted share and restricted share units based on the fair value of the underlying ordinary shares at the grant date considering the dilutive effect of restricted share and restricted share units. We account for share-based compensation using an estimated forfeiture rate at the time of grant and revised, if necessary, in subsequent periods if actual forfeitures differ from initial estimates. Share-based compensation is recorded net of estimated forfeitures such that expenses are recorded only for share-based awards that are expected to vest.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229" w:lineRule="exact"/>
        <w:rPr>
          <w:sz w:val="20"/>
          <w:szCs w:val="20"/>
          <w:color w:val="auto"/>
        </w:rPr>
      </w:pPr>
    </w:p>
    <w:p>
      <w:pPr>
        <w:ind w:right="200" w:firstLine="441"/>
        <w:spacing w:after="0" w:line="261" w:lineRule="auto"/>
        <w:rPr>
          <w:sz w:val="20"/>
          <w:szCs w:val="20"/>
          <w:color w:val="auto"/>
        </w:rPr>
      </w:pPr>
      <w:r>
        <w:rPr>
          <w:rFonts w:ascii="Times New Roman" w:cs="Times New Roman" w:eastAsia="Times New Roman" w:hAnsi="Times New Roman"/>
          <w:sz w:val="18"/>
          <w:szCs w:val="18"/>
          <w:color w:val="auto"/>
        </w:rPr>
        <w:t>In 2014, 2015 and 2016, we have entered into transactions with our related parties Phoenix TV and China Mobile that impact our net advertising revenues, paid services revenues, cost of revenues, sales and marketing expenses and general and administrative expenses. In 2014, 2015 and 2016, we also have entered into transactions with our certain investees. See “Item 7. Major Shareholders and Related Party Transactions—B. Related Party Transactions.” The following table sets forth the significant transactions with our related parties.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jc w:val="center"/>
              <w:ind w:right="332"/>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600" w:type="dxa"/>
            <w:vAlign w:val="bottom"/>
          </w:tcPr>
          <w:p>
            <w:pPr>
              <w:spacing w:after="0"/>
              <w:rPr>
                <w:sz w:val="12"/>
                <w:szCs w:val="12"/>
                <w:color w:val="auto"/>
              </w:rPr>
            </w:pPr>
          </w:p>
        </w:tc>
        <w:tc>
          <w:tcPr>
            <w:tcW w:w="102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Pr>
          <w:p>
            <w:pPr>
              <w:spacing w:after="0"/>
              <w:rPr>
                <w:sz w:val="12"/>
                <w:szCs w:val="12"/>
                <w:color w:val="auto"/>
              </w:rPr>
            </w:pPr>
          </w:p>
        </w:tc>
        <w:tc>
          <w:tcPr>
            <w:tcW w:w="102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8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6600" w:type="dxa"/>
            <w:vAlign w:val="bottom"/>
          </w:tcPr>
          <w:p>
            <w:pPr>
              <w:spacing w:after="0"/>
              <w:rPr>
                <w:sz w:val="12"/>
                <w:szCs w:val="12"/>
                <w:color w:val="auto"/>
              </w:rPr>
            </w:pPr>
          </w:p>
        </w:tc>
        <w:tc>
          <w:tcPr>
            <w:tcW w:w="10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72"/>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82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12"/>
                <w:szCs w:val="12"/>
                <w:color w:val="auto"/>
              </w:rPr>
            </w:pPr>
          </w:p>
        </w:tc>
      </w:tr>
      <w:tr>
        <w:trPr>
          <w:trHeight w:val="142"/>
        </w:trPr>
        <w:tc>
          <w:tcPr>
            <w:tcW w:w="6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3"/>
          </w:tcPr>
          <w:p>
            <w:pPr>
              <w:jc w:val="center"/>
              <w:ind w:left="59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Transactions with the non-US listed part of Phoenix TV Group :</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Content provided by Phoenix TV Group</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(3,757)</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(4,730)</w:t>
            </w:r>
          </w:p>
        </w:tc>
        <w:tc>
          <w:tcPr>
            <w:tcW w:w="340" w:type="dxa"/>
            <w:vAlign w:val="bottom"/>
          </w:tcPr>
          <w:p>
            <w:pPr>
              <w:spacing w:after="0"/>
              <w:rPr>
                <w:sz w:val="18"/>
                <w:szCs w:val="18"/>
                <w:color w:val="auto"/>
              </w:rPr>
            </w:pPr>
          </w:p>
        </w:tc>
        <w:tc>
          <w:tcPr>
            <w:tcW w:w="11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(7,447)</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(1,073)</w:t>
            </w:r>
          </w:p>
        </w:tc>
      </w:tr>
      <w:tr>
        <w:trPr>
          <w:trHeight w:val="216"/>
        </w:trPr>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Data line services provided by Phoenix TV Group</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(363)</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Advertising and promotion expenses charged by Phoenix TV Group</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(1,246)</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(1,788)</w:t>
            </w:r>
          </w:p>
        </w:tc>
        <w:tc>
          <w:tcPr>
            <w:tcW w:w="340" w:type="dxa"/>
            <w:vAlign w:val="bottom"/>
          </w:tcPr>
          <w:p>
            <w:pPr>
              <w:spacing w:after="0"/>
              <w:rPr>
                <w:sz w:val="18"/>
                <w:szCs w:val="18"/>
                <w:color w:val="auto"/>
              </w:rPr>
            </w:pPr>
          </w:p>
        </w:tc>
        <w:tc>
          <w:tcPr>
            <w:tcW w:w="11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(1,277)</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administrative expenses charged by Phoenix TV Group</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(354)</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(1,812)</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(260)</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Project cost charged by Phoenix TV Group</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tcPr>
          <w:p>
            <w:pPr>
              <w:spacing w:after="0"/>
              <w:rPr>
                <w:sz w:val="18"/>
                <w:szCs w:val="18"/>
                <w:color w:val="auto"/>
              </w:rPr>
            </w:pPr>
          </w:p>
        </w:tc>
        <w:tc>
          <w:tcPr>
            <w:tcW w:w="11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Revenues earned from Phoenix TV Group</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25,168</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16,510</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10,356</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1,492</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Transactions with China Mobile: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Advertising revenues earned from China Mobile</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29,643</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35,787</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31,956</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4,603</w:t>
            </w: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Paid services revenues earned from and through China Mobile</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290,755</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273,510</w:t>
            </w:r>
          </w:p>
        </w:tc>
        <w:tc>
          <w:tcPr>
            <w:tcW w:w="340" w:type="dxa"/>
            <w:vAlign w:val="bottom"/>
          </w:tcPr>
          <w:p>
            <w:pPr>
              <w:spacing w:after="0"/>
              <w:rPr>
                <w:sz w:val="18"/>
                <w:szCs w:val="18"/>
                <w:color w:val="auto"/>
              </w:rPr>
            </w:pPr>
          </w:p>
        </w:tc>
        <w:tc>
          <w:tcPr>
            <w:tcW w:w="11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122,672</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17,668</w:t>
            </w:r>
          </w:p>
        </w:tc>
      </w:tr>
      <w:tr>
        <w:trPr>
          <w:trHeight w:val="216"/>
        </w:trPr>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Revenue sharing fees and bandwidth cost to China Mobile</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(41,766)</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(44,359)</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(20,941)</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(3,016)</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Transactions with Investees :</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Loans provided to Phoenix FM</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4,300</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8,000</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Advances provided to/(repaid from) Phoenix FM</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(102)</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Loans repaid from Phoenix FM</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(800)</w:t>
            </w:r>
          </w:p>
        </w:tc>
        <w:tc>
          <w:tcPr>
            <w:tcW w:w="15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(7,056)</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(1,016)</w:t>
            </w: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Advertising revenues earned from Tianbo</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421</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4,384</w:t>
            </w:r>
          </w:p>
        </w:tc>
        <w:tc>
          <w:tcPr>
            <w:tcW w:w="340" w:type="dxa"/>
            <w:vAlign w:val="bottom"/>
          </w:tcPr>
          <w:p>
            <w:pPr>
              <w:spacing w:after="0"/>
              <w:rPr>
                <w:sz w:val="18"/>
                <w:szCs w:val="18"/>
                <w:color w:val="auto"/>
              </w:rPr>
            </w:pPr>
          </w:p>
        </w:tc>
        <w:tc>
          <w:tcPr>
            <w:tcW w:w="11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13,482</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1,942</w:t>
            </w:r>
          </w:p>
        </w:tc>
      </w:tr>
      <w:tr>
        <w:trPr>
          <w:trHeight w:val="216"/>
        </w:trPr>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Advances provided to/(repaid from) Tianbo</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1,177</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(1,177)</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Advertising revenues earned from Lilita</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14,414</w:t>
            </w:r>
          </w:p>
        </w:tc>
        <w:tc>
          <w:tcPr>
            <w:tcW w:w="340" w:type="dxa"/>
            <w:vAlign w:val="bottom"/>
          </w:tcPr>
          <w:p>
            <w:pPr>
              <w:spacing w:after="0"/>
              <w:rPr>
                <w:sz w:val="18"/>
                <w:szCs w:val="18"/>
                <w:color w:val="auto"/>
              </w:rPr>
            </w:pPr>
          </w:p>
        </w:tc>
        <w:tc>
          <w:tcPr>
            <w:tcW w:w="11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42,619</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6,138</w:t>
            </w:r>
          </w:p>
        </w:tc>
      </w:tr>
      <w:tr>
        <w:trPr>
          <w:trHeight w:val="216"/>
        </w:trPr>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Brand license authorization revenues earned from Lilita</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855</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3,155</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172</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Advertising resources provided by Tianbo</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340" w:type="dxa"/>
            <w:vAlign w:val="bottom"/>
          </w:tcPr>
          <w:p>
            <w:pPr>
              <w:spacing w:after="0"/>
              <w:rPr>
                <w:sz w:val="18"/>
                <w:szCs w:val="18"/>
                <w:color w:val="auto"/>
              </w:rPr>
            </w:pPr>
          </w:p>
        </w:tc>
        <w:tc>
          <w:tcPr>
            <w:tcW w:w="11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(670)</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Advances provided to Fenghuang Jingcai</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409</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19</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r>
      <w:tr>
        <w:trPr>
          <w:trHeight w:val="239"/>
        </w:trPr>
        <w:tc>
          <w:tcPr>
            <w:tcW w:w="6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Loans provided to Particle and related interest income</w:t>
            </w:r>
          </w:p>
        </w:tc>
        <w:tc>
          <w:tcPr>
            <w:tcW w:w="124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tcPr>
          <w:p>
            <w:pPr>
              <w:jc w:val="right"/>
              <w:ind w:right="312"/>
              <w:spacing w:after="0"/>
              <w:rPr>
                <w:sz w:val="20"/>
                <w:szCs w:val="20"/>
                <w:color w:val="auto"/>
              </w:rPr>
            </w:pPr>
            <w:r>
              <w:rPr>
                <w:rFonts w:ascii="Times New Roman" w:cs="Times New Roman" w:eastAsia="Times New Roman" w:hAnsi="Times New Roman"/>
                <w:sz w:val="18"/>
                <w:szCs w:val="18"/>
                <w:color w:val="auto"/>
              </w:rPr>
              <w:t>50,337</w:t>
            </w:r>
          </w:p>
        </w:tc>
        <w:tc>
          <w:tcPr>
            <w:tcW w:w="90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7,250</w:t>
            </w:r>
          </w:p>
        </w:tc>
      </w:tr>
    </w:tbl>
    <w:p>
      <w:pPr>
        <w:sectPr>
          <w:pgSz w:w="11900" w:h="16900" w:orient="portrait"/>
          <w:cols w:equalWidth="0" w:num="1">
            <w:col w:w="11420"/>
          </w:cols>
          <w:pgMar w:left="240" w:top="337" w:right="239" w:bottom="0" w:gutter="0" w:footer="0" w:header="0"/>
        </w:sectPr>
      </w:pPr>
    </w:p>
    <w:bookmarkStart w:id="67" w:name="page68"/>
    <w:bookmarkEnd w:id="67"/>
    <w:p>
      <w:pPr>
        <w:spacing w:after="0" w:line="70" w:lineRule="exact"/>
        <w:rPr>
          <w:sz w:val="20"/>
          <w:szCs w:val="20"/>
          <w:color w:val="auto"/>
        </w:rPr>
      </w:pPr>
    </w:p>
    <w:p>
      <w:pPr>
        <w:ind w:left="200"/>
        <w:spacing w:after="0"/>
        <w:tabs>
          <w:tab w:leader="none" w:pos="7420" w:val="left"/>
          <w:tab w:leader="none" w:pos="8660" w:val="left"/>
          <w:tab w:leader="none" w:pos="9500" w:val="left"/>
          <w:tab w:leader="none" w:pos="10820" w:val="left"/>
        </w:tabs>
        <w:rPr>
          <w:sz w:val="20"/>
          <w:szCs w:val="20"/>
          <w:color w:val="auto"/>
        </w:rPr>
      </w:pPr>
      <w:r>
        <w:rPr>
          <w:rFonts w:ascii="Times New Roman" w:cs="Times New Roman" w:eastAsia="Times New Roman" w:hAnsi="Times New Roman"/>
          <w:sz w:val="18"/>
          <w:szCs w:val="18"/>
          <w:color w:val="auto"/>
        </w:rPr>
        <w:t>Issuance of convertible loans to Particle and related interest income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248,249</w:t>
      </w:r>
      <w:r>
        <w:rPr>
          <w:sz w:val="20"/>
          <w:szCs w:val="20"/>
          <w:color w:val="auto"/>
        </w:rPr>
        <w:tab/>
      </w:r>
      <w:r>
        <w:rPr>
          <w:rFonts w:ascii="Times New Roman" w:cs="Times New Roman" w:eastAsia="Times New Roman" w:hAnsi="Times New Roman"/>
          <w:sz w:val="18"/>
          <w:szCs w:val="18"/>
          <w:color w:val="auto"/>
        </w:rPr>
        <w:t>35,755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ind w:right="140" w:firstLine="441"/>
        <w:spacing w:after="0" w:line="266" w:lineRule="auto"/>
        <w:rPr>
          <w:sz w:val="20"/>
          <w:szCs w:val="20"/>
          <w:color w:val="auto"/>
        </w:rPr>
      </w:pPr>
      <w:r>
        <w:rPr>
          <w:rFonts w:ascii="Times New Roman" w:cs="Times New Roman" w:eastAsia="Times New Roman" w:hAnsi="Times New Roman"/>
          <w:sz w:val="18"/>
          <w:szCs w:val="18"/>
          <w:color w:val="auto"/>
        </w:rPr>
        <w:t>Our other income reflects interest income, interest expense, foreign currency exchange gain or loss, gain on disposal of subsidiaries and acquisition of equity investments, loss from equity investments including impairment, gain on disposal of an equity investment and acquisition of available-for-sale investments and others, net.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w:t>
      </w:r>
    </w:p>
    <w:p>
      <w:pPr>
        <w:spacing w:after="0" w:line="229"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We are incorporated in the Cayman Islands. Under the current law of the Cayman Islands, we are not subject to income or capital gains tax. In addition, dividend payments are not subject to withholding tax in the Cayman Islands.</w:t>
      </w:r>
    </w:p>
    <w:p>
      <w:pPr>
        <w:spacing w:after="0" w:line="162" w:lineRule="exact"/>
        <w:rPr>
          <w:sz w:val="20"/>
          <w:szCs w:val="20"/>
          <w:color w:val="auto"/>
        </w:rPr>
      </w:pPr>
    </w:p>
    <w:p>
      <w:pPr>
        <w:ind w:right="280" w:firstLine="441"/>
        <w:spacing w:after="0" w:line="282" w:lineRule="auto"/>
        <w:rPr>
          <w:sz w:val="20"/>
          <w:szCs w:val="20"/>
          <w:color w:val="auto"/>
        </w:rPr>
      </w:pPr>
      <w:r>
        <w:rPr>
          <w:rFonts w:ascii="Times New Roman" w:cs="Times New Roman" w:eastAsia="Times New Roman" w:hAnsi="Times New Roman"/>
          <w:sz w:val="18"/>
          <w:szCs w:val="18"/>
          <w:color w:val="auto"/>
        </w:rPr>
        <w:t>Our subsidiaries incorporated in the British Virgin Islands are exempted from income tax on their foreign-derived income and are not subject to withholding taxes. Our subsidiaries incorporated in Hong Kong are subject to a tax rate of 16.5% on the estimated assessable profit arising in Hong Kong.</w:t>
      </w:r>
    </w:p>
    <w:p>
      <w:pPr>
        <w:spacing w:after="0" w:line="162" w:lineRule="exact"/>
        <w:rPr>
          <w:sz w:val="20"/>
          <w:szCs w:val="20"/>
          <w:color w:val="auto"/>
        </w:rPr>
      </w:pPr>
    </w:p>
    <w:p>
      <w:pPr>
        <w:ind w:right="200" w:firstLine="567"/>
        <w:spacing w:after="0" w:line="258" w:lineRule="auto"/>
        <w:rPr>
          <w:sz w:val="20"/>
          <w:szCs w:val="20"/>
          <w:color w:val="auto"/>
        </w:rPr>
      </w:pPr>
      <w:r>
        <w:rPr>
          <w:rFonts w:ascii="Times New Roman" w:cs="Times New Roman" w:eastAsia="Times New Roman" w:hAnsi="Times New Roman"/>
          <w:sz w:val="18"/>
          <w:szCs w:val="18"/>
          <w:color w:val="auto"/>
        </w:rPr>
        <w:t>Each of our PRC subsidiaries and our affiliated consolidated entities are obligated to pay income tax in the PRC. The PRC Corporate Income Taxes Law (“CIT Law”) generally applies an income tax rate of 25% to all enterprises, but grants preferential tax treatment to High and New Technology Enterprises (“HNTEs”) and Software Enterprises. Under these preferential tax treatments, HNTEs are entitled to an income tax rate of 15%, subject to a requirement that they re-apply for HNTE status every three years and Software Enterprises are entitled to an income tax exemption for two years beginning with its first profitable year and a 50% reduction to a rate of 12.5% for the subsequent three years.</w:t>
      </w:r>
    </w:p>
    <w:p>
      <w:pPr>
        <w:spacing w:after="0" w:line="184"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Fenghuang On-line had been qualified as an HNTE in October 2011 and November 2014, respectively, and was entitled to a preferential tax rate of 15%. Therefore, Fenghuang On-line was subject to a 15% income tax rate for the years 2014 to 2016. Fenghuang On-line is in the process of reapplying for qualification as an HNTE.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In 2014, Tianying Jiuzhou resubmitted applications for qualification and was approved as an HNTE. Therefore, Tianying Jiuzhou was subject to a 15% income tax rate from 2014 to 2016. Tianying Jiuzhou is in the process of reapplying for qualification as an HNTE.</w:t>
      </w:r>
    </w:p>
    <w:p>
      <w:pPr>
        <w:spacing w:after="0" w:line="162"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In 2012, Fenghuang Yutian was qualified as a Software Enterprise. As 2013 was the first year Fenghuang Yutian generated taxable profit, it was exempted from income taxes for years 2013 and 2014, and was subject to a 12.5% income tax rate from 2015 to 2017.</w:t>
      </w:r>
    </w:p>
    <w:p>
      <w:pPr>
        <w:spacing w:after="0" w:line="162" w:lineRule="exact"/>
        <w:rPr>
          <w:sz w:val="20"/>
          <w:szCs w:val="20"/>
          <w:color w:val="auto"/>
        </w:rPr>
      </w:pPr>
    </w:p>
    <w:p>
      <w:pPr>
        <w:ind w:right="320" w:firstLine="441"/>
        <w:spacing w:after="0" w:line="282" w:lineRule="auto"/>
        <w:rPr>
          <w:sz w:val="20"/>
          <w:szCs w:val="20"/>
          <w:color w:val="auto"/>
        </w:rPr>
      </w:pPr>
      <w:r>
        <w:rPr>
          <w:rFonts w:ascii="Times New Roman" w:cs="Times New Roman" w:eastAsia="Times New Roman" w:hAnsi="Times New Roman"/>
          <w:sz w:val="18"/>
          <w:szCs w:val="18"/>
          <w:color w:val="auto"/>
        </w:rPr>
        <w:t>In 2016, Fenghuang Borui was qualified as a Software Enterprise. As 2016 was the first year Fenghuang Borui generated taxable profit, it would be exempted from income taxes for years 2016 and 2017, and subject to a 12.5% income tax rate from 2018 to 2020.</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our other PRC subsidiaries and affiliated consolidated entities were subject to a 25% income tax rate for all the years presented.</w:t>
      </w:r>
    </w:p>
    <w:p>
      <w:pPr>
        <w:spacing w:after="0" w:line="225"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Under the CIT Law, dividends paid from our PRC subsidiaries are subject to a withholding tax at 10%. This new dividend withholding tax, however, will only be levied on our PRC subsidiaries in respect of profits earned in 2008 onwards. Profits distributed after January 1, 2008 but related to financial results generated in the year ended December 31, 2007 and prior years will not be subject to dividend withholding tax. The dividend withholding tax rate can be lower than 10% subject to tax treaties between China and foreign countries or regions.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color w:val="auto"/>
        </w:rPr>
        <w:t>The CIT Law also provides that an enterprise established under the laws of foreign countries or regions but whose “de facto management body” is located in the PRC be treated as a resident enterprise for PRC tax purposes and consequently be subject to the PRC income tax at the rate of 25% for its global income. On April 22, 2009, the SAT issued a circular, known as Circular 82, which provides certain specific criteria for determining whether the “de facto management body” of a PRC-controlled enterprise that is incorporated offshore is located in China. Under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 Based on a review of surrounding facts and circumstances, we do not believe that it is more likely than not that our operations outside of the PRC should be considered a resident enterprise for PRC tax purposes. However, there is limited guidance and implementation history with respect to the CIT Law. Should we be treated as a resident enterprise for PRC tax purposes, we would be subject to PRC tax on worldwide income at a uniform tax rate of 25% retroactive to January 1, 2008.</w:t>
      </w:r>
    </w:p>
    <w:p>
      <w:pPr>
        <w:spacing w:after="0" w:line="18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The implementation of the VAT Pilot Program began on January 1, 2012 in Shanghai and on September 1, 2012 in Beijing, and was then expanded to seven other provinces and municipalities by the end of 2012. Commencing on August 1, 2013, the implementation of the VAT Pilot Program has been expanded to all regions in the PRC. As a result of the VAT Pilot Program, the advertising revenues and other “modern service” revenues, such as games and others services revenues earned by our entities and technical service fees paid by affiliated consolidated entities to us, are subject to value-added tax and surcharges at a rate of approximately 6.7%. On April 29, 2014, a notification (the “Cai Shui [2014] No. 43”) was jointly issued by the Ministry of Finance and State Administration of Taxation of the People’s Republic of China, and as approved by the State Council of the People’s Republic of China, the telecommunications industry was included in the scope of the VAT Pilot Program for the transformation from the business tax to value-added tax from June 1, 2014. As a result, our MVAS revenues are subject to value-added tax and surcharges at a rate of approximately 6.7% from June 1, 2014. We are also subject to a cultural development fee on the provision of advertising services in China. The applicable tax rate is 3% of the net advertising revenues. For more information about risks related to potential changes in the taxes applicable to us, see “Item 3. Key Information — D. Risk Factors — Risks Relating to Our</w:t>
      </w:r>
    </w:p>
    <w:p>
      <w:pPr>
        <w:sectPr>
          <w:pgSz w:w="11900" w:h="16909" w:orient="portrait"/>
          <w:cols w:equalWidth="0" w:num="1">
            <w:col w:w="11400"/>
          </w:cols>
          <w:pgMar w:left="240" w:top="121" w:right="259" w:bottom="0" w:gutter="0" w:footer="0" w:header="0"/>
        </w:sectPr>
      </w:pPr>
    </w:p>
    <w:bookmarkStart w:id="68" w:name="page69"/>
    <w:bookmarkEnd w:id="68"/>
    <w:p>
      <w:pPr>
        <w:spacing w:after="0" w:line="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Business and Industry — The discontinuation of any of the preferential tax treatments available to us in China could materially and adversely affect our operating results and financial condition.”</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320" w:hanging="1312"/>
        <w:spacing w:after="0"/>
        <w:tabs>
          <w:tab w:leader="none" w:pos="13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Selected Consolidated Financial Information</w:t>
      </w:r>
    </w:p>
    <w:p>
      <w:pPr>
        <w:spacing w:after="0" w:line="229"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selected consolidated statements of comprehensive income data by amount and by percentage of total revenues for the years indicated. This information should be read together with our consolidated financial statements and related notes included elsewhere in this annual report. The operating results in any period are not necessarily indicative of the results you may expect for future periods.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1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Borders>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6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Borders>
              <w:bottom w:val="single" w:sz="8" w:color="auto"/>
            </w:tcBorders>
            <w:gridSpan w:val="4"/>
          </w:tcPr>
          <w:p>
            <w:pPr>
              <w:ind w:left="78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Borders>
              <w:bottom w:val="single" w:sz="8" w:color="auto"/>
            </w:tcBorders>
            <w:gridSpan w:val="3"/>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760" w:type="dxa"/>
            <w:vAlign w:val="bottom"/>
            <w:tcBorders>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4"/>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80" w:type="dxa"/>
            <w:vAlign w:val="bottom"/>
            <w:tcBorders>
              <w:bottom w:val="single" w:sz="8" w:color="auto"/>
            </w:tcBorders>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70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20" w:type="dxa"/>
            <w:vAlign w:val="bottom"/>
            <w:gridSpan w:val="12"/>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120" w:type="dxa"/>
            <w:vAlign w:val="bottom"/>
            <w:gridSpan w:val="5"/>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Consolidated Statements of Comprehensive</w:t>
            </w: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12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Income Data</w:t>
            </w: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tcBorders>
              <w:left w:val="single" w:sz="8" w:color="CCEEFF"/>
            </w:tcBorders>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tcBorders>
              <w:left w:val="single" w:sz="8" w:color="CCEEFF"/>
            </w:tcBorders>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left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advertising revenues</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1,190,158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8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1,226,516</w:t>
            </w:r>
          </w:p>
        </w:tc>
        <w:tc>
          <w:tcPr>
            <w:tcW w:w="980" w:type="dxa"/>
            <w:vAlign w:val="bottom"/>
            <w:tcBorders>
              <w:lef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80" w:type="dxa"/>
            <w:vAlign w:val="bottom"/>
            <w:tcBorders>
              <w:lef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1,232,210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177,475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Paid services revenues</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447,702</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382,680</w:t>
            </w: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212,697</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30,635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1,637,860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1,609,196</w:t>
            </w: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left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1,444,907</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208,110</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Cost of revenues (1)</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(781,632)</w:t>
            </w:r>
          </w:p>
        </w:tc>
        <w:tc>
          <w:tcPr>
            <w:tcW w:w="14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(47.7)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(829,386)</w:t>
            </w: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(726,807)</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(104,682)</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856,228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779,810</w:t>
            </w: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60" w:type="dxa"/>
            <w:vAlign w:val="bottom"/>
            <w:tcBorders>
              <w:top w:val="single" w:sz="8" w:color="CCEEFF"/>
              <w:left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718,100</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103,428</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Operating expenses (1) :</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(330,777)</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(346,133)</w:t>
            </w:r>
          </w:p>
        </w:tc>
        <w:tc>
          <w:tcPr>
            <w:tcW w:w="980" w:type="dxa"/>
            <w:vAlign w:val="bottom"/>
            <w:tcBorders>
              <w:lef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40" w:type="dxa"/>
            <w:vAlign w:val="bottom"/>
            <w:tcBorders>
              <w:left w:val="single" w:sz="8" w:color="CCEEFF"/>
            </w:tcBorders>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(339,171)</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(48,851)</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(137,818)</w:t>
            </w:r>
          </w:p>
        </w:tc>
        <w:tc>
          <w:tcPr>
            <w:tcW w:w="14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(183,989)</w:t>
            </w: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(181,677)</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(26,167)</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product development expenses</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(149,996)</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(170,714)</w:t>
            </w:r>
          </w:p>
        </w:tc>
        <w:tc>
          <w:tcPr>
            <w:tcW w:w="980" w:type="dxa"/>
            <w:vAlign w:val="bottom"/>
            <w:tcBorders>
              <w:lef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40" w:type="dxa"/>
            <w:vAlign w:val="bottom"/>
            <w:tcBorders>
              <w:left w:val="single" w:sz="8" w:color="CCEEFF"/>
            </w:tcBorders>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(161,880)</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(23,316)</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gridSpan w:val="5"/>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(618,591)</w:t>
            </w:r>
          </w:p>
        </w:tc>
        <w:tc>
          <w:tcPr>
            <w:tcW w:w="2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(37.8)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(700,836)</w:t>
            </w:r>
          </w:p>
        </w:tc>
        <w:tc>
          <w:tcPr>
            <w:tcW w:w="180" w:type="dxa"/>
            <w:vAlign w:val="bottom"/>
            <w:vMerge w:val="continue"/>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60" w:type="dxa"/>
            <w:vAlign w:val="bottom"/>
            <w:vMerge w:val="continue"/>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(682,728)</w:t>
            </w:r>
          </w:p>
        </w:tc>
        <w:tc>
          <w:tcPr>
            <w:tcW w:w="160" w:type="dxa"/>
            <w:vAlign w:val="bottom"/>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(98,334)</w:t>
            </w:r>
          </w:p>
        </w:tc>
        <w:tc>
          <w:tcPr>
            <w:tcW w:w="160" w:type="dxa"/>
            <w:vAlign w:val="bottom"/>
            <w:vMerge w:val="continue"/>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237,637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78,974</w:t>
            </w: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Borders>
              <w:top w:val="single" w:sz="8" w:color="CCEEFF"/>
              <w:left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35,372</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72,859</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18,928</w:t>
            </w: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4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56,937</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310,496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97,902</w:t>
            </w: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Borders>
              <w:top w:val="single" w:sz="8" w:color="CCEEFF"/>
              <w:left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92,309</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13,294</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(48,377)</w:t>
            </w:r>
          </w:p>
        </w:tc>
        <w:tc>
          <w:tcPr>
            <w:tcW w:w="14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(25,517)</w:t>
            </w: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(14,089)</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(2,029)</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262,119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72,385</w:t>
            </w: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Borders>
              <w:top w:val="single" w:sz="8" w:color="CCEEFF"/>
              <w:left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78,220</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11,265</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972</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5"/>
            <w:vMerge w:val="restart"/>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attributable to Phoenix New Media</w:t>
            </w: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120" w:type="dxa"/>
            <w:vAlign w:val="bottom"/>
            <w:gridSpan w:val="5"/>
            <w:vMerge w:val="continue"/>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263,091</w:t>
            </w:r>
          </w:p>
        </w:tc>
        <w:tc>
          <w:tcPr>
            <w:tcW w:w="14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80" w:type="dxa"/>
            <w:vAlign w:val="bottom"/>
            <w:tcBorders>
              <w:left w:val="single" w:sz="8" w:color="CCEEFF"/>
            </w:tcBorders>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73,584</w:t>
            </w:r>
          </w:p>
        </w:tc>
        <w:tc>
          <w:tcPr>
            <w:tcW w:w="980" w:type="dxa"/>
            <w:vAlign w:val="bottom"/>
            <w:tcBorders>
              <w:left w:val="single" w:sz="8" w:color="CCEEFF"/>
            </w:tcBorders>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80" w:type="dxa"/>
            <w:vAlign w:val="bottom"/>
            <w:tcBorders>
              <w:left w:val="single" w:sz="8" w:color="CCEEFF"/>
            </w:tcBorders>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80,611</w:t>
            </w: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11,609</w:t>
            </w:r>
          </w:p>
        </w:tc>
        <w:tc>
          <w:tcPr>
            <w:tcW w:w="16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left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3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180" w:type="dxa"/>
            <w:vAlign w:val="bottom"/>
            <w:tcBorders>
              <w:left w:val="single" w:sz="8" w:color="CCEEFF"/>
            </w:tcBorders>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980" w:type="dxa"/>
            <w:vAlign w:val="bottom"/>
            <w:tcBorders>
              <w:left w:val="single" w:sz="8" w:color="CCEEFF"/>
            </w:tcBorders>
            <w:gridSpan w:val="5"/>
            <w:vMerge w:val="continue"/>
            <w:shd w:val="clear" w:color="auto" w:fill="CCEEFF"/>
          </w:tcPr>
          <w:p>
            <w:pPr>
              <w:spacing w:after="0"/>
              <w:rPr>
                <w:sz w:val="19"/>
                <w:szCs w:val="19"/>
                <w:color w:val="auto"/>
              </w:rPr>
            </w:pPr>
          </w:p>
        </w:tc>
        <w:tc>
          <w:tcPr>
            <w:tcW w:w="1080" w:type="dxa"/>
            <w:vAlign w:val="bottom"/>
            <w:tcBorders>
              <w:left w:val="single" w:sz="8" w:color="CCEEFF"/>
            </w:tcBorders>
            <w:gridSpan w:val="4"/>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20" w:type="dxa"/>
            <w:vAlign w:val="bottom"/>
            <w:tcBorders>
              <w:left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262,119</w:t>
            </w:r>
          </w:p>
        </w:tc>
        <w:tc>
          <w:tcPr>
            <w:tcW w:w="2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15.9</w:t>
            </w:r>
          </w:p>
        </w:tc>
        <w:tc>
          <w:tcPr>
            <w:tcW w:w="180" w:type="dxa"/>
            <w:vAlign w:val="bottom"/>
            <w:vMerge w:val="continue"/>
          </w:tcPr>
          <w:p>
            <w:pPr>
              <w:spacing w:after="0"/>
              <w:rPr>
                <w:sz w:val="17"/>
                <w:szCs w:val="17"/>
                <w:color w:val="auto"/>
              </w:rPr>
            </w:pPr>
          </w:p>
        </w:tc>
        <w:tc>
          <w:tcPr>
            <w:tcW w:w="9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72,385</w:t>
            </w:r>
          </w:p>
        </w:tc>
        <w:tc>
          <w:tcPr>
            <w:tcW w:w="180" w:type="dxa"/>
            <w:vAlign w:val="bottom"/>
            <w:vMerge w:val="continue"/>
          </w:tcPr>
          <w:p>
            <w:pPr>
              <w:spacing w:after="0"/>
              <w:rPr>
                <w:sz w:val="17"/>
                <w:szCs w:val="17"/>
                <w:color w:val="auto"/>
              </w:rPr>
            </w:pPr>
          </w:p>
        </w:tc>
        <w:tc>
          <w:tcPr>
            <w:tcW w:w="80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60" w:type="dxa"/>
            <w:vAlign w:val="bottom"/>
            <w:vMerge w:val="continue"/>
          </w:tcPr>
          <w:p>
            <w:pPr>
              <w:spacing w:after="0"/>
              <w:rPr>
                <w:sz w:val="17"/>
                <w:szCs w:val="17"/>
                <w:color w:val="auto"/>
              </w:rPr>
            </w:pPr>
          </w:p>
        </w:tc>
        <w:tc>
          <w:tcPr>
            <w:tcW w:w="9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78,220</w:t>
            </w:r>
          </w:p>
        </w:tc>
        <w:tc>
          <w:tcPr>
            <w:tcW w:w="16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11,265</w:t>
            </w:r>
          </w:p>
        </w:tc>
        <w:tc>
          <w:tcPr>
            <w:tcW w:w="160" w:type="dxa"/>
            <w:vAlign w:val="bottom"/>
          </w:tcPr>
          <w:p>
            <w:pPr>
              <w:spacing w:after="0"/>
              <w:rPr>
                <w:sz w:val="17"/>
                <w:szCs w:val="17"/>
                <w:color w:val="auto"/>
              </w:rPr>
            </w:pPr>
          </w:p>
        </w:tc>
        <w:tc>
          <w:tcPr>
            <w:tcW w:w="7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1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2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 net of tax: fair value</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remeasurement for available-for-sale investments</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40,283</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left w:val="single" w:sz="8" w:color="CCEEFF"/>
            </w:tcBorders>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15,869</w:t>
            </w:r>
          </w:p>
        </w:tc>
        <w:tc>
          <w:tcPr>
            <w:tcW w:w="980" w:type="dxa"/>
            <w:vAlign w:val="bottom"/>
            <w:tcBorders>
              <w:lef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80" w:type="dxa"/>
            <w:vAlign w:val="bottom"/>
            <w:tcBorders>
              <w:lef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247,336</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35,624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left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2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 net of tax: foreign</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4,503</w:t>
            </w: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22,813</w:t>
            </w: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4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27,669</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3,985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306,905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111,067</w:t>
            </w: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Borders>
              <w:top w:val="single" w:sz="8" w:color="CCEEFF"/>
              <w:left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353,225</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50,874</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2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Comprehensive loss attributable to noncontrolling</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972</w:t>
            </w: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gridSpan w:val="5"/>
            <w:vMerge w:val="restart"/>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Comprehensive income attributable to Phoenix</w:t>
            </w: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120" w:type="dxa"/>
            <w:vAlign w:val="bottom"/>
            <w:gridSpan w:val="5"/>
            <w:vMerge w:val="continue"/>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307,877</w:t>
            </w:r>
          </w:p>
        </w:tc>
        <w:tc>
          <w:tcPr>
            <w:tcW w:w="14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80" w:type="dxa"/>
            <w:vAlign w:val="bottom"/>
            <w:tcBorders>
              <w:left w:val="single" w:sz="8" w:color="CCEEFF"/>
            </w:tcBorders>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112,266</w:t>
            </w:r>
          </w:p>
        </w:tc>
        <w:tc>
          <w:tcPr>
            <w:tcW w:w="980" w:type="dxa"/>
            <w:vAlign w:val="bottom"/>
            <w:tcBorders>
              <w:left w:val="single" w:sz="8" w:color="CCEEFF"/>
            </w:tcBorders>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80" w:type="dxa"/>
            <w:vAlign w:val="bottom"/>
            <w:tcBorders>
              <w:left w:val="single" w:sz="8" w:color="CCEEFF"/>
            </w:tcBorders>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355,616</w:t>
            </w:r>
          </w:p>
        </w:tc>
        <w:tc>
          <w:tcPr>
            <w:tcW w:w="1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51,218</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Borders>
              <w:left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12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New Media Limited</w:t>
            </w:r>
          </w:p>
        </w:tc>
        <w:tc>
          <w:tcPr>
            <w:tcW w:w="11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180" w:type="dxa"/>
            <w:vAlign w:val="bottom"/>
            <w:tcBorders>
              <w:left w:val="single" w:sz="8" w:color="CCEEFF"/>
            </w:tcBorders>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980" w:type="dxa"/>
            <w:vAlign w:val="bottom"/>
            <w:tcBorders>
              <w:left w:val="single" w:sz="8" w:color="CCEEFF"/>
            </w:tcBorders>
            <w:gridSpan w:val="5"/>
            <w:vMerge w:val="continue"/>
            <w:shd w:val="clear" w:color="auto" w:fill="CCEEFF"/>
          </w:tcPr>
          <w:p>
            <w:pPr>
              <w:spacing w:after="0"/>
              <w:rPr>
                <w:sz w:val="19"/>
                <w:szCs w:val="19"/>
                <w:color w:val="auto"/>
              </w:rPr>
            </w:pPr>
          </w:p>
        </w:tc>
        <w:tc>
          <w:tcPr>
            <w:tcW w:w="1080" w:type="dxa"/>
            <w:vAlign w:val="bottom"/>
            <w:tcBorders>
              <w:left w:val="single" w:sz="8" w:color="CCEEFF"/>
            </w:tcBorders>
            <w:gridSpan w:val="4"/>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20" w:type="dxa"/>
            <w:vAlign w:val="bottom"/>
            <w:tcBorders>
              <w:left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120" w:type="dxa"/>
            <w:vAlign w:val="bottom"/>
            <w:gridSpan w:val="5"/>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9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1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60" w:type="dxa"/>
            <w:vAlign w:val="bottom"/>
            <w:tcBorders>
              <w:bottom w:val="single" w:sz="8" w:color="auto"/>
            </w:tcBorders>
            <w:gridSpan w:val="2"/>
          </w:tcPr>
          <w:p>
            <w:pPr>
              <w:jc w:val="center"/>
              <w:ind w:left="2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4"/>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80" w:type="dxa"/>
            <w:vAlign w:val="bottom"/>
            <w:tcBorders>
              <w:bottom w:val="single" w:sz="8" w:color="auto"/>
            </w:tcBorders>
            <w:gridSpan w:val="2"/>
          </w:tcPr>
          <w:p>
            <w:pPr>
              <w:jc w:val="right"/>
              <w:ind w:right="64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70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20" w:type="dxa"/>
            <w:vAlign w:val="bottom"/>
            <w:gridSpan w:val="12"/>
          </w:tcPr>
          <w:p>
            <w:pPr>
              <w:jc w:val="center"/>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872,523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53.3</w:t>
            </w:r>
          </w:p>
        </w:tc>
        <w:tc>
          <w:tcPr>
            <w:tcW w:w="18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786,145</w:t>
            </w:r>
          </w:p>
        </w:tc>
        <w:tc>
          <w:tcPr>
            <w:tcW w:w="980" w:type="dxa"/>
            <w:vAlign w:val="bottom"/>
            <w:tcBorders>
              <w:left w:val="single" w:sz="8" w:color="CCEEFF"/>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48.9</w:t>
            </w:r>
          </w:p>
        </w:tc>
        <w:tc>
          <w:tcPr>
            <w:tcW w:w="960" w:type="dxa"/>
            <w:vAlign w:val="bottom"/>
            <w:tcBorders>
              <w:lef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713,733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102,799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Non-GAAP income from operations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290,818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w:t>
            </w:r>
          </w:p>
        </w:tc>
        <w:tc>
          <w:tcPr>
            <w:tcW w:w="180" w:type="dxa"/>
            <w:vAlign w:val="bottom"/>
          </w:tcPr>
          <w:p>
            <w:pPr>
              <w:spacing w:after="0"/>
              <w:rPr>
                <w:sz w:val="18"/>
                <w:szCs w:val="18"/>
                <w:color w:val="auto"/>
              </w:rPr>
            </w:pP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113,328</w:t>
            </w:r>
          </w:p>
        </w:tc>
        <w:tc>
          <w:tcPr>
            <w:tcW w:w="98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37,262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5,367</w:t>
            </w: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2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Non-GAAP adjusted net income attributable to</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Phoenix New Media Limited (2)</w:t>
            </w:r>
          </w:p>
        </w:tc>
        <w:tc>
          <w:tcPr>
            <w:tcW w:w="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305,150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tcBorders>
              <w:left w:val="single" w:sz="8" w:color="CCEEFF"/>
            </w:tcBorders>
            <w:shd w:val="clear" w:color="auto" w:fill="CCEEFF"/>
          </w:tcPr>
          <w:p>
            <w:pPr>
              <w:spacing w:after="0"/>
              <w:rPr>
                <w:sz w:val="20"/>
                <w:szCs w:val="20"/>
                <w:color w:val="auto"/>
              </w:rPr>
            </w:pPr>
          </w:p>
        </w:tc>
        <w:tc>
          <w:tcPr>
            <w:tcW w:w="9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145,156</w:t>
            </w:r>
          </w:p>
        </w:tc>
        <w:tc>
          <w:tcPr>
            <w:tcW w:w="980" w:type="dxa"/>
            <w:vAlign w:val="bottom"/>
            <w:tcBorders>
              <w:left w:val="single" w:sz="8" w:color="CCEEFF"/>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960" w:type="dxa"/>
            <w:vAlign w:val="bottom"/>
            <w:tcBorders>
              <w:lef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84,277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12,138</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Notes:</w:t>
            </w: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4420" w:type="dxa"/>
            <w:vAlign w:val="bottom"/>
            <w:gridSpan w:val="7"/>
          </w:tcPr>
          <w:p>
            <w:pPr>
              <w:jc w:val="right"/>
              <w:ind w:right="1020"/>
              <w:spacing w:after="0"/>
              <w:rPr>
                <w:sz w:val="20"/>
                <w:szCs w:val="20"/>
                <w:color w:val="auto"/>
              </w:rPr>
            </w:pPr>
            <w:r>
              <w:rPr>
                <w:rFonts w:ascii="Times New Roman" w:cs="Times New Roman" w:eastAsia="Times New Roman" w:hAnsi="Times New Roman"/>
                <w:sz w:val="18"/>
                <w:szCs w:val="18"/>
                <w:color w:val="auto"/>
              </w:rPr>
              <w:t>Includes share-based compensation as follows:</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9"/>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Borders>
              <w:bottom w:val="single" w:sz="8" w:color="auto"/>
            </w:tcBorders>
            <w:gridSpan w:val="3"/>
          </w:tcPr>
          <w:p>
            <w:pPr>
              <w:jc w:val="right"/>
              <w:ind w:right="27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Borders>
              <w:bottom w:val="single" w:sz="8" w:color="auto"/>
            </w:tcBorders>
            <w:gridSpan w:val="3"/>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gridSpan w:val="2"/>
          </w:tcPr>
          <w:p>
            <w:pPr>
              <w:spacing w:after="0"/>
              <w:rPr>
                <w:sz w:val="12"/>
                <w:szCs w:val="12"/>
                <w:color w:val="auto"/>
              </w:rPr>
            </w:pPr>
          </w:p>
        </w:tc>
        <w:tc>
          <w:tcPr>
            <w:tcW w:w="760" w:type="dxa"/>
            <w:vAlign w:val="bottom"/>
            <w:tcBorders>
              <w:bottom w:val="single" w:sz="8" w:color="auto"/>
            </w:tcBorders>
            <w:gridSpan w:val="2"/>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gridSpan w:val="2"/>
          </w:tcPr>
          <w:p>
            <w:pPr>
              <w:spacing w:after="0"/>
              <w:rPr>
                <w:sz w:val="12"/>
                <w:szCs w:val="12"/>
                <w:color w:val="auto"/>
              </w:rPr>
            </w:pPr>
          </w:p>
        </w:tc>
        <w:tc>
          <w:tcPr>
            <w:tcW w:w="1080" w:type="dxa"/>
            <w:vAlign w:val="bottom"/>
            <w:tcBorders>
              <w:bottom w:val="single" w:sz="8" w:color="auto"/>
            </w:tcBorders>
            <w:gridSpan w:val="2"/>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780" w:type="dxa"/>
            <w:vAlign w:val="bottom"/>
            <w:tcBorders>
              <w:bottom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6"/>
          </w:tcPr>
          <w:p>
            <w:pPr>
              <w:jc w:val="right"/>
              <w:ind w:right="10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share-based compensation:</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Cost of revenues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16,295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(4,367)</w:t>
            </w:r>
          </w:p>
        </w:tc>
        <w:tc>
          <w:tcPr>
            <w:tcW w:w="1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(2,842)</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20,927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21,836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11,025</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9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0" w:type="dxa"/>
            <w:vAlign w:val="bottom"/>
            <w:tcBorders>
              <w:left w:val="single" w:sz="8" w:color="CCEEFF"/>
            </w:tcBorders>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tcBorders>
              <w:left w:val="single" w:sz="8" w:color="CCEEFF"/>
            </w:tcBorders>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tcBorders>
              <w:left w:val="single" w:sz="8" w:color="CCEEFF"/>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tcBorders>
              <w:left w:val="single" w:sz="8" w:color="CCEEFF"/>
            </w:tcBorders>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-3184525</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-3184525</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1" w:right="199" w:bottom="0" w:gutter="0" w:footer="0" w:header="0"/>
        </w:sectPr>
      </w:pPr>
    </w:p>
    <w:bookmarkStart w:id="69" w:name="page70"/>
    <w:bookmarkEnd w:id="69"/>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Technology and product development expenses</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5,759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(1,926)</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1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Total share-based compensation included in cost of revenues and operating expenses</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53,181</w:t>
            </w:r>
          </w:p>
        </w:tc>
        <w:tc>
          <w:tcPr>
            <w:tcW w:w="2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34,354</w:t>
            </w:r>
          </w:p>
        </w:tc>
        <w:tc>
          <w:tcPr>
            <w:tcW w:w="2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2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6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00" w:firstLine="8"/>
        <w:spacing w:after="0" w:line="282" w:lineRule="auto"/>
        <w:tabs>
          <w:tab w:leader="none" w:pos="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gross profit and non-GAAP income from operations are both non-GAAP financial measures. Non-GAAP gross profit is gross profit excluding share-based compensation. Non-GAAP income from operations is income from operations excluding share-based compensation.</w:t>
      </w:r>
    </w:p>
    <w:p>
      <w:pPr>
        <w:spacing w:after="0" w:line="161" w:lineRule="exact"/>
        <w:rPr>
          <w:rFonts w:ascii="Times New Roman" w:cs="Times New Roman" w:eastAsia="Times New Roman" w:hAnsi="Times New Roman"/>
          <w:sz w:val="18"/>
          <w:szCs w:val="18"/>
          <w:color w:val="auto"/>
        </w:rPr>
      </w:pPr>
    </w:p>
    <w:p>
      <w:pPr>
        <w:ind w:right="620" w:firstLine="8"/>
        <w:spacing w:after="0" w:line="266" w:lineRule="auto"/>
        <w:tabs>
          <w:tab w:leader="none" w:pos="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non-GAAP adjusted net income attributable to Phoenix New Media Limited as net income attributable to Phoenix New Media Limited excluding share-based compensation, loss from equity investments including impairments, gain on disposal of subsidiaries and acquisition of equity investments, and gain on disposal of an equity investment and acquisition of available-for-sale investments.</w:t>
      </w:r>
    </w:p>
    <w:p>
      <w:pPr>
        <w:spacing w:after="0" w:line="176"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We believe the separate analysis and exclusion of the following non-GAAP to GAAP reconciling items add clarity to the constituent parts of our performances. We review non-GAAP gross profit, non-GAAP income from operations and non-GAAP adjusted net income attributable to Phoenix New Media Limited together with gross profit, income from operations and net income attributable to Phoenix New Media Limited to obtain a better understanding of our operating performance. We use these non-GAAP financial measures for planning and forecasting and measuring results against the forecast. Using these non-GAAP financial measures to evaluate our business allows us and our investors to assess our relative performance against our competitors and ultimately monitor our capacity to generate returns for our investors. We also believe it is useful supplemental information for investors and analysts to assess our operating performance without the effect of items like share-based compensation, loss from equity investments including impairments, which have been and will continue to be significant recurring items, and without the effect of gain on disposal of subsidiaries and acquisition of equity investments, and gain on disposal of an equity investment and acquisition of available-for-sale investments, which have been significant and one-time items. However, the use of non-GAAP gross profit, non-GAAP income from operations and non-GAAP adjusted net income attributable to Phoenix New Media Limited has material limitations as an analytical tool. One of the limitations of using non-GAAP gross profit, non-GAAP income from operations and non-GAAP adjusted net income attributable to Phoenix New Media Limited is that they do not include all items that impact our gross profit, income from operations and net income attributable to Phoenix New Media Limited for the period. In addition, because non-GAAP gross profit, non-GAAP income from operations and non-GAAP adjusted net income attributable to Phoenix New Media Limited are not calculated in the same manner by all companies, they may not be comparable to other similar titled measures used by other companies. In light of the foregoing limitations, you should not consider non-GAAP gross profit, non-GAAP income from operations and non-GAAP adjusted net income attributable to Phoenix New Media Limited in isolation from or as an alternative to gross profit, income from operations and net income attributable to Phoenix New Media Limited prepared in accordance with U.S. GAAP.</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Non-GAAP to GAAP reconciling items have no income tax effect.</w:t>
      </w:r>
    </w:p>
    <w:p>
      <w:pPr>
        <w:spacing w:after="0" w:line="225" w:lineRule="exact"/>
        <w:rPr>
          <w:sz w:val="20"/>
          <w:szCs w:val="20"/>
          <w:color w:val="auto"/>
        </w:rPr>
      </w:pPr>
    </w:p>
    <w:p>
      <w:pPr>
        <w:ind w:right="160" w:firstLine="450"/>
        <w:spacing w:after="0" w:line="282" w:lineRule="auto"/>
        <w:rPr>
          <w:sz w:val="20"/>
          <w:szCs w:val="20"/>
          <w:color w:val="auto"/>
        </w:rPr>
      </w:pPr>
      <w:r>
        <w:rPr>
          <w:rFonts w:ascii="Times New Roman" w:cs="Times New Roman" w:eastAsia="Times New Roman" w:hAnsi="Times New Roman"/>
          <w:sz w:val="18"/>
          <w:szCs w:val="18"/>
          <w:color w:val="auto"/>
        </w:rPr>
        <w:t>Our non-GAAP gross profit, non-GAAP income from operations and non-GAAP adjusted net income attributable to Phoenix New Media Limited are calculated as follows for the years presented: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6"/>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04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Pr>
          <w:p>
            <w:pPr>
              <w:spacing w:after="0"/>
              <w:rPr>
                <w:sz w:val="12"/>
                <w:szCs w:val="12"/>
                <w:color w:val="auto"/>
              </w:rPr>
            </w:pPr>
          </w:p>
        </w:tc>
        <w:tc>
          <w:tcPr>
            <w:tcW w:w="106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8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04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ind w:right="8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4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3"/>
          </w:tcPr>
          <w:p>
            <w:pPr>
              <w:jc w:val="center"/>
              <w:ind w:left="63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856,228</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779,810</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718,100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Excluding:</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16,295</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6,335</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(4,367)</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872,523</w:t>
            </w:r>
          </w:p>
        </w:tc>
        <w:tc>
          <w:tcPr>
            <w:tcW w:w="220" w:type="dxa"/>
            <w:vAlign w:val="bottom"/>
            <w:tcBorders>
              <w:bottom w:val="single" w:sz="8" w:color="CCEEFF"/>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786,145</w:t>
            </w:r>
          </w:p>
        </w:tc>
        <w:tc>
          <w:tcPr>
            <w:tcW w:w="2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713,733</w:t>
            </w:r>
          </w:p>
        </w:tc>
        <w:tc>
          <w:tcPr>
            <w:tcW w:w="2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102,799</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237,637</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78,974</w:t>
            </w:r>
          </w:p>
        </w:tc>
        <w:tc>
          <w:tcPr>
            <w:tcW w:w="3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35,372</w:t>
            </w: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Excluding:</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53,181</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34,354</w:t>
            </w:r>
          </w:p>
        </w:tc>
        <w:tc>
          <w:tcPr>
            <w:tcW w:w="3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1,890</w:t>
            </w: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income from operations</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290,818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113,328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Phoenix New Media Limited</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263,091</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73,584</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80,611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Excluding:</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53,181</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34,354</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from equity investments including impairments</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18,538</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41,861</w:t>
            </w:r>
          </w:p>
        </w:tc>
        <w:tc>
          <w:tcPr>
            <w:tcW w:w="3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1,776</w:t>
            </w: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disposal of subsidiaries and acquisition of equity investments</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(29,660)</w:t>
            </w:r>
          </w:p>
        </w:tc>
        <w:tc>
          <w:tcPr>
            <w:tcW w:w="16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Gain on disposal of an equity investment and acquisition of available-for-sale</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investments</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(4,643)</w:t>
            </w:r>
          </w:p>
        </w:tc>
        <w:tc>
          <w:tcPr>
            <w:tcW w:w="360" w:type="dxa"/>
            <w:vAlign w:val="bottom"/>
          </w:tcPr>
          <w:p>
            <w:pPr>
              <w:spacing w:after="0"/>
              <w:rPr>
                <w:sz w:val="20"/>
                <w:szCs w:val="20"/>
                <w:color w:val="auto"/>
              </w:rPr>
            </w:pP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adjusted net income attributable to Phoenix New Media Limited</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305,150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145,156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84,277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2016 Compared to Year Ended December 31, 2015</w:t>
      </w:r>
    </w:p>
    <w:p>
      <w:pPr>
        <w:spacing w:after="0" w:line="225" w:lineRule="exact"/>
        <w:rPr>
          <w:sz w:val="20"/>
          <w:szCs w:val="20"/>
          <w:color w:val="auto"/>
        </w:rPr>
      </w:pPr>
    </w:p>
    <w:p>
      <w:pPr>
        <w:ind w:right="80" w:firstLine="44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Revenues</w:t>
      </w:r>
      <w:r>
        <w:rPr>
          <w:rFonts w:ascii="Times New Roman" w:cs="Times New Roman" w:eastAsia="Times New Roman" w:hAnsi="Times New Roman"/>
          <w:sz w:val="18"/>
          <w:szCs w:val="18"/>
          <w:color w:val="auto"/>
        </w:rPr>
        <w:t>. Our revenues for the years ended December 31, 2015 and 2016 were RMB1.6 billion and RMB1.4 billion (US$208.1 million), respectively.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Paid services revenues decreased by 44.4% from RMB382.7 million in 2015 to RMB212.7 million (US$30.6 million) in 2016. This decrease was mainly due to the decrease in revenues generated from MVAS with telecom operators resulted from the decline in users’ demand for services provided through telecom operators in China, which was consistent with the our expectations given the shrinking demand for such services in general.</w:t>
      </w:r>
    </w:p>
    <w:p>
      <w:pPr>
        <w:spacing w:after="0" w:line="177" w:lineRule="exact"/>
        <w:rPr>
          <w:sz w:val="20"/>
          <w:szCs w:val="20"/>
          <w:color w:val="auto"/>
        </w:rPr>
      </w:pPr>
    </w:p>
    <w:p>
      <w:pPr>
        <w:ind w:right="160"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Cost of Revenues</w:t>
      </w:r>
      <w:r>
        <w:rPr>
          <w:rFonts w:ascii="Times New Roman" w:cs="Times New Roman" w:eastAsia="Times New Roman" w:hAnsi="Times New Roman"/>
          <w:sz w:val="18"/>
          <w:szCs w:val="18"/>
          <w:color w:val="auto"/>
        </w:rPr>
        <w:t>. Our cost of revenues decreased by 12.4% from RMB829.4 million in 2015 to RMB726.8 million (US$104.7 million) in 2016. Cost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revenues as a percentage of our revenues decreased from 51.5% in 2015 to 50.3% in 2016.</w:t>
      </w:r>
    </w:p>
    <w:p>
      <w:pPr>
        <w:spacing w:after="0" w:line="155" w:lineRule="exact"/>
        <w:rPr>
          <w:sz w:val="20"/>
          <w:szCs w:val="20"/>
          <w:color w:val="auto"/>
        </w:rPr>
      </w:pPr>
    </w:p>
    <w:p>
      <w:pPr>
        <w:ind w:left="1100" w:right="120" w:hanging="328"/>
        <w:spacing w:after="0" w:line="286" w:lineRule="auto"/>
        <w:tabs>
          <w:tab w:leader="none" w:pos="106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Revenue sharing fees</w:t>
      </w:r>
      <w:r>
        <w:rPr>
          <w:rFonts w:ascii="Times New Roman" w:cs="Times New Roman" w:eastAsia="Times New Roman" w:hAnsi="Times New Roman"/>
          <w:sz w:val="18"/>
          <w:szCs w:val="18"/>
          <w:color w:val="auto"/>
        </w:rPr>
        <w:t>. Our revenue sharing fees decreased by 66.8% from RMB217.0 million in 2015 to RMB72.0 million (US$10.4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2016 primarily due to the decrease in sales of MVAS.</w:t>
      </w:r>
    </w:p>
    <w:p>
      <w:pPr>
        <w:spacing w:after="0" w:line="154" w:lineRule="exact"/>
        <w:rPr>
          <w:rFonts w:ascii="Times New Roman" w:cs="Times New Roman" w:eastAsia="Times New Roman" w:hAnsi="Times New Roman"/>
          <w:sz w:val="18"/>
          <w:szCs w:val="18"/>
          <w:color w:val="auto"/>
        </w:rPr>
      </w:pPr>
    </w:p>
    <w:p>
      <w:pPr>
        <w:ind w:left="1100" w:right="180" w:hanging="328"/>
        <w:spacing w:after="0" w:line="286" w:lineRule="auto"/>
        <w:tabs>
          <w:tab w:leader="none" w:pos="106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Content and operational costs</w:t>
      </w:r>
      <w:r>
        <w:rPr>
          <w:rFonts w:ascii="Times New Roman" w:cs="Times New Roman" w:eastAsia="Times New Roman" w:hAnsi="Times New Roman"/>
          <w:sz w:val="18"/>
          <w:szCs w:val="18"/>
          <w:color w:val="auto"/>
        </w:rPr>
        <w:t>. Our content and operational costs increased by 15.8% from RMB406.7 million in 2015 to RMB470.8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(US$67.8 million) in 2016 primarily due to an increase in personnel-related cost and advertisement-related content production costs.</w:t>
      </w:r>
    </w:p>
    <w:p>
      <w:pPr>
        <w:sectPr>
          <w:pgSz w:w="11900" w:h="16855" w:orient="portrait"/>
          <w:cols w:equalWidth="0" w:num="1">
            <w:col w:w="11420"/>
          </w:cols>
          <w:pgMar w:left="240" w:top="140" w:right="239" w:bottom="0" w:gutter="0" w:footer="0" w:header="0"/>
        </w:sectPr>
      </w:pPr>
    </w:p>
    <w:bookmarkStart w:id="70" w:name="page71"/>
    <w:bookmarkEnd w:id="70"/>
    <w:p>
      <w:pPr>
        <w:ind w:left="1100"/>
        <w:spacing w:after="0"/>
        <w:rPr>
          <w:sz w:val="20"/>
          <w:szCs w:val="20"/>
          <w:color w:val="auto"/>
        </w:rPr>
      </w:pPr>
      <w:r>
        <w:rPr>
          <w:rFonts w:ascii="Times New Roman" w:cs="Times New Roman" w:eastAsia="Times New Roman" w:hAnsi="Times New Roman"/>
          <w:sz w:val="18"/>
          <w:szCs w:val="18"/>
          <w:color w:val="auto"/>
        </w:rPr>
        <w:t>Personnel-related cost increased mainly due to a general increase in salary.</w:t>
      </w:r>
    </w:p>
    <w:p>
      <w:pPr>
        <w:spacing w:after="0" w:line="221" w:lineRule="exact"/>
        <w:rPr>
          <w:sz w:val="20"/>
          <w:szCs w:val="20"/>
          <w:color w:val="auto"/>
        </w:rPr>
      </w:pPr>
    </w:p>
    <w:p>
      <w:pPr>
        <w:ind w:left="1100" w:right="380" w:hanging="327"/>
        <w:spacing w:after="0" w:line="286" w:lineRule="auto"/>
        <w:tabs>
          <w:tab w:leader="none" w:pos="106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Bandwidth costs</w:t>
      </w:r>
      <w:r>
        <w:rPr>
          <w:rFonts w:ascii="Times New Roman" w:cs="Times New Roman" w:eastAsia="Times New Roman" w:hAnsi="Times New Roman"/>
          <w:sz w:val="18"/>
          <w:szCs w:val="18"/>
          <w:color w:val="auto"/>
        </w:rPr>
        <w:t>. Our bandwidth costs decreased by 22.8% from RMB83.2 million in 2015 to RMB64.2 million (US$9.2 million) in 2016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a decline in the unit purchasing price of bandwidth costs.</w:t>
      </w:r>
    </w:p>
    <w:p>
      <w:pPr>
        <w:spacing w:after="0" w:line="154" w:lineRule="exact"/>
        <w:rPr>
          <w:rFonts w:ascii="Times New Roman" w:cs="Times New Roman" w:eastAsia="Times New Roman" w:hAnsi="Times New Roman"/>
          <w:sz w:val="18"/>
          <w:szCs w:val="18"/>
          <w:color w:val="auto"/>
        </w:rPr>
      </w:pPr>
    </w:p>
    <w:p>
      <w:pPr>
        <w:ind w:left="1100" w:right="300" w:hanging="327"/>
        <w:spacing w:after="0" w:line="286" w:lineRule="auto"/>
        <w:tabs>
          <w:tab w:leader="none" w:pos="110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Sales taxes and surcharges</w:t>
      </w:r>
      <w:r>
        <w:rPr>
          <w:rFonts w:ascii="Times New Roman" w:cs="Times New Roman" w:eastAsia="Times New Roman" w:hAnsi="Times New Roman"/>
          <w:sz w:val="18"/>
          <w:szCs w:val="18"/>
          <w:color w:val="auto"/>
        </w:rPr>
        <w:t>. Our sales taxes and surcharges for the years ended December 31, 2015 and 2016 were RMB122.5 million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RMB119.8 million (US$17.3 million), respectively, decreased in line with the year-over-year decreases in revenues.</w:t>
      </w:r>
    </w:p>
    <w:p>
      <w:pPr>
        <w:spacing w:after="0" w:line="154" w:lineRule="exact"/>
        <w:rPr>
          <w:rFonts w:ascii="Times New Roman" w:cs="Times New Roman" w:eastAsia="Times New Roman" w:hAnsi="Times New Roman"/>
          <w:sz w:val="18"/>
          <w:szCs w:val="18"/>
          <w:color w:val="auto"/>
        </w:rPr>
      </w:pPr>
    </w:p>
    <w:p>
      <w:pPr>
        <w:ind w:left="1100" w:right="120" w:hanging="327"/>
        <w:spacing w:after="0" w:line="262" w:lineRule="auto"/>
        <w:tabs>
          <w:tab w:leader="none" w:pos="110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Share-based compensation</w:t>
      </w:r>
      <w:r>
        <w:rPr>
          <w:rFonts w:ascii="Times New Roman" w:cs="Times New Roman" w:eastAsia="Times New Roman" w:hAnsi="Times New Roman"/>
          <w:sz w:val="18"/>
          <w:szCs w:val="18"/>
          <w:color w:val="auto"/>
        </w:rPr>
        <w:t>. Our share-based compensation allocated to cost of revenues as part of content and operational costs above,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decreased from RMB6.3 million in 2015 to negative RMB4.4 million (US$0.6 million) in 2016. This decrease was mainly due to the increase of the estimated forfeiture rate of share-based awards in 2016, which was partially offset by our option exchange program implemented in the fourth quarter of 2016.</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a result of the foregoing, our gross profit decreased by 7.9% from RMB779.8 million in 2015 to RMB718.1 million (US$103.4 million) in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gross margin increased from 48.5% in 2015 to 49.7% in 2016 mainly due to the reduction of sales from low gross margin products in paid services.</w:t>
      </w:r>
    </w:p>
    <w:p>
      <w:pPr>
        <w:spacing w:after="0" w:line="203" w:lineRule="exact"/>
        <w:rPr>
          <w:sz w:val="20"/>
          <w:szCs w:val="20"/>
          <w:color w:val="auto"/>
        </w:rPr>
      </w:pPr>
    </w:p>
    <w:p>
      <w:pPr>
        <w:ind w:right="60" w:firstLine="44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Operating Expenses</w:t>
      </w:r>
      <w:r>
        <w:rPr>
          <w:rFonts w:ascii="Times New Roman" w:cs="Times New Roman" w:eastAsia="Times New Roman" w:hAnsi="Times New Roman"/>
          <w:sz w:val="18"/>
          <w:szCs w:val="18"/>
          <w:color w:val="auto"/>
        </w:rPr>
        <w:t>. Our operating expenses decreased by 2.6% from RMB700.8 million in 2015 to RMB682.7 million (US$98.3 million) in 2016,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a decrease in share-based compensation, which was partially offset by an increase in expenses associated with mobile traffic acquisition. Our operating expenses as a percentage of revenues increased from 43.6% in 2015 to 47.3% in 2016.</w:t>
      </w:r>
    </w:p>
    <w:p>
      <w:pPr>
        <w:spacing w:after="0" w:line="171" w:lineRule="exact"/>
        <w:rPr>
          <w:sz w:val="20"/>
          <w:szCs w:val="20"/>
          <w:color w:val="auto"/>
        </w:rPr>
      </w:pPr>
    </w:p>
    <w:p>
      <w:pPr>
        <w:ind w:left="1100" w:right="200" w:hanging="328"/>
        <w:spacing w:after="0" w:line="268" w:lineRule="auto"/>
        <w:tabs>
          <w:tab w:leader="none" w:pos="106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Sales and marketing expenses</w:t>
      </w:r>
      <w:r>
        <w:rPr>
          <w:rFonts w:ascii="Times New Roman" w:cs="Times New Roman" w:eastAsia="Times New Roman" w:hAnsi="Times New Roman"/>
          <w:sz w:val="18"/>
          <w:szCs w:val="18"/>
          <w:color w:val="auto"/>
        </w:rPr>
        <w:t>. Our sales and marketing expenses decreased by 2.0% from RMB346.1 million in 2015 to RMB339.2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(US$48.9 million) in 2016. This decrease was mainly due to a decrease in staff costs, general operating expense and promotion fees, which was partially offset by an increase in mobile traffic acquisition expenses.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100" w:right="160" w:hanging="328"/>
        <w:spacing w:after="0" w:line="268" w:lineRule="auto"/>
        <w:tabs>
          <w:tab w:leader="none" w:pos="106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General and administrative expenses</w:t>
      </w:r>
      <w:r>
        <w:rPr>
          <w:rFonts w:ascii="Times New Roman" w:cs="Times New Roman" w:eastAsia="Times New Roman" w:hAnsi="Times New Roman"/>
          <w:sz w:val="18"/>
          <w:szCs w:val="18"/>
          <w:color w:val="auto"/>
        </w:rPr>
        <w:t>. Our general and administrative expenses decreased by 1.3% from RMB184.0 million in 2015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RMB181.7 million (US$26.2 million) in 2016. This decrease was mainly due to a decrease in share-based compensation which was offset by an increase in staff cost and other general operating cost.</w:t>
      </w:r>
    </w:p>
    <w:p>
      <w:pPr>
        <w:spacing w:after="0" w:line="170" w:lineRule="exact"/>
        <w:rPr>
          <w:rFonts w:ascii="Times New Roman" w:cs="Times New Roman" w:eastAsia="Times New Roman" w:hAnsi="Times New Roman"/>
          <w:sz w:val="18"/>
          <w:szCs w:val="18"/>
          <w:color w:val="auto"/>
        </w:rPr>
      </w:pPr>
    </w:p>
    <w:p>
      <w:pPr>
        <w:ind w:left="1100" w:right="140" w:hanging="328"/>
        <w:spacing w:after="0" w:line="268" w:lineRule="auto"/>
        <w:tabs>
          <w:tab w:leader="none" w:pos="106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Technology and product development expenses</w:t>
      </w:r>
      <w:r>
        <w:rPr>
          <w:rFonts w:ascii="Times New Roman" w:cs="Times New Roman" w:eastAsia="Times New Roman" w:hAnsi="Times New Roman"/>
          <w:sz w:val="18"/>
          <w:szCs w:val="18"/>
          <w:color w:val="auto"/>
        </w:rPr>
        <w:t>. Our technology and product development expenses decreased by 5.2% from RMB170.7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2015 to RMB161.9 million (US$23.3 million) in 2016. This decrease was primarily due to a decrease in share-based compensation and technical service cost which was offset by an increase in staff cost.</w:t>
      </w:r>
    </w:p>
    <w:p>
      <w:pPr>
        <w:spacing w:after="0" w:line="170" w:lineRule="exact"/>
        <w:rPr>
          <w:rFonts w:ascii="Times New Roman" w:cs="Times New Roman" w:eastAsia="Times New Roman" w:hAnsi="Times New Roman"/>
          <w:sz w:val="18"/>
          <w:szCs w:val="18"/>
          <w:color w:val="auto"/>
        </w:rPr>
      </w:pPr>
    </w:p>
    <w:p>
      <w:pPr>
        <w:ind w:left="1100" w:right="60" w:hanging="328"/>
        <w:spacing w:after="0" w:line="268" w:lineRule="auto"/>
        <w:tabs>
          <w:tab w:leader="none" w:pos="106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Share-based compensation</w:t>
      </w:r>
      <w:r>
        <w:rPr>
          <w:rFonts w:ascii="Times New Roman" w:cs="Times New Roman" w:eastAsia="Times New Roman" w:hAnsi="Times New Roman"/>
          <w:sz w:val="18"/>
          <w:szCs w:val="18"/>
          <w:color w:val="auto"/>
        </w:rPr>
        <w:t>. Our share-based compensation allocated to each of the three categories of operating expenses decreased by 77.7%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RMB28.0 million in 2015 to RMB6.3 million (US$0.9 million) in 2016. This decrease was mainly due to the increase of the estimated forfeiture rates of share-based awards based on the actual forfeiture rates in 2016.</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229" w:lineRule="exact"/>
        <w:rPr>
          <w:sz w:val="20"/>
          <w:szCs w:val="20"/>
          <w:color w:val="auto"/>
        </w:rPr>
      </w:pPr>
    </w:p>
    <w:p>
      <w:pPr>
        <w:ind w:left="1100" w:hanging="328"/>
        <w:spacing w:after="0" w:line="266" w:lineRule="auto"/>
        <w:tabs>
          <w:tab w:leader="none" w:pos="106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advertising revenues from related parties increased by 38.5% from RMB71.0 million in 2015 to RMB98.4 million (US$14.2 million) in 2016, which was primarily attributable to advertising revenues earned from Phoenix TV Group and its customers, China Mobile and our investees.</w:t>
      </w:r>
    </w:p>
    <w:p>
      <w:pPr>
        <w:spacing w:after="0" w:line="176" w:lineRule="exact"/>
        <w:rPr>
          <w:rFonts w:ascii="Times New Roman" w:cs="Times New Roman" w:eastAsia="Times New Roman" w:hAnsi="Times New Roman"/>
          <w:sz w:val="18"/>
          <w:szCs w:val="18"/>
          <w:color w:val="auto"/>
        </w:rPr>
      </w:pPr>
    </w:p>
    <w:p>
      <w:pPr>
        <w:ind w:left="1100" w:right="100" w:hanging="328"/>
        <w:spacing w:after="0" w:line="261" w:lineRule="auto"/>
        <w:tabs>
          <w:tab w:leader="none" w:pos="106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paid services revenues from related parties decreased by 55.6% from RMB276.7 million in 2015 to RMB122.8 million (US$17.7 million) in 2016, which was primarily attributable to the decrease in paid services revenues generated from China Mobile resulted from the decline in users’ demand for services provided through telecom operators in China, which was consistent with the our expectations given the shrinking demand for such services in general.</w:t>
      </w:r>
    </w:p>
    <w:p>
      <w:pPr>
        <w:spacing w:after="0" w:line="180" w:lineRule="exact"/>
        <w:rPr>
          <w:rFonts w:ascii="Times New Roman" w:cs="Times New Roman" w:eastAsia="Times New Roman" w:hAnsi="Times New Roman"/>
          <w:sz w:val="18"/>
          <w:szCs w:val="18"/>
          <w:color w:val="auto"/>
        </w:rPr>
      </w:pPr>
    </w:p>
    <w:p>
      <w:pPr>
        <w:ind w:left="1100" w:right="80" w:hanging="328"/>
        <w:spacing w:after="0" w:line="282" w:lineRule="auto"/>
        <w:tabs>
          <w:tab w:leader="none" w:pos="106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 of revenues due to transactions with related parties decreased by 41.1% from RMB49.4 million in 2015 to RMB29.1 million (US$4.2 million) in 2016, which was primarily due to the decrease in revenues sharing and bandwidth cost with China Mobile.</w:t>
      </w:r>
    </w:p>
    <w:p>
      <w:pPr>
        <w:spacing w:after="0" w:line="161" w:lineRule="exact"/>
        <w:rPr>
          <w:rFonts w:ascii="Times New Roman" w:cs="Times New Roman" w:eastAsia="Times New Roman" w:hAnsi="Times New Roman"/>
          <w:sz w:val="18"/>
          <w:szCs w:val="18"/>
          <w:color w:val="auto"/>
        </w:rPr>
      </w:pPr>
    </w:p>
    <w:p>
      <w:pPr>
        <w:ind w:left="1100" w:right="60" w:hanging="328"/>
        <w:spacing w:after="0" w:line="282" w:lineRule="auto"/>
        <w:tabs>
          <w:tab w:leader="none" w:pos="106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expenses due to transactions with related parties decreased by 57.3% from RMB3.6 million in 2015 to RMB1.5 million (US$0.2 million) in 2016, which was attributable to a decrease expense incurred by Phoenix TV Group on our behalf.</w:t>
      </w:r>
    </w:p>
    <w:p>
      <w:pPr>
        <w:spacing w:after="0" w:line="158" w:lineRule="exact"/>
        <w:rPr>
          <w:sz w:val="20"/>
          <w:szCs w:val="20"/>
          <w:color w:val="auto"/>
        </w:rPr>
      </w:pPr>
    </w:p>
    <w:p>
      <w:pPr>
        <w:ind w:right="100"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w:t>
      </w:r>
      <w:r>
        <w:rPr>
          <w:rFonts w:ascii="Times New Roman" w:cs="Times New Roman" w:eastAsia="Times New Roman" w:hAnsi="Times New Roman"/>
          <w:sz w:val="18"/>
          <w:szCs w:val="18"/>
          <w:color w:val="auto"/>
        </w:rPr>
        <w:t>Our other income increased by 200.8 % from RMB18.9 million in 2015 to RMB56.9 million (US$8.2 million) in 2016. The increase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income was mainly due to the loss from equity investments including impairments recognized in 2015.</w:t>
      </w:r>
    </w:p>
    <w:p>
      <w:pPr>
        <w:spacing w:after="0" w:line="155" w:lineRule="exact"/>
        <w:rPr>
          <w:sz w:val="20"/>
          <w:szCs w:val="20"/>
          <w:color w:val="auto"/>
        </w:rPr>
      </w:pPr>
    </w:p>
    <w:p>
      <w:pPr>
        <w:jc w:val="both"/>
        <w:ind w:right="260" w:firstLine="44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Income Tax Expense</w:t>
      </w:r>
      <w:r>
        <w:rPr>
          <w:rFonts w:ascii="Times New Roman" w:cs="Times New Roman" w:eastAsia="Times New Roman" w:hAnsi="Times New Roman"/>
          <w:sz w:val="18"/>
          <w:szCs w:val="18"/>
          <w:color w:val="auto"/>
        </w:rPr>
        <w:t>. Our income tax expense decreased by 44.8 % from RMB25.5 million in 2015 to RMB14.1 million (US$2.0 million) in 2016.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effective tax rate decreased from 16.0% in 2015 to 15.9% in 2016. The decrease in effective tax rate was mainly due to the effect of changes to certain preferential tax benefits, for example, the income tax rate for Fenghuang Borui changed from 25.0% in 2015 to 0% in 2016.</w:t>
      </w:r>
    </w:p>
    <w:p>
      <w:pPr>
        <w:spacing w:after="0" w:line="171" w:lineRule="exact"/>
        <w:rPr>
          <w:sz w:val="20"/>
          <w:szCs w:val="20"/>
          <w:color w:val="auto"/>
        </w:rPr>
      </w:pPr>
    </w:p>
    <w:p>
      <w:pPr>
        <w:ind w:right="60"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Net Income Attributable to Phoenix New Media Limited</w:t>
      </w:r>
      <w:r>
        <w:rPr>
          <w:rFonts w:ascii="Times New Roman" w:cs="Times New Roman" w:eastAsia="Times New Roman" w:hAnsi="Times New Roman"/>
          <w:sz w:val="18"/>
          <w:szCs w:val="18"/>
          <w:color w:val="auto"/>
        </w:rPr>
        <w:t>. As a result of the foregoing, net income attributable to our company increased by 9.5%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RMB73.6 million in 2015 to RMB80.6 million (US$11.6 million) in 2016.</w:t>
      </w:r>
    </w:p>
    <w:p>
      <w:pPr>
        <w:spacing w:after="0" w:line="1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2015 Compared to Year Ended December 31, 2014</w:t>
      </w:r>
    </w:p>
    <w:p>
      <w:pPr>
        <w:spacing w:after="0" w:line="225" w:lineRule="exact"/>
        <w:rPr>
          <w:sz w:val="20"/>
          <w:szCs w:val="20"/>
          <w:color w:val="auto"/>
        </w:rPr>
      </w:pPr>
    </w:p>
    <w:p>
      <w:pPr>
        <w:ind w:right="20" w:firstLine="44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Revenues</w:t>
      </w:r>
      <w:r>
        <w:rPr>
          <w:rFonts w:ascii="Times New Roman" w:cs="Times New Roman" w:eastAsia="Times New Roman" w:hAnsi="Times New Roman"/>
          <w:sz w:val="18"/>
          <w:szCs w:val="18"/>
          <w:color w:val="auto"/>
        </w:rPr>
        <w:t>. Our revenues for the years ended December 31, 2014 and 2015 were RMB1.6 billion and RMB1.6 billion, respectively. Our average revenue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 advertiser, or ARPA, decreased to RMB1.7 million in 2015 primarily because the weak macro economy in China and less demand to PC advertisement. Total number of our advertisers increased by 15.2% to 705 in 2015 primarily due to the increase of our mobile advertisers. Paid services revenues decreased by 14.5% from RMB447.7 million in 2014 to RMB382.7 million in 2015. This decrease was mainly due to the decrease in revenues generated from MVAS with telecom operators and web-based games on our game platform.</w:t>
      </w:r>
    </w:p>
    <w:p>
      <w:pPr>
        <w:sectPr>
          <w:pgSz w:w="11900" w:h="16838" w:orient="portrait"/>
          <w:cols w:equalWidth="0" w:num="1">
            <w:col w:w="11420"/>
          </w:cols>
          <w:pgMar w:left="240" w:top="121" w:right="239" w:bottom="0" w:gutter="0" w:footer="0" w:header="0"/>
        </w:sectPr>
      </w:pPr>
    </w:p>
    <w:bookmarkStart w:id="71" w:name="page72"/>
    <w:bookmarkEnd w:id="71"/>
    <w:p>
      <w:pPr>
        <w:spacing w:after="0" w:line="20" w:lineRule="exact"/>
        <w:rPr>
          <w:sz w:val="20"/>
          <w:szCs w:val="20"/>
          <w:color w:val="auto"/>
        </w:rPr>
      </w:pPr>
    </w:p>
    <w:p>
      <w:pPr>
        <w:ind w:right="500"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Cost of Revenues</w:t>
      </w:r>
      <w:r>
        <w:rPr>
          <w:rFonts w:ascii="Times New Roman" w:cs="Times New Roman" w:eastAsia="Times New Roman" w:hAnsi="Times New Roman"/>
          <w:sz w:val="18"/>
          <w:szCs w:val="18"/>
          <w:color w:val="auto"/>
        </w:rPr>
        <w:t>. Our cost of revenues increased by 6.1% from RMB781.6 million in 2014 to RMB829.4 million in 2015. Cost of revenues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percentage of our revenues increased from 47.7% in 2014 to 51.5% in 2015.</w:t>
      </w:r>
    </w:p>
    <w:p>
      <w:pPr>
        <w:spacing w:after="0" w:line="155" w:lineRule="exact"/>
        <w:rPr>
          <w:sz w:val="20"/>
          <w:szCs w:val="20"/>
          <w:color w:val="auto"/>
        </w:rPr>
      </w:pPr>
    </w:p>
    <w:p>
      <w:pPr>
        <w:ind w:left="1100" w:right="100" w:hanging="328"/>
        <w:spacing w:after="0" w:line="286" w:lineRule="auto"/>
        <w:tabs>
          <w:tab w:leader="none" w:pos="106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Revenue sharing fees</w:t>
      </w:r>
      <w:r>
        <w:rPr>
          <w:rFonts w:ascii="Times New Roman" w:cs="Times New Roman" w:eastAsia="Times New Roman" w:hAnsi="Times New Roman"/>
          <w:sz w:val="18"/>
          <w:szCs w:val="18"/>
          <w:color w:val="auto"/>
        </w:rPr>
        <w:t>. Our revenue sharing fees increased by 13.0% from RMB192.1 million in 2014 to RMB217.0 million in 2015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due to the increased sales of higher revenue sharing products.</w:t>
      </w:r>
    </w:p>
    <w:p>
      <w:pPr>
        <w:spacing w:after="0" w:line="154" w:lineRule="exact"/>
        <w:rPr>
          <w:rFonts w:ascii="Times New Roman" w:cs="Times New Roman" w:eastAsia="Times New Roman" w:hAnsi="Times New Roman"/>
          <w:sz w:val="18"/>
          <w:szCs w:val="18"/>
          <w:color w:val="auto"/>
        </w:rPr>
      </w:pPr>
    </w:p>
    <w:p>
      <w:pPr>
        <w:ind w:left="1100" w:right="60" w:hanging="328"/>
        <w:spacing w:after="0" w:line="268" w:lineRule="auto"/>
        <w:tabs>
          <w:tab w:leader="none" w:pos="106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Content and operational costs</w:t>
      </w:r>
      <w:r>
        <w:rPr>
          <w:rFonts w:ascii="Times New Roman" w:cs="Times New Roman" w:eastAsia="Times New Roman" w:hAnsi="Times New Roman"/>
          <w:sz w:val="18"/>
          <w:szCs w:val="18"/>
          <w:color w:val="auto"/>
        </w:rPr>
        <w:t>. Our content and operational costs increased by 8.0% from RMB376.6 million in 2014 to RMB406.7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2015 primarily due to an increase in personnel-related cost and advertisement-related content production costs. Personnel-related cost increased mainly due to a general increase in salary.</w:t>
      </w:r>
    </w:p>
    <w:p>
      <w:pPr>
        <w:spacing w:after="0" w:line="170" w:lineRule="exact"/>
        <w:rPr>
          <w:rFonts w:ascii="Times New Roman" w:cs="Times New Roman" w:eastAsia="Times New Roman" w:hAnsi="Times New Roman"/>
          <w:sz w:val="18"/>
          <w:szCs w:val="18"/>
          <w:color w:val="auto"/>
        </w:rPr>
      </w:pPr>
    </w:p>
    <w:p>
      <w:pPr>
        <w:ind w:left="1100" w:right="560" w:hanging="327"/>
        <w:spacing w:after="0" w:line="286" w:lineRule="auto"/>
        <w:tabs>
          <w:tab w:leader="none" w:pos="106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Bandwidth costs</w:t>
      </w:r>
      <w:r>
        <w:rPr>
          <w:rFonts w:ascii="Times New Roman" w:cs="Times New Roman" w:eastAsia="Times New Roman" w:hAnsi="Times New Roman"/>
          <w:sz w:val="18"/>
          <w:szCs w:val="18"/>
          <w:color w:val="auto"/>
        </w:rPr>
        <w:t>. Our bandwidth costs for the years ended December 31, 2014 and 2015 were RMB83.2 million and RMB83.2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100" w:hanging="327"/>
        <w:spacing w:after="0" w:line="286" w:lineRule="auto"/>
        <w:tabs>
          <w:tab w:leader="none" w:pos="106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Sales taxes and surcharges</w:t>
      </w:r>
      <w:r>
        <w:rPr>
          <w:rFonts w:ascii="Times New Roman" w:cs="Times New Roman" w:eastAsia="Times New Roman" w:hAnsi="Times New Roman"/>
          <w:sz w:val="18"/>
          <w:szCs w:val="18"/>
          <w:color w:val="auto"/>
        </w:rPr>
        <w:t>. Our sales taxes and surcharges decreased by 5.6% from RMB129.8 million in 2014 to RMB122.5 million in 2015.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decrease was primarily due to the decrease in paid services revenue.</w:t>
      </w:r>
    </w:p>
    <w:p>
      <w:pPr>
        <w:spacing w:after="0" w:line="154" w:lineRule="exact"/>
        <w:rPr>
          <w:rFonts w:ascii="Times New Roman" w:cs="Times New Roman" w:eastAsia="Times New Roman" w:hAnsi="Times New Roman"/>
          <w:sz w:val="18"/>
          <w:szCs w:val="18"/>
          <w:color w:val="auto"/>
        </w:rPr>
      </w:pPr>
    </w:p>
    <w:p>
      <w:pPr>
        <w:ind w:left="1100" w:right="20" w:hanging="327"/>
        <w:spacing w:after="0" w:line="268" w:lineRule="auto"/>
        <w:tabs>
          <w:tab w:leader="none" w:pos="106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Share-based compensation</w:t>
      </w:r>
      <w:r>
        <w:rPr>
          <w:rFonts w:ascii="Times New Roman" w:cs="Times New Roman" w:eastAsia="Times New Roman" w:hAnsi="Times New Roman"/>
          <w:sz w:val="18"/>
          <w:szCs w:val="18"/>
          <w:color w:val="auto"/>
        </w:rPr>
        <w:t>. Our share-based compensation allocated to cost of revenues as part of content and operational costs above,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decreased from RMB16.3 million in 2014 to RMB6.3 million in 2015. This decrease was mainly due to the increase of the estimated forfeiture rate of share-based awards.</w:t>
      </w:r>
    </w:p>
    <w:p>
      <w:pPr>
        <w:spacing w:after="0" w:line="175" w:lineRule="exact"/>
        <w:rPr>
          <w:sz w:val="20"/>
          <w:szCs w:val="20"/>
          <w:color w:val="auto"/>
        </w:rPr>
      </w:pPr>
    </w:p>
    <w:p>
      <w:pPr>
        <w:ind w:right="400" w:firstLine="441"/>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gross profit decreased by 8.9% from RMB856.2 million in 2014 to RMB779.8 million in 2015. Our gross margin decreased from 52.3% in 2014 to 48.5% in 2015 mainly due to increased revenue sharing fees and content and operational costs.</w:t>
      </w:r>
    </w:p>
    <w:p>
      <w:pPr>
        <w:spacing w:after="0" w:line="158" w:lineRule="exact"/>
        <w:rPr>
          <w:sz w:val="20"/>
          <w:szCs w:val="20"/>
          <w:color w:val="auto"/>
        </w:rPr>
      </w:pPr>
    </w:p>
    <w:p>
      <w:pPr>
        <w:ind w:right="100" w:firstLine="44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Operating Expenses</w:t>
      </w:r>
      <w:r>
        <w:rPr>
          <w:rFonts w:ascii="Times New Roman" w:cs="Times New Roman" w:eastAsia="Times New Roman" w:hAnsi="Times New Roman"/>
          <w:sz w:val="18"/>
          <w:szCs w:val="18"/>
          <w:color w:val="auto"/>
        </w:rPr>
        <w:t>. Our operating expenses increased by 13.3% from RMB618.6 million in 2014 to RMB700.8 million in 2015, primarily due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mobile traffic acquisition expenses and bad debt provision. Our operating expenses as a percentage of revenues increased from 37.8% in 2014 to 43.6% in 2015.</w:t>
      </w:r>
    </w:p>
    <w:p>
      <w:pPr>
        <w:spacing w:after="0" w:line="171" w:lineRule="exact"/>
        <w:rPr>
          <w:sz w:val="20"/>
          <w:szCs w:val="20"/>
          <w:color w:val="auto"/>
        </w:rPr>
      </w:pPr>
    </w:p>
    <w:p>
      <w:pPr>
        <w:ind w:left="1100" w:right="20" w:hanging="328"/>
        <w:spacing w:after="0" w:line="286" w:lineRule="auto"/>
        <w:tabs>
          <w:tab w:leader="none" w:pos="106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Sales and marketing expenses</w:t>
      </w:r>
      <w:r>
        <w:rPr>
          <w:rFonts w:ascii="Times New Roman" w:cs="Times New Roman" w:eastAsia="Times New Roman" w:hAnsi="Times New Roman"/>
          <w:sz w:val="18"/>
          <w:szCs w:val="18"/>
          <w:color w:val="auto"/>
        </w:rPr>
        <w:t>. Our sales and marketing expenses increased by 4.6% from RMB330.8 million in 2014 to RMB346.1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2015. This increase was mainly due to the increase in traffic acquisition expenses.</w:t>
      </w:r>
    </w:p>
    <w:p>
      <w:pPr>
        <w:spacing w:after="0" w:line="154" w:lineRule="exact"/>
        <w:rPr>
          <w:rFonts w:ascii="Times New Roman" w:cs="Times New Roman" w:eastAsia="Times New Roman" w:hAnsi="Times New Roman"/>
          <w:sz w:val="18"/>
          <w:szCs w:val="18"/>
          <w:color w:val="auto"/>
        </w:rPr>
      </w:pPr>
    </w:p>
    <w:p>
      <w:pPr>
        <w:ind w:left="1100" w:hanging="328"/>
        <w:spacing w:after="0" w:line="262" w:lineRule="auto"/>
        <w:tabs>
          <w:tab w:leader="none" w:pos="106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General and administrative expenses</w:t>
      </w:r>
      <w:r>
        <w:rPr>
          <w:rFonts w:ascii="Times New Roman" w:cs="Times New Roman" w:eastAsia="Times New Roman" w:hAnsi="Times New Roman"/>
          <w:sz w:val="18"/>
          <w:szCs w:val="18"/>
          <w:color w:val="auto"/>
        </w:rPr>
        <w:t>. Our general and administrative expenses increased by 33.5% from RMB137.8 million in 2014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RMB184.0 million in 2015. This increase was mainly due to the increase in bad debt provision. Our bad debt provision had been increased due to the increase of collectible days of our accounts receivables based on the weak macroeconomic conditions in China, and a few one-off specific bad debts due to the tighten of regulations from certain industries in the second half of 2015.</w:t>
      </w:r>
    </w:p>
    <w:p>
      <w:pPr>
        <w:spacing w:after="0" w:line="176" w:lineRule="exact"/>
        <w:rPr>
          <w:rFonts w:ascii="Times New Roman" w:cs="Times New Roman" w:eastAsia="Times New Roman" w:hAnsi="Times New Roman"/>
          <w:sz w:val="18"/>
          <w:szCs w:val="18"/>
          <w:color w:val="auto"/>
        </w:rPr>
      </w:pPr>
    </w:p>
    <w:p>
      <w:pPr>
        <w:ind w:left="1100" w:right="380" w:hanging="328"/>
        <w:spacing w:after="0" w:line="286" w:lineRule="auto"/>
        <w:tabs>
          <w:tab w:leader="none" w:pos="106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Technology and product development expenses</w:t>
      </w:r>
      <w:r>
        <w:rPr>
          <w:rFonts w:ascii="Times New Roman" w:cs="Times New Roman" w:eastAsia="Times New Roman" w:hAnsi="Times New Roman"/>
          <w:sz w:val="18"/>
          <w:szCs w:val="18"/>
          <w:color w:val="auto"/>
        </w:rPr>
        <w:t>. Our technology and product development expenses increased by 13.8% from RMB150.0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2014 to RMB170.7 million in 2015. This increase was primarily due to the increase in personnel-related expenses.</w:t>
      </w:r>
    </w:p>
    <w:p>
      <w:pPr>
        <w:spacing w:after="0" w:line="154" w:lineRule="exact"/>
        <w:rPr>
          <w:rFonts w:ascii="Times New Roman" w:cs="Times New Roman" w:eastAsia="Times New Roman" w:hAnsi="Times New Roman"/>
          <w:sz w:val="18"/>
          <w:szCs w:val="18"/>
          <w:color w:val="auto"/>
        </w:rPr>
      </w:pPr>
    </w:p>
    <w:p>
      <w:pPr>
        <w:ind w:left="1100" w:right="40" w:hanging="328"/>
        <w:spacing w:after="0" w:line="268" w:lineRule="auto"/>
        <w:tabs>
          <w:tab w:leader="none" w:pos="106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Share-based compensation</w:t>
      </w:r>
      <w:r>
        <w:rPr>
          <w:rFonts w:ascii="Times New Roman" w:cs="Times New Roman" w:eastAsia="Times New Roman" w:hAnsi="Times New Roman"/>
          <w:sz w:val="18"/>
          <w:szCs w:val="18"/>
          <w:color w:val="auto"/>
        </w:rPr>
        <w:t>. Our share-based compensation allocated to each of the three categories of operating expenses decreased by 24.1%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RMB36.9 million in 2014 to RMB28.0 million in 2015. This decrease was mainly due to the increase of the estimated forfeiture rate of share-based awards.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229" w:lineRule="exact"/>
        <w:rPr>
          <w:sz w:val="20"/>
          <w:szCs w:val="20"/>
          <w:color w:val="auto"/>
        </w:rPr>
      </w:pPr>
    </w:p>
    <w:p>
      <w:pPr>
        <w:ind w:left="1100" w:right="80" w:hanging="328"/>
        <w:spacing w:after="0" w:line="282" w:lineRule="auto"/>
        <w:tabs>
          <w:tab w:leader="none" w:pos="10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advertising revenues from related parties increased by 27.9% from RMB55.6 million in 2014 to RMB71.0 million in 2015, which was primarily attributable to advertising revenues earned from Phoenix TV Group and its customers, China Mobile and our investees.</w:t>
      </w:r>
    </w:p>
    <w:p>
      <w:pPr>
        <w:spacing w:after="0" w:line="161" w:lineRule="exact"/>
        <w:rPr>
          <w:rFonts w:ascii="Times New Roman" w:cs="Times New Roman" w:eastAsia="Times New Roman" w:hAnsi="Times New Roman"/>
          <w:sz w:val="18"/>
          <w:szCs w:val="18"/>
          <w:color w:val="auto"/>
        </w:rPr>
      </w:pPr>
    </w:p>
    <w:p>
      <w:pPr>
        <w:ind w:left="1100" w:right="100" w:hanging="328"/>
        <w:spacing w:after="0" w:line="282" w:lineRule="auto"/>
        <w:tabs>
          <w:tab w:leader="none" w:pos="10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paid services revenues from related parties decreased by 5.1% from RMB291.6 million in 2014 to RMB276.7 million in 2015, which was primarily attributable to the decrease in paid services revenues generated from China Mobile.</w:t>
      </w:r>
    </w:p>
    <w:p>
      <w:pPr>
        <w:spacing w:after="0" w:line="161" w:lineRule="exact"/>
        <w:rPr>
          <w:rFonts w:ascii="Times New Roman" w:cs="Times New Roman" w:eastAsia="Times New Roman" w:hAnsi="Times New Roman"/>
          <w:sz w:val="18"/>
          <w:szCs w:val="18"/>
          <w:color w:val="auto"/>
        </w:rPr>
      </w:pPr>
    </w:p>
    <w:p>
      <w:pPr>
        <w:ind w:left="1100" w:right="200" w:hanging="328"/>
        <w:spacing w:after="0" w:line="282" w:lineRule="auto"/>
        <w:tabs>
          <w:tab w:leader="none" w:pos="10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 of revenues due to transactions with related parties increased by 7.5% from RMB45.9 million in 2014 to RMB49.4 million in 2015, which was primarily due to the increase in revenues sharing and bandwidth cost with China Mobile.</w:t>
      </w:r>
    </w:p>
    <w:p>
      <w:pPr>
        <w:spacing w:after="0" w:line="161" w:lineRule="exact"/>
        <w:rPr>
          <w:rFonts w:ascii="Times New Roman" w:cs="Times New Roman" w:eastAsia="Times New Roman" w:hAnsi="Times New Roman"/>
          <w:sz w:val="18"/>
          <w:szCs w:val="18"/>
          <w:color w:val="auto"/>
        </w:rPr>
      </w:pPr>
    </w:p>
    <w:p>
      <w:pPr>
        <w:ind w:left="1100" w:hanging="328"/>
        <w:spacing w:after="0" w:line="282" w:lineRule="auto"/>
        <w:tabs>
          <w:tab w:leader="none" w:pos="10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expenses due to transactions with related parties increased by 125.0% from RMB1.6 million in 2014 to RMB3.6 million in 2015, which was attributable to an increase expense incurred by Phoenix TV Group on our behalf.</w:t>
      </w:r>
    </w:p>
    <w:p>
      <w:pPr>
        <w:spacing w:after="0" w:line="158" w:lineRule="exact"/>
        <w:rPr>
          <w:sz w:val="20"/>
          <w:szCs w:val="20"/>
          <w:color w:val="auto"/>
        </w:rPr>
      </w:pPr>
    </w:p>
    <w:p>
      <w:pPr>
        <w:ind w:right="260" w:firstLine="44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w:t>
      </w:r>
      <w:r>
        <w:rPr>
          <w:rFonts w:ascii="Times New Roman" w:cs="Times New Roman" w:eastAsia="Times New Roman" w:hAnsi="Times New Roman"/>
          <w:sz w:val="18"/>
          <w:szCs w:val="18"/>
          <w:color w:val="auto"/>
        </w:rPr>
        <w:t>Our other income decreased by 74.0% from RMB72.9 million in 2014 to RMB18.9 million in 2015. The decrease in other income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2015 was mainly due to the decrease in interest income, the decrease of gain on disposal of subsidiaries and acquisition of equity investments, which was partially offset by the increase in loss from equity investments including impairments.</w:t>
      </w:r>
    </w:p>
    <w:p>
      <w:pPr>
        <w:spacing w:after="0" w:line="171" w:lineRule="exact"/>
        <w:rPr>
          <w:sz w:val="20"/>
          <w:szCs w:val="20"/>
          <w:color w:val="auto"/>
        </w:rPr>
      </w:pPr>
    </w:p>
    <w:p>
      <w:pPr>
        <w:jc w:val="both"/>
        <w:ind w:firstLine="44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Income Tax Expense</w:t>
      </w:r>
      <w:r>
        <w:rPr>
          <w:rFonts w:ascii="Times New Roman" w:cs="Times New Roman" w:eastAsia="Times New Roman" w:hAnsi="Times New Roman"/>
          <w:sz w:val="18"/>
          <w:szCs w:val="18"/>
          <w:color w:val="auto"/>
        </w:rPr>
        <w:t>. Our income tax expense decreased by 47.3% from RMB48.4 million in 2014 to RMB25.5 million in 2015. Our effective tax 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from 13.5% in 2014 to 16.0% in 2015. The increase in effective tax rate was mainly due to the effect of changes to certain preferential tax benefits, for example, the income tax rate for Fenghuang Yutian changed from 0% in 2014 to 12.5% in 2015.</w:t>
      </w:r>
    </w:p>
    <w:p>
      <w:pPr>
        <w:spacing w:after="0" w:line="171" w:lineRule="exact"/>
        <w:rPr>
          <w:sz w:val="20"/>
          <w:szCs w:val="20"/>
          <w:color w:val="auto"/>
        </w:rPr>
      </w:pPr>
    </w:p>
    <w:p>
      <w:pPr>
        <w:ind w:right="320"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Net Income Attributable to Phoenix New Media Limited</w:t>
      </w:r>
      <w:r>
        <w:rPr>
          <w:rFonts w:ascii="Times New Roman" w:cs="Times New Roman" w:eastAsia="Times New Roman" w:hAnsi="Times New Roman"/>
          <w:sz w:val="18"/>
          <w:szCs w:val="18"/>
          <w:color w:val="auto"/>
        </w:rPr>
        <w:t>. As a result of the foregoing, net income attributable to our company decreased by 72.0%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RMB263.1 million in 2014 to RMB73.6 million in 2015.</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9" w:orient="portrait"/>
          <w:cols w:equalWidth="0" w:num="1">
            <w:col w:w="11400"/>
          </w:cols>
          <w:pgMar w:left="240" w:top="117" w:right="25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ectPr>
          <w:pgSz w:w="11900" w:h="16859" w:orient="portrait"/>
          <w:cols w:equalWidth="0" w:num="1">
            <w:col w:w="11400"/>
          </w:cols>
          <w:pgMar w:left="240" w:top="117" w:right="259" w:bottom="0" w:gutter="0" w:footer="0" w:header="0"/>
          <w:type w:val="continuous"/>
        </w:sectPr>
      </w:pPr>
    </w:p>
    <w:bookmarkStart w:id="72" w:name="page73"/>
    <w:bookmarkEnd w:id="72"/>
    <w:p>
      <w:pPr>
        <w:ind w:left="1300" w:hanging="1292"/>
        <w:spacing w:after="0"/>
        <w:tabs>
          <w:tab w:leader="none" w:pos="130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years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6"/>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060" w:type="dxa"/>
            <w:vAlign w:val="bottom"/>
          </w:tcPr>
          <w:p>
            <w:pPr>
              <w:spacing w:after="0"/>
              <w:rPr>
                <w:sz w:val="12"/>
                <w:szCs w:val="12"/>
                <w:color w:val="auto"/>
              </w:rPr>
            </w:pPr>
          </w:p>
        </w:tc>
        <w:tc>
          <w:tcPr>
            <w:tcW w:w="114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Pr>
          <w:p>
            <w:pPr>
              <w:spacing w:after="0"/>
              <w:rPr>
                <w:sz w:val="12"/>
                <w:szCs w:val="12"/>
                <w:color w:val="auto"/>
              </w:rPr>
            </w:pPr>
          </w:p>
        </w:tc>
        <w:tc>
          <w:tcPr>
            <w:tcW w:w="114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060" w:type="dxa"/>
            <w:vAlign w:val="bottom"/>
          </w:tcPr>
          <w:p>
            <w:pPr>
              <w:spacing w:after="0"/>
              <w:rPr>
                <w:sz w:val="12"/>
                <w:szCs w:val="12"/>
                <w:color w:val="auto"/>
              </w:rPr>
            </w:pPr>
          </w:p>
        </w:tc>
        <w:tc>
          <w:tcPr>
            <w:tcW w:w="114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right"/>
              <w:ind w:right="8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90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r>
      <w:tr>
        <w:trPr>
          <w:trHeight w:val="142"/>
        </w:trPr>
        <w:tc>
          <w:tcPr>
            <w:tcW w:w="6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gridSpan w:val="3"/>
          </w:tcPr>
          <w:p>
            <w:pPr>
              <w:jc w:val="center"/>
              <w:ind w:left="677"/>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273,474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220,812</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203,686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29,337</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393,172</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(1,256,868)</w:t>
            </w:r>
          </w:p>
        </w:tc>
        <w:tc>
          <w:tcPr>
            <w:tcW w:w="3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(543,149)</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(78,230)</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 financing activities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(223,744)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64,366</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217,148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31,276</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(2,193)</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(3,488)</w:t>
            </w: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14,340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2,065</w:t>
            </w: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increase/(decrease) in cash and cash equivalents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440,709</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(975,178)</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(107,975)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year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845,138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1,285,847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310,669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44,746</w:t>
            </w:r>
          </w:p>
        </w:tc>
      </w:tr>
      <w:tr>
        <w:trPr>
          <w:trHeight w:val="210"/>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year</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1,285,847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310,669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202,694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As of December 31, 2016, we had RMB202.7 million (US$29.2 million) in cash and cash equivalents. Our cash and cash equivalents consist of cash on hand and demand deposits, which are unrestricted as to withdrawal or use, and which have original maturities of three months or less. We have not encountered any difficulties in meeting our cash obligations to date. As of December 31, 2016, we also had RMB781.3 million (US$112.5 million) in term deposits and short term investments with maturities up to one year. We believe that our operating cash flows, existing cash balances and term deposits and short term investments will be sufficient to meet our anticipated cash needs for the next twelve months from April 28, 2017.</w:t>
      </w:r>
    </w:p>
    <w:p>
      <w:pPr>
        <w:spacing w:after="0" w:line="184" w:lineRule="exact"/>
        <w:rPr>
          <w:sz w:val="20"/>
          <w:szCs w:val="20"/>
          <w:color w:val="auto"/>
        </w:rPr>
      </w:pPr>
    </w:p>
    <w:p>
      <w:pPr>
        <w:ind w:right="240" w:firstLine="441"/>
        <w:spacing w:after="0" w:line="261" w:lineRule="auto"/>
        <w:rPr>
          <w:sz w:val="20"/>
          <w:szCs w:val="20"/>
          <w:color w:val="auto"/>
        </w:rPr>
      </w:pPr>
      <w:r>
        <w:rPr>
          <w:rFonts w:ascii="Times New Roman" w:cs="Times New Roman" w:eastAsia="Times New Roman" w:hAnsi="Times New Roman"/>
          <w:sz w:val="18"/>
          <w:szCs w:val="18"/>
          <w:color w:val="auto"/>
        </w:rPr>
        <w:t>We are a holding company, and we rely principally on dividends and other distributions from our subsidiaries in China for our cash requirements. Current PRC regulations permit our subsidiaries to pay dividends to us only out of its accumulated profits, if any, determined in accordance with Chinese accounting standards and regulations. Any limitations on the ability of our PRC subsidiaries to transfer funds to us could materially and adversely limit our ability to grow, make investments or acquisitions that could be beneficial to our business, pay dividends and otherwise fund and conduct our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40" w:firstLine="441"/>
        <w:spacing w:after="0" w:line="258" w:lineRule="auto"/>
        <w:rPr>
          <w:sz w:val="20"/>
          <w:szCs w:val="20"/>
          <w:color w:val="auto"/>
        </w:rPr>
      </w:pPr>
      <w:r>
        <w:rPr>
          <w:rFonts w:ascii="Times New Roman" w:cs="Times New Roman" w:eastAsia="Times New Roman" w:hAnsi="Times New Roman"/>
          <w:sz w:val="18"/>
          <w:szCs w:val="18"/>
          <w:color w:val="auto"/>
        </w:rPr>
        <w:t>Any earnings that our PRC subsidiaries distribute would be paid to our offshore intermediate holding company primarily through dividends. To date, our PRC subsidiaries have not paid dividends to us. As a holding company, we have not required cash for our operations outside of China and therefore our PRC subsidiaries have retained their earnings for the purpose of conducting our business operations in China. As of December 31, 2014, 2015 and 2016, our PRC subsidiaries’ retained earnings were RMB693.0 million, RMB799.8 million and RMB898.7 million (US$129.4 million), respectively, and our PRC subsidiaries’ cash and cash equivalents were RMB431.1 million, RMB103.3 million and RMB58.5 million (US$8.4million), respectively.</w:t>
      </w:r>
    </w:p>
    <w:p>
      <w:pPr>
        <w:spacing w:after="0" w:line="184" w:lineRule="exact"/>
        <w:rPr>
          <w:sz w:val="20"/>
          <w:szCs w:val="20"/>
          <w:color w:val="auto"/>
        </w:rPr>
      </w:pPr>
    </w:p>
    <w:p>
      <w:pPr>
        <w:ind w:right="100" w:firstLine="441"/>
        <w:spacing w:after="0" w:line="256" w:lineRule="auto"/>
        <w:rPr>
          <w:sz w:val="20"/>
          <w:szCs w:val="20"/>
          <w:color w:val="auto"/>
        </w:rPr>
      </w:pPr>
      <w:r>
        <w:rPr>
          <w:rFonts w:ascii="Times New Roman" w:cs="Times New Roman" w:eastAsia="Times New Roman" w:hAnsi="Times New Roman"/>
          <w:sz w:val="18"/>
          <w:szCs w:val="18"/>
          <w:color w:val="auto"/>
        </w:rPr>
        <w:t>Although we currently anticipate that we will be able to fund operations for at least the next twelve months with operating cash flows, existing cash balances and term deposits and short term investments, we may require additional cash resources due to changed business conditions or other future developments, including any investments or acquisitions we may decide to pursue. If these sources are insufficient to satisfy cash requirements, we may seek to sell additional equity or debt securities or to obtain additional credit facilities. The sale of additional equity or equity-linked securities could result in additional dilution to shareholders. The incurrence of indebtedness would result in increased debt service obligations and could result in operating and financial covenants that would restrict operations. Financing may not be available in amounts or on terms acceptable to us, if at all.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140" w:firstLine="441"/>
        <w:spacing w:after="0" w:line="255" w:lineRule="auto"/>
        <w:rPr>
          <w:sz w:val="20"/>
          <w:szCs w:val="20"/>
          <w:color w:val="auto"/>
        </w:rPr>
      </w:pPr>
      <w:r>
        <w:rPr>
          <w:rFonts w:ascii="Times New Roman" w:cs="Times New Roman" w:eastAsia="Times New Roman" w:hAnsi="Times New Roman"/>
          <w:sz w:val="18"/>
          <w:szCs w:val="18"/>
          <w:color w:val="auto"/>
        </w:rPr>
        <w:t>In 2016, our operating activities generated net cash of RMB203.7 million (US$29.3 million). This was primarily due to (i) net income of RMB78.2 million, (ii) non-cash adjustments which primarily included depreciation and amortization expenses of RMB42.0 million and provision for allowance for doubtful accounts of RMB48.2 million, (iii) a decrease in accounts receivable of RMB55.3 million primarily due to the accelerated collection of accounts receivables from customers, (iv) an increase in accrued expenses and other current liabilities of RMB30.2 million and (v) an increase in advances from customers of RMB12.6 million. These items were partially offset by (i) a decrease in accounts payable of RMB31.5 million mainly attributable to the payment of our revenue sharing fees, (ii) an increase in prepayments and other current assets of RMB18.5 million, (iii) an increase in deferred income tax of RMB18.3 million, (iv) a decrease in tax payable of RMB17.5 million, and (v) foreign currency exchange gain of RMB9.6 million.</w:t>
      </w:r>
    </w:p>
    <w:p>
      <w:pPr>
        <w:spacing w:after="0" w:line="189" w:lineRule="exact"/>
        <w:rPr>
          <w:sz w:val="20"/>
          <w:szCs w:val="20"/>
          <w:color w:val="auto"/>
        </w:rPr>
      </w:pPr>
    </w:p>
    <w:p>
      <w:pPr>
        <w:ind w:right="60" w:firstLine="441"/>
        <w:spacing w:after="0" w:line="255" w:lineRule="auto"/>
        <w:rPr>
          <w:sz w:val="20"/>
          <w:szCs w:val="20"/>
          <w:color w:val="auto"/>
        </w:rPr>
      </w:pPr>
      <w:r>
        <w:rPr>
          <w:rFonts w:ascii="Times New Roman" w:cs="Times New Roman" w:eastAsia="Times New Roman" w:hAnsi="Times New Roman"/>
          <w:sz w:val="18"/>
          <w:szCs w:val="18"/>
          <w:color w:val="auto"/>
        </w:rPr>
        <w:t>In 2015, our operating activities generated net cash of RMB220.8 million. This was primarily due to (i) net income of RMB72.4 million, (ii) non-cash adjustments which primarily include depreciation and amortization expenses of RMB45.5 million mainly attributable to increased acquisition of property and equipment, provision for allowance for doubtful accounts of RMB49.3 million, impairment of intangible assets of RMB3.8 million, loss from equity investments including impairments of RMB41.9 million and share-based compensation of RMB34.4 million, (iii) an increase in accounts payable of RMB24.4 million primarily due to increases in our revenue sharing fees and advertising agency fees, and (iv) a decrease in amounts due from related parties of RMB41.4 million primarily due to the settlement of advertising revenues earned from Phoenix TV Group. These items were partially offset by (i) an increase in deferred income tax of RMB11.4 million, (ii) an increase in accounts receivable of RMB59.8 million mainly attributable to an increase in days of receivable recovery and (iii) an increase in prepayments and other current assets of RMB18.3 million.</w:t>
      </w:r>
    </w:p>
    <w:p>
      <w:pPr>
        <w:spacing w:after="0" w:line="185"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In 2014, our operating activities generated net cash of RMB273.5 million. This was primarily due to (i) net income of RMB262.1 million, (ii) non-cash adjustments which primarily include depreciation and amortization expenses of RMB36.3 million mainly attributable to increased acquisition of property and equipment, and share-based compensation of RMB53.2 million mainly attributable to newly granted options in 2013 and 2014, (iii) an increase in accounts payable of RMB63.4 million primarily due to increases in our revenue sharing fees and advertising agency fees, (iv) an increase in taxes payable of RMB36.4 million due to increased labor costs and (v) an increase in accrued expenses and other current liabilities of RMB41.1 million primarily due to increases in deposits from advertising agencies. These items were partially offset by (i) gain on disposal of subsidiaries and acquisition of equity investments of RMB29.7 million, (ii) an increase in accounts receivable of RMB180.9 million mainly attributable to increase in our advertising revenues, and (iii) an increase in amounts due from related parties of RMB50.7 million mainly attributable to increase in our advertising revenues earned from Phoenix TV Group and its customers and affiliates.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0" w:gutter="0" w:footer="0" w:header="0"/>
        </w:sectPr>
      </w:pPr>
    </w:p>
    <w:bookmarkStart w:id="73" w:name="page74"/>
    <w:bookmarkEnd w:id="73"/>
    <w:p>
      <w:pPr>
        <w:spacing w:after="0" w:line="3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60" w:firstLine="450"/>
        <w:spacing w:after="0" w:line="261" w:lineRule="auto"/>
        <w:rPr>
          <w:sz w:val="20"/>
          <w:szCs w:val="20"/>
          <w:color w:val="auto"/>
        </w:rPr>
      </w:pPr>
      <w:r>
        <w:rPr>
          <w:rFonts w:ascii="Times New Roman" w:cs="Times New Roman" w:eastAsia="Times New Roman" w:hAnsi="Times New Roman"/>
          <w:sz w:val="18"/>
          <w:szCs w:val="18"/>
          <w:color w:val="auto"/>
        </w:rPr>
        <w:t>We had net cash used in investing activities of RMB543.1 million (US$78.2 million) for 2016. This was primarily due to (i) placement of term deposits and short term investments of RMB3.2 billion, (ii) loans provided to Particle of RMB45.9 million and issuance of convertible loans to a related party of RMB228.3 million, (iii) capital expenditures of RMB29.3 million as described in “—Capital Expenditures”, and (iv) restricted cash of RMB229.6 million deposited with a bank to secure our offshore short-term loans, offset by the maturity of term deposits and short term investments of RMB3.2 billion.</w:t>
      </w:r>
    </w:p>
    <w:p>
      <w:pPr>
        <w:spacing w:after="0" w:line="180" w:lineRule="exact"/>
        <w:rPr>
          <w:sz w:val="20"/>
          <w:szCs w:val="20"/>
          <w:color w:val="auto"/>
        </w:rPr>
      </w:pPr>
    </w:p>
    <w:p>
      <w:pPr>
        <w:jc w:val="both"/>
        <w:ind w:right="480" w:firstLine="450"/>
        <w:spacing w:after="0" w:line="261" w:lineRule="auto"/>
        <w:rPr>
          <w:sz w:val="20"/>
          <w:szCs w:val="20"/>
          <w:color w:val="auto"/>
        </w:rPr>
      </w:pPr>
      <w:r>
        <w:rPr>
          <w:rFonts w:ascii="Times New Roman" w:cs="Times New Roman" w:eastAsia="Times New Roman" w:hAnsi="Times New Roman"/>
          <w:sz w:val="18"/>
          <w:szCs w:val="18"/>
          <w:color w:val="auto"/>
        </w:rPr>
        <w:t>We had net cash used in investing activities of RMB1.3 billion for 2015. This was primarily due to (i) placement of term deposits and short term investments of RMB3.3 billion, (ii) cash paid for available-for-sale investments in Particle of RMB352.0 million, (iii) capital expenditures of RMB43.5 million and (iv) restricted cash of RMB125.0 million deposited with a bank to secure our offshore short-term loans of RMB123.6 million, offset by the maturity of term deposits and short term investments of RMB2.6 billion.</w:t>
      </w:r>
    </w:p>
    <w:p>
      <w:pPr>
        <w:spacing w:after="0" w:line="180" w:lineRule="exact"/>
        <w:rPr>
          <w:sz w:val="20"/>
          <w:szCs w:val="20"/>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We had net cash provided by investing activities of RMB393.2 million for 2014. This was primarily due to maturity of term deposits and short term investments of RMB4.1 billion, offset by (i) placement of term deposits and short term investments of RMB3.6 billion, (ii) capital expenditures of RMB35.4 million and (iii) payments for investments of RMB74.5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320" w:firstLine="441"/>
        <w:spacing w:after="0" w:line="282" w:lineRule="auto"/>
        <w:rPr>
          <w:sz w:val="20"/>
          <w:szCs w:val="20"/>
          <w:color w:val="auto"/>
        </w:rPr>
      </w:pPr>
      <w:r>
        <w:rPr>
          <w:rFonts w:ascii="Times New Roman" w:cs="Times New Roman" w:eastAsia="Times New Roman" w:hAnsi="Times New Roman"/>
          <w:sz w:val="18"/>
          <w:szCs w:val="18"/>
          <w:color w:val="auto"/>
        </w:rPr>
        <w:t>We had net cash provided by financing activities of RMB217.1 million (US$31.3 million) for 2016, mainly attributable to proceeds from short-term bank loans of RMB214.7 million and proceeds from exercise of stock option of RMB2.4 million.</w:t>
      </w:r>
    </w:p>
    <w:p>
      <w:pPr>
        <w:spacing w:after="0" w:line="162" w:lineRule="exact"/>
        <w:rPr>
          <w:sz w:val="20"/>
          <w:szCs w:val="20"/>
          <w:color w:val="auto"/>
        </w:rPr>
      </w:pPr>
    </w:p>
    <w:p>
      <w:pPr>
        <w:ind w:right="300" w:firstLine="441"/>
        <w:spacing w:after="0" w:line="313" w:lineRule="auto"/>
        <w:rPr>
          <w:sz w:val="20"/>
          <w:szCs w:val="20"/>
          <w:color w:val="auto"/>
        </w:rPr>
      </w:pPr>
      <w:r>
        <w:rPr>
          <w:rFonts w:ascii="Times New Roman" w:cs="Times New Roman" w:eastAsia="Times New Roman" w:hAnsi="Times New Roman"/>
          <w:sz w:val="17"/>
          <w:szCs w:val="17"/>
          <w:color w:val="auto"/>
        </w:rPr>
        <w:t>We had net cash provided by financing activities of RMB64.4 million for 2015, mainly attributable to proceeds from short-term loans of RMB123.6 million and proceeds from exercise of stock option of RMB6.9 million, offset by RMB66.4 million used in connection with the repurchase of our ADS.</w:t>
      </w:r>
    </w:p>
    <w:p>
      <w:pPr>
        <w:spacing w:after="0" w:line="138" w:lineRule="exact"/>
        <w:rPr>
          <w:sz w:val="20"/>
          <w:szCs w:val="20"/>
          <w:color w:val="auto"/>
        </w:rPr>
      </w:pPr>
    </w:p>
    <w:p>
      <w:pPr>
        <w:ind w:right="320" w:firstLine="441"/>
        <w:spacing w:after="0" w:line="266" w:lineRule="auto"/>
        <w:rPr>
          <w:sz w:val="20"/>
          <w:szCs w:val="20"/>
          <w:color w:val="auto"/>
        </w:rPr>
      </w:pPr>
      <w:r>
        <w:rPr>
          <w:rFonts w:ascii="Times New Roman" w:cs="Times New Roman" w:eastAsia="Times New Roman" w:hAnsi="Times New Roman"/>
          <w:sz w:val="18"/>
          <w:szCs w:val="18"/>
          <w:color w:val="auto"/>
        </w:rPr>
        <w:t>We had net cash used in financing activities of RMB223.7 million for 2014, mainly attributable to RMB242.5 million used in connection with the repurchase of our ADSs, partly offset by capital contribution received from noncontrolling shareholders of RMB10.0 million and inflow of proceeds from exercise of stock options of RMB8.8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9" w:lineRule="exact"/>
        <w:rPr>
          <w:sz w:val="20"/>
          <w:szCs w:val="20"/>
          <w:color w:val="auto"/>
        </w:rPr>
      </w:pPr>
    </w:p>
    <w:p>
      <w:pPr>
        <w:ind w:right="80" w:firstLine="441"/>
        <w:spacing w:after="0" w:line="289" w:lineRule="auto"/>
        <w:rPr>
          <w:sz w:val="20"/>
          <w:szCs w:val="20"/>
          <w:color w:val="auto"/>
        </w:rPr>
      </w:pPr>
      <w:r>
        <w:rPr>
          <w:rFonts w:ascii="Times New Roman" w:cs="Times New Roman" w:eastAsia="Times New Roman" w:hAnsi="Times New Roman"/>
          <w:sz w:val="17"/>
          <w:szCs w:val="17"/>
          <w:color w:val="auto"/>
        </w:rPr>
        <w:t>We had capital expenditures of RMB35.4 million, RMB43.5 million and RMB29.3 million (US$4.2 million) in 2014, 2015 and 2016, respectively. The capital expenditures were mainly attributable to purchasing servers and network equipment. We expect capital expenditures to increase by approximately RMB5.6 million in 2017. We plan to fund our capital expenditures in 2017 with cash flows from our operations and cash and cash equivalents.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5" w:lineRule="exact"/>
        <w:rPr>
          <w:sz w:val="20"/>
          <w:szCs w:val="20"/>
          <w:color w:val="auto"/>
        </w:rPr>
      </w:pPr>
    </w:p>
    <w:p>
      <w:pPr>
        <w:ind w:right="60" w:firstLine="54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May 2014, the FASB issued ASU 2014-09,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guidance supersedes current guidance on revenue recognition in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In addition, there are disclosure requirements related to the nature, amount, timing, and uncertainty of revenue recognition. In August 2015, the FASB issued ASU 2015-14 to defer the effective date of ASU 2014-09 for all entities by one year. For public business entities that follow U.S. GAAP, the deferral results in the new revenue standard are being effective for fiscal years, and interim periods within those fiscal years, beginning after December 15, 2017, with early adoption permitted for interim and annual periods beginning after December 15, 2016. We will apply the new revenue standard beginning January 1, 2018, and will not early adopt. We have set up an implementation team that is currently in the process of analyzing each of our revenue streams in accordance with the new revenue standard to determine the impact on our consolidated financial statements. We plan to continue the evaluation, analysis, and documentation of our adoption of ASU 2014-09 (including those subsequently issued updates that clarify ASU 2014-09’s provisions) throughout 2017 as we work towards the implementation and finalize our determination of the impact that the adoption will have on our consolidated financial statements.</w:t>
      </w:r>
    </w:p>
    <w:p>
      <w:pPr>
        <w:spacing w:after="0" w:line="186" w:lineRule="exact"/>
        <w:rPr>
          <w:sz w:val="20"/>
          <w:szCs w:val="20"/>
          <w:color w:val="auto"/>
        </w:rPr>
      </w:pPr>
    </w:p>
    <w:p>
      <w:pPr>
        <w:ind w:right="80" w:firstLine="54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Balance Sheet Classification of Deferred Taxes. </w:t>
      </w:r>
      <w:r>
        <w:rPr>
          <w:rFonts w:ascii="Times New Roman" w:cs="Times New Roman" w:eastAsia="Times New Roman" w:hAnsi="Times New Roman"/>
          <w:sz w:val="18"/>
          <w:szCs w:val="18"/>
          <w:color w:val="auto"/>
        </w:rPr>
        <w:t>In November 2015, the FASB issued ASU 2015-17,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Income Taxes (Topic 740): Balance Sheet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Classification of Deferred Taxes</w:t>
      </w:r>
      <w:r>
        <w:rPr>
          <w:rFonts w:ascii="Times New Roman" w:cs="Times New Roman" w:eastAsia="Times New Roman" w:hAnsi="Times New Roman"/>
          <w:sz w:val="18"/>
          <w:szCs w:val="18"/>
          <w:color w:val="auto"/>
        </w:rPr>
        <w:t>, which simplifies the presentation of deferred income taxes by requiring deferred tax assets and liabilities to be classified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noncurrent on the balance sheet. The amendments in this update are effective for financial statements issued for annual periods beginning after December 15, 2016, and interim periods within those annual periods. Early adoption is permitted. Additionally, the new guidance may be applied either prospectively to all deferred tax liabilities and assets or retrospectively to all periods presented. We do not expect this standard to have a material impact on our consolidated financial statements and will adopt this guidance prospectively from the first quarter of 2017. As of December 31, 2016, deferred tax assets and deferred tax liabilities amounted to RMB54.3 million (US$7.8 million) and nil, respectively were classified as current.</w:t>
      </w:r>
    </w:p>
    <w:p>
      <w:pPr>
        <w:spacing w:after="0" w:line="183" w:lineRule="exact"/>
        <w:rPr>
          <w:sz w:val="20"/>
          <w:szCs w:val="20"/>
          <w:color w:val="auto"/>
        </w:rPr>
      </w:pPr>
    </w:p>
    <w:p>
      <w:pPr>
        <w:ind w:right="20" w:firstLine="54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Recognition and Measurement of Financial Assets and Financial Liabilities. </w:t>
      </w:r>
      <w:r>
        <w:rPr>
          <w:rFonts w:ascii="Times New Roman" w:cs="Times New Roman" w:eastAsia="Times New Roman" w:hAnsi="Times New Roman"/>
          <w:sz w:val="18"/>
          <w:szCs w:val="18"/>
          <w:color w:val="auto"/>
        </w:rPr>
        <w:t>On January 5, 2016, the FASB issued ASU 2016-01,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Recognition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Measurement of Financial Assets and Financial Liabilities</w:t>
      </w:r>
      <w:r>
        <w:rPr>
          <w:rFonts w:ascii="Times New Roman" w:cs="Times New Roman" w:eastAsia="Times New Roman" w:hAnsi="Times New Roman"/>
          <w:sz w:val="18"/>
          <w:szCs w:val="18"/>
          <w:color w:val="auto"/>
        </w:rPr>
        <w:t>, which amends certain aspects of recognition, measurement, presentation and disclosure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instruments. This amendment requires all equity investments to be measured at fair value, with changes in the fair value recognized through net income (other than those accounted for under equity method of accounting or those that result in consolidation of the investee). This standard will be effective for fiscal years beginning after December 15, 2017, including interim periods within those fiscal years. We are currently evaluating the impact of adopting this standard on our consolidated financial statements.</w:t>
      </w:r>
    </w:p>
    <w:p>
      <w:pPr>
        <w:spacing w:after="0" w:line="183" w:lineRule="exact"/>
        <w:rPr>
          <w:sz w:val="20"/>
          <w:szCs w:val="20"/>
          <w:color w:val="auto"/>
        </w:rPr>
      </w:pPr>
    </w:p>
    <w:p>
      <w:pPr>
        <w:ind w:firstLine="54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On February 25, 2016, the FASB issued ASU 2016-02</w:t>
      </w:r>
      <w:r>
        <w:rPr>
          <w:rFonts w:ascii="Times New Roman" w:cs="Times New Roman" w:eastAsia="Times New Roman" w:hAnsi="Times New Roman"/>
          <w:sz w:val="18"/>
          <w:szCs w:val="18"/>
          <w:i w:val="1"/>
          <w:iCs w:val="1"/>
          <w:color w:val="auto"/>
        </w:rPr>
        <w:t>, Leases</w:t>
      </w:r>
      <w:r>
        <w:rPr>
          <w:rFonts w:ascii="Times New Roman" w:cs="Times New Roman" w:eastAsia="Times New Roman" w:hAnsi="Times New Roman"/>
          <w:sz w:val="18"/>
          <w:szCs w:val="18"/>
          <w:color w:val="auto"/>
        </w:rPr>
        <w:t>. ASU 2016-02 specifies the accounting for leases. For operating leases, ASU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2016-02 requires a lessee to recognize a right-of-use asset and a lease liability, initially measured at the present value of the lease payments, in its balance sheet. The standard also requires a lessee to recognize a single lease cost, calculated so that the cost of the lease is allocated over the lease term, on a generally straight-line basis. In addition, this standard requires both lessees and lessors to disclose certain key information about lease transactions. ASU 2016-02 is effective for public companies for annual reporting periods, and interim periods within those years, beginning after December 15, 2018. Early adoption is permitted. We are currently evaluating the impact of adopting this standard on our consolidated financial statements.</w:t>
      </w:r>
    </w:p>
    <w:p>
      <w:pPr>
        <w:sectPr>
          <w:pgSz w:w="11900" w:h="16868" w:orient="portrait"/>
          <w:cols w:equalWidth="0" w:num="1">
            <w:col w:w="11420"/>
          </w:cols>
          <w:pgMar w:left="240" w:top="364" w:right="239" w:bottom="0" w:gutter="0" w:footer="0" w:header="0"/>
        </w:sectPr>
      </w:pPr>
    </w:p>
    <w:bookmarkStart w:id="74" w:name="page75"/>
    <w:bookmarkEnd w:id="74"/>
    <w:p>
      <w:pPr>
        <w:ind w:firstLine="54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 Stock Compensation. </w:t>
      </w:r>
      <w:r>
        <w:rPr>
          <w:rFonts w:ascii="Times New Roman" w:cs="Times New Roman" w:eastAsia="Times New Roman" w:hAnsi="Times New Roman"/>
          <w:sz w:val="18"/>
          <w:szCs w:val="18"/>
          <w:color w:val="auto"/>
        </w:rPr>
        <w:t>On March 30, 2016, the FASB issued ASU 2016-09</w:t>
      </w:r>
      <w:r>
        <w:rPr>
          <w:rFonts w:ascii="Times New Roman" w:cs="Times New Roman" w:eastAsia="Times New Roman" w:hAnsi="Times New Roman"/>
          <w:sz w:val="18"/>
          <w:szCs w:val="18"/>
          <w:i w:val="1"/>
          <w:iCs w:val="1"/>
          <w:color w:val="auto"/>
        </w:rPr>
        <w:t>, Compensation — Stock Compensation: Improvements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Employee Share-Based Payment Accounting</w:t>
      </w:r>
      <w:r>
        <w:rPr>
          <w:rFonts w:ascii="Times New Roman" w:cs="Times New Roman" w:eastAsia="Times New Roman" w:hAnsi="Times New Roman"/>
          <w:sz w:val="18"/>
          <w:szCs w:val="18"/>
          <w:color w:val="auto"/>
        </w:rPr>
        <w:t>, which relates to the accounting for employee share-based payments. This standard addresses several aspects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accounting for share-based payment award transactions, including: (a) income tax consequences; (b) classification of awards as either equity or liabilities; and (c) classification on the statement of cash flows; (d) accounting for forfeitures of share-based payments. This standard will be effective for fiscal years beginning after December 15, 2016, including interim periods within those fiscal years. We do not expect this standard to have a material impact on our consolidated financial statements.</w:t>
      </w:r>
    </w:p>
    <w:p>
      <w:pPr>
        <w:spacing w:after="0" w:line="183" w:lineRule="exact"/>
        <w:rPr>
          <w:sz w:val="20"/>
          <w:szCs w:val="20"/>
          <w:color w:val="auto"/>
        </w:rPr>
      </w:pPr>
    </w:p>
    <w:p>
      <w:pPr>
        <w:ind w:firstLine="54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Instruments-Credit Losses. </w:t>
      </w:r>
      <w:r>
        <w:rPr>
          <w:rFonts w:ascii="Times New Roman" w:cs="Times New Roman" w:eastAsia="Times New Roman" w:hAnsi="Times New Roman"/>
          <w:sz w:val="18"/>
          <w:szCs w:val="18"/>
          <w:color w:val="auto"/>
        </w:rPr>
        <w:t>In June 2016, the FASB issued ASU 2016-13</w:t>
      </w:r>
      <w:r>
        <w:rPr>
          <w:rFonts w:ascii="Times New Roman" w:cs="Times New Roman" w:eastAsia="Times New Roman" w:hAnsi="Times New Roman"/>
          <w:sz w:val="18"/>
          <w:szCs w:val="18"/>
          <w:i w:val="1"/>
          <w:iCs w:val="1"/>
          <w:color w:val="auto"/>
        </w:rPr>
        <w:t>, Financial Instruments-Credit Losses (Topic 326)</w:t>
      </w:r>
      <w:r>
        <w:rPr>
          <w:rFonts w:ascii="Times New Roman" w:cs="Times New Roman" w:eastAsia="Times New Roman" w:hAnsi="Times New Roman"/>
          <w:sz w:val="18"/>
          <w:szCs w:val="18"/>
          <w:color w:val="auto"/>
        </w:rPr>
        <w:t>, which requires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This guidance is effective for fiscal years, and interim periods within those fiscal years, beginning after December 15, 2019. Early application will be permitted for all entities for fiscal years, and interim periods within those fiscal years, beginning after December 15, 2018. We are currently evaluating the impact that the standard will have on our consolidated financial statements and related disclosures.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Statement of Cash Flows — Classification of Certain Cash Receipts and Cash Payments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August 2016, the FASB issued ASU 2016-</w:t>
      </w:r>
    </w:p>
    <w:p>
      <w:pPr>
        <w:spacing w:after="0" w:line="3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i w:val="1"/>
          <w:iCs w:val="1"/>
          <w:color w:val="auto"/>
        </w:rPr>
        <w:t>Statement of Cash Flows — Classification of Certain Cash Receipts and Cash Payments,</w:t>
      </w:r>
      <w:r>
        <w:rPr>
          <w:rFonts w:ascii="Times New Roman" w:cs="Times New Roman" w:eastAsia="Times New Roman" w:hAnsi="Times New Roman"/>
          <w:sz w:val="18"/>
          <w:szCs w:val="18"/>
          <w:color w:val="auto"/>
        </w:rPr>
        <w:t xml:space="preserve"> which clarifies the presentation and classification of certain cash receipts and cash payments in the statement of cash flows. This guidance is effective for financial statements issued for fiscal years beginning after December 15, 2017, and interim periods within those fiscal years. Early adoption is permitted. We are currently evaluating the impact that the standard will have on our consolidated financial statements and related disclosures.</w:t>
      </w:r>
    </w:p>
    <w:p>
      <w:pPr>
        <w:spacing w:after="0" w:line="182" w:lineRule="exact"/>
        <w:rPr>
          <w:sz w:val="20"/>
          <w:szCs w:val="20"/>
          <w:color w:val="auto"/>
        </w:rPr>
      </w:pPr>
    </w:p>
    <w:p>
      <w:pPr>
        <w:ind w:right="40" w:firstLine="54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Statement of Cash Flows (Topic 230): Restricted Cash. </w:t>
      </w:r>
      <w:r>
        <w:rPr>
          <w:rFonts w:ascii="Times New Roman" w:cs="Times New Roman" w:eastAsia="Times New Roman" w:hAnsi="Times New Roman"/>
          <w:sz w:val="18"/>
          <w:szCs w:val="18"/>
          <w:color w:val="auto"/>
        </w:rPr>
        <w:t>In November 2016, the FASB issued ASU 2016-18,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Statement of Cash Flows (Topic 230):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The guidance requires that a statement of cash flows explain the change during the period in the total of cash, cash equivalents, and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standard is effective for fiscal years beginning after December 15, 2017, and interim period within those fiscal years. Early adoption is permitted, including adoption in an interim period. The standard should be applied using a retrospective transition method to each period presented. We are currently evaluating the impact of adopting this standard on our consolidated financial statements. For the years ended December 31, 2015 and 2016, the amount of changes in restricted cash that were included in investing activities was RMB125.0 million and RMB229.6 million (US$33.1 million), respectively.</w:t>
      </w:r>
    </w:p>
    <w:p>
      <w:pPr>
        <w:spacing w:after="0" w:line="185" w:lineRule="exact"/>
        <w:rPr>
          <w:sz w:val="20"/>
          <w:szCs w:val="20"/>
          <w:color w:val="auto"/>
        </w:rPr>
      </w:pPr>
    </w:p>
    <w:p>
      <w:pPr>
        <w:ind w:right="120" w:firstLine="7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Combinations (Topic 805): Clarifying the Definition of a Business. </w:t>
      </w:r>
      <w:r>
        <w:rPr>
          <w:rFonts w:ascii="Times New Roman" w:cs="Times New Roman" w:eastAsia="Times New Roman" w:hAnsi="Times New Roman"/>
          <w:sz w:val="18"/>
          <w:szCs w:val="18"/>
          <w:color w:val="auto"/>
        </w:rPr>
        <w:t>In January 2017, the FASB issued SU 2017-01,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Combinations (Topic 805): Clarifying the Definition of a Business, </w:t>
      </w:r>
      <w:r>
        <w:rPr>
          <w:rFonts w:ascii="Times New Roman" w:cs="Times New Roman" w:eastAsia="Times New Roman" w:hAnsi="Times New Roman"/>
          <w:sz w:val="18"/>
          <w:szCs w:val="18"/>
          <w:color w:val="auto"/>
        </w:rPr>
        <w:t>which clarifies the definition of a business with the objective of adding guidance to assist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with evaluating whether transactions should be accounted for as acquisitions or disposals of assets or businesses. The standard is effective for fiscal years beginning after December 15, 2017, including interim periods within those fiscal years. Early adoption is permitted. The standard should be applied prospectively on or after the effective date. We will evaluate the impact of adopting this standard prospectively upon any transactions of acquisitions or disposals of assets or businesses.</w:t>
      </w:r>
    </w:p>
    <w:p>
      <w:pPr>
        <w:spacing w:after="0" w:line="183"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Income—Gains and Losses from the Derecognition of Nonfinancial Assets. </w:t>
      </w:r>
      <w:r>
        <w:rPr>
          <w:rFonts w:ascii="Times New Roman" w:cs="Times New Roman" w:eastAsia="Times New Roman" w:hAnsi="Times New Roman"/>
          <w:sz w:val="18"/>
          <w:szCs w:val="18"/>
          <w:color w:val="auto"/>
        </w:rPr>
        <w:t>In February 2017, the FASB issued ASU 2017-05,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Other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Gains and Losses from the Derecognition of Nonfinancial Assets. </w:t>
      </w:r>
      <w:r>
        <w:rPr>
          <w:rFonts w:ascii="Times New Roman" w:cs="Times New Roman" w:eastAsia="Times New Roman" w:hAnsi="Times New Roman"/>
          <w:sz w:val="18"/>
          <w:szCs w:val="18"/>
          <w:color w:val="auto"/>
        </w:rPr>
        <w:t>The amendments in this Update clarify that an entity should identify each distinct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nonfinancial asset or in substance nonfinancial asset promised to a counterparty and derecognize each asset when a counterparty obtains control of it and require an entity to derecognize a distinct nonfinancial asset or distinct in substance nonfinancial asset in a partial sale transaction when it (1) does not have (or ceases to have) a controlling financial interest in the legal entity that holds the asset in accordance with Topic 810 and (2) transfers control of the asset in accordance with Topic 606. The guidance is effective for annual reporting periods beginning after December 15, 2017, including interim reporting periods within that reporting period and should be adopted either by using retrospective approach or by using modified retrospective approach. We are currently evaluating the impact of adopting this standard on our consolidated financial statements.</w:t>
      </w:r>
    </w:p>
    <w:p>
      <w:pPr>
        <w:spacing w:after="0" w:line="185" w:lineRule="exact"/>
        <w:rPr>
          <w:sz w:val="20"/>
          <w:szCs w:val="20"/>
          <w:color w:val="auto"/>
        </w:rPr>
      </w:pPr>
    </w:p>
    <w:p>
      <w:pPr>
        <w:ind w:right="5940" w:firstLine="8"/>
        <w:spacing w:after="0" w:line="503" w:lineRule="auto"/>
        <w:tabs>
          <w:tab w:leader="none" w:pos="1309"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Patents and Licenses, etc. Product Development</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“Item 4. Information on the Company—B. Business Overview—Research and Development.”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“Item 4. Information on the Company—B. Business Overview—Intellectual Property.”</w:t>
      </w:r>
    </w:p>
    <w:p>
      <w:pPr>
        <w:spacing w:after="0" w:line="221" w:lineRule="exact"/>
        <w:rPr>
          <w:sz w:val="20"/>
          <w:szCs w:val="20"/>
          <w:color w:val="auto"/>
        </w:rPr>
      </w:pPr>
    </w:p>
    <w:p>
      <w:pPr>
        <w:ind w:left="1320" w:hanging="1312"/>
        <w:spacing w:after="0"/>
        <w:tabs>
          <w:tab w:leader="none" w:pos="132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Trend Information</w:t>
      </w:r>
    </w:p>
    <w:p>
      <w:pPr>
        <w:spacing w:after="0" w:line="229" w:lineRule="exact"/>
        <w:rPr>
          <w:sz w:val="20"/>
          <w:szCs w:val="20"/>
          <w:color w:val="auto"/>
        </w:rPr>
      </w:pPr>
    </w:p>
    <w:p>
      <w:pPr>
        <w:ind w:right="200" w:firstLine="441"/>
        <w:spacing w:after="0" w:line="261" w:lineRule="auto"/>
        <w:rPr>
          <w:sz w:val="20"/>
          <w:szCs w:val="20"/>
          <w:color w:val="auto"/>
        </w:rPr>
      </w:pPr>
      <w:r>
        <w:rPr>
          <w:rFonts w:ascii="Times New Roman" w:cs="Times New Roman" w:eastAsia="Times New Roman" w:hAnsi="Times New Roman"/>
          <w:sz w:val="18"/>
          <w:szCs w:val="18"/>
          <w:color w:val="auto"/>
        </w:rPr>
        <w:t>Please refer to “—A. Results of Operations” for a discussion of the most recent trends in our services, sales and marketing by the end of 2016. In addition, please refer to discussions included in such Item for a discussion of known trends, uncertainties, demands, commitments or events that we believe are reasonably likely to have a material effect on our net sales and operating revenues, income from continuing operations, profitability, liquidity or capital resources, or that would cause reported financial information to be not necessarily indicative of our future operating results or financial condition.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300" w:hanging="1292"/>
        <w:spacing w:after="0"/>
        <w:tabs>
          <w:tab w:leader="none" w:pos="130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40" w:firstLine="450"/>
        <w:spacing w:after="0" w:line="258" w:lineRule="auto"/>
        <w:rPr>
          <w:sz w:val="20"/>
          <w:szCs w:val="20"/>
          <w:color w:val="auto"/>
        </w:rPr>
      </w:pPr>
      <w:r>
        <w:rPr>
          <w:rFonts w:ascii="Times New Roman" w:cs="Times New Roman" w:eastAsia="Times New Roman" w:hAnsi="Times New Roman"/>
          <w:sz w:val="18"/>
          <w:szCs w:val="18"/>
          <w:color w:val="auto"/>
        </w:rPr>
        <w:t>We have not entered into any financial guarantees or other commitments to guarantee the payment obligations of any third parties. In addition, we have not entered into any derivative contracts that are indexed to our own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Moreover, we do not have any variable interest in any unconsolidated entity that provides financing, liquidity, market risk or credit support to us or engages in leasing, hedging or research and development services with us.</w:t>
      </w:r>
    </w:p>
    <w:p>
      <w:pPr>
        <w:sectPr>
          <w:pgSz w:w="11900" w:h="16838" w:orient="portrait"/>
          <w:cols w:equalWidth="0" w:num="1">
            <w:col w:w="11400"/>
          </w:cols>
          <w:pgMar w:left="240" w:top="333" w:right="259" w:bottom="0" w:gutter="0" w:footer="0" w:header="0"/>
        </w:sectPr>
      </w:pPr>
    </w:p>
    <w:bookmarkStart w:id="75" w:name="page76"/>
    <w:bookmarkEnd w:id="75"/>
    <w:p>
      <w:pPr>
        <w:ind w:left="1300" w:hanging="1292"/>
        <w:spacing w:after="0"/>
        <w:tabs>
          <w:tab w:leader="none" w:pos="130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Tabular Disclosure of Contractual Obligations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as of December 31, 2016.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900" w:type="dxa"/>
            <w:vAlign w:val="bottom"/>
          </w:tcPr>
          <w:p>
            <w:pPr>
              <w:spacing w:after="0"/>
              <w:rPr>
                <w:sz w:val="12"/>
                <w:szCs w:val="12"/>
                <w:color w:val="auto"/>
              </w:rPr>
            </w:pPr>
          </w:p>
        </w:tc>
        <w:tc>
          <w:tcPr>
            <w:tcW w:w="1140" w:type="dxa"/>
            <w:vAlign w:val="bottom"/>
            <w:tcBorders>
              <w:bottom w:val="single" w:sz="8" w:color="auto"/>
            </w:tcBorders>
            <w:gridSpan w:val="2"/>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2021 and Thereafter</w:t>
            </w:r>
          </w:p>
        </w:tc>
        <w:tc>
          <w:tcPr>
            <w:tcW w:w="100" w:type="dxa"/>
            <w:vAlign w:val="bottom"/>
          </w:tcPr>
          <w:p>
            <w:pPr>
              <w:spacing w:after="0"/>
              <w:rPr>
                <w:sz w:val="12"/>
                <w:szCs w:val="12"/>
                <w:color w:val="auto"/>
              </w:rPr>
            </w:pPr>
          </w:p>
        </w:tc>
      </w:tr>
      <w:tr>
        <w:trPr>
          <w:trHeight w:val="142"/>
        </w:trPr>
        <w:tc>
          <w:tcPr>
            <w:tcW w:w="3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80" w:type="dxa"/>
            <w:vAlign w:val="bottom"/>
            <w:gridSpan w:val="4"/>
          </w:tcPr>
          <w:p>
            <w:pPr>
              <w:jc w:val="center"/>
              <w:ind w:left="435"/>
              <w:spacing w:after="0" w:line="142"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47,322</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24,916</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7,932</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5,702</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4,812</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3,960</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Bandwidth purchases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25,734</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25,461</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Cooperation with Phoenix TV Group</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24,724</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6,708</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12,506</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5,510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Content purchases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40,262</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14,762</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15,144</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9,578</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and intangible assets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2,094</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2,094</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4,583</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4,338</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144,719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78,279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right="500" w:firstLine="441"/>
        <w:spacing w:after="0" w:line="261" w:lineRule="auto"/>
        <w:rPr>
          <w:sz w:val="20"/>
          <w:szCs w:val="20"/>
          <w:color w:val="auto"/>
        </w:rPr>
      </w:pPr>
      <w:r>
        <w:rPr>
          <w:rFonts w:ascii="Times New Roman" w:cs="Times New Roman" w:eastAsia="Times New Roman" w:hAnsi="Times New Roman"/>
          <w:sz w:val="18"/>
          <w:szCs w:val="18"/>
          <w:color w:val="auto"/>
        </w:rPr>
        <w:t xml:space="preserve">As a result of our adoption of Accounting Standard Codification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recorded an uncertain tax positions of RMB21.7 million (US$3.1million) as of December 31, 2016 and recognized it as long-term liabilities, as ASC 740 specifies that tax positions for which the timing of the ultimate resolution is uncertain should be recognized as long-term liabilities. At this time, we are unable to make a reasonable estimate on the timing of payments in individual years beyond 12 months due to uncertainties in the timing. As a result, this amount is not included in the table above.</w:t>
      </w:r>
    </w:p>
    <w:p>
      <w:pPr>
        <w:spacing w:after="0" w:line="178" w:lineRule="exact"/>
        <w:rPr>
          <w:sz w:val="20"/>
          <w:szCs w:val="20"/>
          <w:color w:val="auto"/>
        </w:rPr>
      </w:pPr>
    </w:p>
    <w:p>
      <w:pPr>
        <w:ind w:left="1320" w:hanging="1312"/>
        <w:spacing w:after="0"/>
        <w:tabs>
          <w:tab w:leader="none" w:pos="132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This annual report on Form 20-F contains forward-looking statements that involve risks and uncertainties. All statements other than statements of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spacing w:after="0" w:line="176" w:lineRule="exact"/>
        <w:rPr>
          <w:sz w:val="20"/>
          <w:szCs w:val="20"/>
          <w:color w:val="auto"/>
        </w:rPr>
      </w:pPr>
    </w:p>
    <w:p>
      <w:pPr>
        <w:ind w:right="200" w:firstLine="441"/>
        <w:spacing w:after="0" w:line="261" w:lineRule="auto"/>
        <w:rPr>
          <w:sz w:val="20"/>
          <w:szCs w:val="20"/>
          <w:color w:val="auto"/>
        </w:rPr>
      </w:pPr>
      <w:r>
        <w:rPr>
          <w:rFonts w:ascii="Times New Roman" w:cs="Times New Roman" w:eastAsia="Times New Roman" w:hAnsi="Times New Roman"/>
          <w:sz w:val="18"/>
          <w:szCs w:val="18"/>
          <w:color w:val="auto"/>
        </w:rPr>
        <w:t>You can identify these forward-looking statements by words or phrases such as “aim”, “anticipate”, “believe”, “estimate”, “expect”, “intend”, “likely to”, “may”, “plan”, “will” or other similar expressions. We have based these forward-looking statements largely on our current expectations and projections about future events and financial trends that we believe may affect our financial condition, operating results, business strategy and financial needs. These forward-looking statements include:</w:t>
      </w:r>
    </w:p>
    <w:p>
      <w:pPr>
        <w:spacing w:after="0" w:line="180" w:lineRule="exact"/>
        <w:rPr>
          <w:sz w:val="20"/>
          <w:szCs w:val="20"/>
          <w:color w:val="auto"/>
        </w:rPr>
      </w:pPr>
    </w:p>
    <w:p>
      <w:pPr>
        <w:ind w:left="1380" w:hanging="607"/>
        <w:spacing w:after="0"/>
        <w:tabs>
          <w:tab w:leader="none" w:pos="1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strategies, including without limitation strategies to grow particular products or services;</w:t>
      </w:r>
    </w:p>
    <w:p>
      <w:pPr>
        <w:spacing w:after="0" w:line="225" w:lineRule="exact"/>
        <w:rPr>
          <w:rFonts w:ascii="Times New Roman" w:cs="Times New Roman" w:eastAsia="Times New Roman" w:hAnsi="Times New Roman"/>
          <w:sz w:val="18"/>
          <w:szCs w:val="18"/>
          <w:color w:val="auto"/>
        </w:rPr>
      </w:pPr>
    </w:p>
    <w:p>
      <w:pPr>
        <w:ind w:left="1380" w:hanging="607"/>
        <w:spacing w:after="0"/>
        <w:tabs>
          <w:tab w:leader="none" w:pos="1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operating results and financial condition;</w:t>
      </w:r>
    </w:p>
    <w:p>
      <w:pPr>
        <w:spacing w:after="0" w:line="225" w:lineRule="exact"/>
        <w:rPr>
          <w:rFonts w:ascii="Times New Roman" w:cs="Times New Roman" w:eastAsia="Times New Roman" w:hAnsi="Times New Roman"/>
          <w:sz w:val="18"/>
          <w:szCs w:val="18"/>
          <w:color w:val="auto"/>
        </w:rPr>
      </w:pPr>
    </w:p>
    <w:p>
      <w:pPr>
        <w:ind w:left="1380" w:hanging="607"/>
        <w:spacing w:after="0"/>
        <w:tabs>
          <w:tab w:leader="none" w:pos="1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revenues, including in components of our total revenues, and cost or expense items;</w:t>
      </w:r>
    </w:p>
    <w:p>
      <w:pPr>
        <w:spacing w:after="0" w:line="225" w:lineRule="exact"/>
        <w:rPr>
          <w:rFonts w:ascii="Times New Roman" w:cs="Times New Roman" w:eastAsia="Times New Roman" w:hAnsi="Times New Roman"/>
          <w:sz w:val="18"/>
          <w:szCs w:val="18"/>
          <w:color w:val="auto"/>
        </w:rPr>
      </w:pPr>
    </w:p>
    <w:p>
      <w:pPr>
        <w:ind w:left="1380" w:hanging="607"/>
        <w:spacing w:after="0"/>
        <w:tabs>
          <w:tab w:leader="none" w:pos="1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and manage the expansion of our operations; and</w:t>
      </w:r>
    </w:p>
    <w:p>
      <w:pPr>
        <w:spacing w:after="0" w:line="225" w:lineRule="exact"/>
        <w:rPr>
          <w:rFonts w:ascii="Times New Roman" w:cs="Times New Roman" w:eastAsia="Times New Roman" w:hAnsi="Times New Roman"/>
          <w:sz w:val="18"/>
          <w:szCs w:val="18"/>
          <w:color w:val="auto"/>
        </w:rPr>
      </w:pPr>
    </w:p>
    <w:p>
      <w:pPr>
        <w:ind w:left="1380" w:hanging="607"/>
        <w:spacing w:after="0"/>
        <w:tabs>
          <w:tab w:leader="none" w:pos="1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and business conditions in China.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annual report on Form 20-F relate only to events or information as of the date on which the statements are made in this annual report on Form 20-F.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on Form 20-F and the documents that we reference in this annual report on Form 20-F and have filed as exhibits hereto with the understanding that our actual future results may be materially different from what we expect. You should not rely upon forward-looking statements as predictions of future events.</w:t>
      </w:r>
    </w:p>
    <w:p>
      <w:pPr>
        <w:spacing w:after="0" w:line="188" w:lineRule="exact"/>
        <w:rPr>
          <w:sz w:val="20"/>
          <w:szCs w:val="20"/>
          <w:color w:val="auto"/>
        </w:rPr>
      </w:pPr>
    </w:p>
    <w:p>
      <w:pPr>
        <w:ind w:right="160" w:firstLine="441"/>
        <w:spacing w:after="0" w:line="261" w:lineRule="auto"/>
        <w:rPr>
          <w:sz w:val="20"/>
          <w:szCs w:val="20"/>
          <w:color w:val="auto"/>
        </w:rPr>
      </w:pPr>
      <w:r>
        <w:rPr>
          <w:rFonts w:ascii="Times New Roman" w:cs="Times New Roman" w:eastAsia="Times New Roman" w:hAnsi="Times New Roman"/>
          <w:sz w:val="18"/>
          <w:szCs w:val="18"/>
          <w:color w:val="auto"/>
        </w:rPr>
        <w:t>Other sections of this annual report on Form 20-F include additional factors that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7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DIRECTORS, SENIOR MANAGEMENT AND EMPLOYEES</w:t>
      </w:r>
    </w:p>
    <w:p>
      <w:pPr>
        <w:spacing w:after="0" w:line="225" w:lineRule="exact"/>
        <w:rPr>
          <w:sz w:val="20"/>
          <w:szCs w:val="20"/>
          <w:color w:val="auto"/>
        </w:rPr>
      </w:pPr>
    </w:p>
    <w:p>
      <w:pPr>
        <w:ind w:left="1320" w:hanging="1312"/>
        <w:spacing w:after="0"/>
        <w:tabs>
          <w:tab w:leader="none" w:pos="13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Executive Officers and Directors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and directors as of the date of this annual report.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Age</w:t>
            </w:r>
          </w:p>
        </w:tc>
        <w:tc>
          <w:tcPr>
            <w:tcW w:w="5140" w:type="dxa"/>
            <w:vAlign w:val="bottom"/>
          </w:tcPr>
          <w:p>
            <w:pPr>
              <w:ind w:left="216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Keung Chui</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00" w:type="dxa"/>
            <w:vAlign w:val="bottom"/>
            <w:tcBorders>
              <w:top w:val="single" w:sz="8" w:color="CCEEFF"/>
            </w:tcBorders>
            <w:shd w:val="clear" w:color="auto" w:fill="CCEEFF"/>
          </w:tcPr>
          <w:p>
            <w:pPr>
              <w:spacing w:after="0"/>
              <w:rPr>
                <w:sz w:val="18"/>
                <w:szCs w:val="18"/>
                <w:color w:val="auto"/>
              </w:rPr>
            </w:pPr>
          </w:p>
        </w:tc>
        <w:tc>
          <w:tcPr>
            <w:tcW w:w="5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Shuang Liu</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2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Director, Chief Executive Officer</w:t>
            </w:r>
          </w:p>
        </w:tc>
      </w:tr>
      <w:tr>
        <w:trPr>
          <w:trHeight w:val="21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Ya Li</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20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Co-President</w:t>
            </w: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Tong Chen</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Co-President</w:t>
            </w:r>
          </w:p>
        </w:tc>
      </w:tr>
      <w:tr>
        <w:trPr>
          <w:trHeight w:val="21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Daguang He</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0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 Keung Yeung</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Carson Wen</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20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Jerry Juying Zhang</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Betty Yip Ho</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20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Shu Liu</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2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bl>
    <w:p>
      <w:pPr>
        <w:sectPr>
          <w:pgSz w:w="11900" w:h="16838" w:orient="portrait"/>
          <w:cols w:equalWidth="0" w:num="1">
            <w:col w:w="11420"/>
          </w:cols>
          <w:pgMar w:left="240" w:top="117" w:right="239" w:bottom="17" w:gutter="0" w:footer="0" w:header="0"/>
        </w:sectPr>
      </w:pPr>
    </w:p>
    <w:bookmarkStart w:id="76" w:name="page77"/>
    <w:bookmarkEnd w:id="76"/>
    <w:p>
      <w:pPr>
        <w:ind w:right="60"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Keung Chui </w:t>
      </w:r>
      <w:r>
        <w:rPr>
          <w:rFonts w:ascii="Times New Roman" w:cs="Times New Roman" w:eastAsia="Times New Roman" w:hAnsi="Times New Roman"/>
          <w:sz w:val="18"/>
          <w:szCs w:val="18"/>
          <w:color w:val="auto"/>
        </w:rPr>
        <w:t>has served as the chairman of our board of directors since the establishment of Phoenix New Media Limited in November 2007. Mr. Chui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served as the deputy Chief Executive Officer in charge of administration of Phoenix Satellite Television Company Limited since 1998. He served as vice chairman of the board of directors of Hong Kong Letian Development Limited from 1993 to 1996. From 1980 to 1992, Mr. Chui worked at China Central People’s Radio Station, where he served as a journalist, editor and senior editor. Mr. Chui has served as a director of Phoenix Satellite Television Company Limited since 1996 and is a director of numerous subsidiaries of Phoenix TV. Mr. Chui has also served as a director of PCNE Holdings Limited since 2000, a director of Shenzhen Wutongshan TV and Broadcasting Co., Ltd. since 2001 and a director of Green Lagoon Investments Limited since 2006. Mr. Chui received a bachelor’s degree from Fudan University.</w:t>
      </w:r>
    </w:p>
    <w:p>
      <w:pPr>
        <w:spacing w:after="0" w:line="183" w:lineRule="exact"/>
        <w:rPr>
          <w:sz w:val="20"/>
          <w:szCs w:val="20"/>
          <w:color w:val="auto"/>
        </w:rPr>
      </w:pPr>
    </w:p>
    <w:p>
      <w:pPr>
        <w:ind w:right="80"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Shuang Liu </w:t>
      </w:r>
      <w:r>
        <w:rPr>
          <w:rFonts w:ascii="Times New Roman" w:cs="Times New Roman" w:eastAsia="Times New Roman" w:hAnsi="Times New Roman"/>
          <w:sz w:val="18"/>
          <w:szCs w:val="18"/>
          <w:color w:val="auto"/>
        </w:rPr>
        <w:t>has served as our director and Chief Executive Officer since the establishment of Phoenix New Media Limited in November 2007. Mr. Liu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also promoted to the position of Chief Operating Officer of Phoenix TV in February 2014. Mr. Liu has been employed by Phoenix TV from 2001 to the present, and where he has served in various managing positions, including chief director of business development and vice president in charge of investment, finance, investor relationships, legal affairs, public affairs and development of the finance channel. Before joining Phoenix TV, Mr. Liu worked at Simpson Thacher &amp; Bartlett LLP, Milbank, Tweed, Hadley &amp; McCloy LLP and Morrison &amp; Foerster LLP from 1996 to 2001. Mr. Liu received a J.D. degree from Duke University Law School, and a bachelor’s degree from University of International Business &amp; Economic.</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right="20" w:firstLine="45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Ya Li </w:t>
      </w:r>
      <w:r>
        <w:rPr>
          <w:rFonts w:ascii="Times New Roman" w:cs="Times New Roman" w:eastAsia="Times New Roman" w:hAnsi="Times New Roman"/>
          <w:sz w:val="18"/>
          <w:szCs w:val="18"/>
          <w:color w:val="auto"/>
        </w:rPr>
        <w:t>is the co-president and director of our company and Chief Executive Officer of Particle, which operates Yidian Zixun, a rapidly-growing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personalized news and life-style information application in China. Mr. Li has also served as the chairman of Phoenix FM since August 2013. Mr. Li is a seasoned entrepreneur with rich experiences from both startups and public companies. Mr. Li founded and served as CEO of Global Villager Inc. in 1995, a New York-based Internet startup, later acquired by Startec Global Communications Inc. in 2000. From 1993 to 2001, he worked as a software engineer and senior Internet consultant at Verizon Communications Inc., DLJ, Lehman Brothers and Morgan Stanley. From 2002 to 2005, he served as President of China Quantum Communications Inc., and as CFO of Techedge Inc. Mr. Li. joined Phoenix New Media as COO &amp; CFO in 2006and has served as our director since 2007. Mr. Li was promoted to our president in 2014. Mr. Li is a Visiting Research Fellow and Master’s Supervisor at Beijing University, a Visiting Professor at Communication University of China, and the Deputy Director of the academic committee of China Advertising Association. From 1996 to 2005, Mr. Li. served on the Board of Directors for U.S. China Chamber of Commerce, Chinese Finance Society, National Council of Chinese Americans, and Council on U.S.-China Affairs. Mr. Li received a two-year Executive Management Education from Wharton School of Business, a M.S. in Computer Science from Temple University, and B.S. in Control Systems Engineering from the University of Science &amp; Technology of China. Mr. Li has served as an independent director of Xunlei Limited (Nasdaq: XNET) since March 2017, and also served as a member of their audit committee, the compensation committee and the corporate governance and nominating committee.</w:t>
      </w:r>
    </w:p>
    <w:p>
      <w:pPr>
        <w:spacing w:after="0" w:line="189" w:lineRule="exact"/>
        <w:rPr>
          <w:sz w:val="20"/>
          <w:szCs w:val="20"/>
          <w:color w:val="auto"/>
        </w:rPr>
      </w:pPr>
    </w:p>
    <w:p>
      <w:pPr>
        <w:ind w:firstLine="44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Tong Chen </w:t>
      </w:r>
      <w:r>
        <w:rPr>
          <w:rFonts w:ascii="Times New Roman" w:cs="Times New Roman" w:eastAsia="Times New Roman" w:hAnsi="Times New Roman"/>
          <w:sz w:val="18"/>
          <w:szCs w:val="18"/>
          <w:color w:val="auto"/>
        </w:rPr>
        <w:t>has served as our co-president since October 2016. Mr. Chen has over 20 years of experience in the media and content development space.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November 2014 to October 2016, he served as vice president of Xiaomi Inc., responsible for its content investment and operation. Prior to joining Xiaomi Inc., Mr. Chen spent 17 years at SINA Corporation and served as its chief editor and executive vice president from February 2007 to November 2014. Mr. Chen holds an M.B.A. from China-Europe International Business School, an M.A. in Journalism from Renmin University of China, an M.A. in Communications from Beijing Institute of Technology, and a B.S. in electronic engineering from Beijing University of Technology.</w:t>
      </w:r>
    </w:p>
    <w:p>
      <w:pPr>
        <w:spacing w:after="0" w:line="180"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Daguang He </w:t>
      </w:r>
      <w:r>
        <w:rPr>
          <w:rFonts w:ascii="Times New Roman" w:cs="Times New Roman" w:eastAsia="Times New Roman" w:hAnsi="Times New Roman"/>
          <w:sz w:val="18"/>
          <w:szCs w:val="18"/>
          <w:color w:val="auto"/>
        </w:rPr>
        <w:t>was appointed as the executive vice president of Phoenix TV and Phoenix Satellite Television Company Limited on 10 October 2015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He is also a member of the risk management committee of Phoenix TV. Mr. He joined Phoenix in 2001, since then he served as Chief Financial Officer (mainland China) and vice president of Phoenix TV. He currently assists on Phoenix TV’s departmental coordination and daily affairs and is responsible for managing Phoenix TV’s daily operation as well as finance, personnel and administration affairs. Mr. He graduated from Shaanxi Institute of Finance and Economics in 1983. Since his graduation, Mr. He worked for China International Water &amp; Electric Corporation as the deputy chief accountant and managing director subsequently. During such period, Mr. He was mainly responsible for business and financial management in respect of investment and development projects in collaboration with various international financial institutions.</w:t>
      </w:r>
    </w:p>
    <w:p>
      <w:pPr>
        <w:spacing w:after="0" w:line="183"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Ka Keung Yeung </w:t>
      </w:r>
      <w:r>
        <w:rPr>
          <w:rFonts w:ascii="Times New Roman" w:cs="Times New Roman" w:eastAsia="Times New Roman" w:hAnsi="Times New Roman"/>
          <w:sz w:val="18"/>
          <w:szCs w:val="18"/>
          <w:color w:val="auto"/>
        </w:rPr>
        <w:t>has served as our director since May 2011. Mr. Yeung is the executive vice president and Chief Financial Officer of Phoenix Satellite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Television Company Limited in charge of corporate finance, human resources and administration. He is also the qualified accountant and company secretary of Phoenix Satellite Television Company Limited. Mr. Yeung joined Phoenix Satellite Television Company Limited in March 1996 and has been in charge of all of such company’s internal and external financial management and arrangements, as well as the supervision of administration and personnel matters since that time. Mr. Yeung received a B.A. from the University of Birmingham and remained in the United Kingdom until 1992 after obtaining his qualification as a chartered accountant. Upon returning to Hong Kong, he worked at Hutchison Telecommunications and Star Television Limited in the fields of finance and business development. Mr. Yeung currently serves as an independent director for The9 Limited (NASDAQ:NCTY).</w:t>
      </w:r>
    </w:p>
    <w:p>
      <w:pPr>
        <w:spacing w:after="0" w:line="183"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Carson Wen </w:t>
      </w:r>
      <w:r>
        <w:rPr>
          <w:rFonts w:ascii="Times New Roman" w:cs="Times New Roman" w:eastAsia="Times New Roman" w:hAnsi="Times New Roman"/>
          <w:sz w:val="18"/>
          <w:szCs w:val="18"/>
          <w:color w:val="auto"/>
        </w:rPr>
        <w:t>has served as an independent director of our company since May 2011. Mr. Wen was an Of Counsel at Jones Day, and has more than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of experience in business, corporate and securities law. Mr. Wen is a Justice of the Peace of Hong Kong and was awarded the Bronze Bauhinia Star by the Hong Kong government for his contribution to economic ties between Hong Kong, the PRC and the rest of the world. He is a guest professor of the Law School of Sun Yat-Sen University (Zhongshan University) in Guangzhou, China, a founding and Executive Committee member of the China M&amp;A Association and sits on the board of numerous organizations, including the China Africa Business Council (Hong Kong), and the Pacific Basin Economic Council. He is a member of the Business Advisory Council of the United Nation Economic and Social Commission for Asia and the Pacific (UNESCAP) and the chairman of its Green Business Task Force. He was a deputy of the National People’s Congress of the PRC. Mr. Wen holds a B.A. and M.A. degree in Law from Oxford University, where he was a Younger Prizeman in law at Balliol College, and a B.A. in Economics from Columbia University. Mr. Wen currently serves as an independent director for Winox Limited (HKEx: 6838).</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Jerry Juying Zhang </w:t>
      </w:r>
      <w:r>
        <w:rPr>
          <w:rFonts w:ascii="Times New Roman" w:cs="Times New Roman" w:eastAsia="Times New Roman" w:hAnsi="Times New Roman"/>
          <w:sz w:val="18"/>
          <w:szCs w:val="18"/>
          <w:color w:val="auto"/>
        </w:rPr>
        <w:t>has served as an independent director of our company since May 2011. Mr. Zhang has been a managing director of China Orient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Management (International) in Hong Kong since March 2015. He was a senior managing director of CITIC Capital Holdings Limited between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2009 and December 2014. Prior to joining CITIC Capital Holdings Limited, Mr. Zhang was a managing director in the investment banking division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in Hong Kong from August 2006 to June 2009. He served as a managing director and the head of investment banking of CITIC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Markets Holdings Limited in Hong Kong from March 2003 to July 2006 and, prior to that time, as executive director in the communications, media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entertainment group of the investment banking department of Goldman Sachs in Hong Kong from April 2001 to January 2003. Mr. Zhang held the positions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associate, vice president and director at Salomon Smith Barney from August 1994 to March 2001. Prior to joining Salomon Smith Barney, he served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manager for Town &amp; Country Homes in Chicago from January 1990 to December 1993 and as accountant, audit senior and supervisor at Ernst &amp;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Young in Chicago and Hong Kong. Mr. Zhang held CPA qualifications in China and the State of Kentucky, both of which he has surrendered voluntarily. He</w:t>
      </w:r>
    </w:p>
    <w:p>
      <w:pPr>
        <w:sectPr>
          <w:pgSz w:w="11900" w:h="16838" w:orient="portrait"/>
          <w:cols w:equalWidth="0" w:num="1">
            <w:col w:w="11400"/>
          </w:cols>
          <w:pgMar w:left="240" w:top="119" w:right="259" w:bottom="0" w:gutter="0" w:footer="0" w:header="0"/>
        </w:sectPr>
      </w:pPr>
    </w:p>
    <w:bookmarkStart w:id="77" w:name="page78"/>
    <w:bookmarkEnd w:id="77"/>
    <w:p>
      <w:pPr>
        <w:spacing w:after="0" w:line="8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holds an M.B.A. from the University of Chicago, an M.A. in Accounting from the Ministry of Finance Graduate School in the PRC and a B.A. degree from Inner Mongolia University.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both"/>
        <w:ind w:right="40" w:firstLine="441"/>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Betty Yip Ho </w:t>
      </w:r>
      <w:r>
        <w:rPr>
          <w:rFonts w:ascii="Times New Roman" w:cs="Times New Roman" w:eastAsia="Times New Roman" w:hAnsi="Times New Roman"/>
          <w:sz w:val="17"/>
          <w:szCs w:val="17"/>
          <w:color w:val="auto"/>
        </w:rPr>
        <w:t>joined our company as Chief Financial Officer in October 2013. Ms. Ho has over 20 years of professional experience working for publicly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listed companies, and in investment banking and private equity fields in multiple sectors including Internet, TMT, manufacturing and consumer retail. Before joining us, Ms. Ho served as Chief Financial Officer for Rock Mobile Corporations from 2011 to 2013, and Chief Financial Officer and executive director for A8 Digital Music Holdings Limited (HKEx: 800) from 2007 to 2011. From 2001 to 2007, she was the senior vice president at LJ International Inc.</w:t>
      </w:r>
    </w:p>
    <w:p>
      <w:pPr>
        <w:spacing w:after="0" w:line="2"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(NASDAQ: JADE) responsible for corporate finance, investor relations and mergers and acquisitions. In 1998, Ms. Ho cofounded the Strategic Capital Group, an e-commerce private equity firm. Prior to that, she held management positions in audit and direct investment with Arthur Andersen &amp; Co and United Overseas Bank (UOB) Asia. Ms. Ho received her Bachelor degree of Commerce in Finance from the University of Toronto and is a Certified Public Accountant as well as member of the AICPA and HKICPA.</w:t>
      </w:r>
    </w:p>
    <w:p>
      <w:pPr>
        <w:spacing w:after="0" w:line="184" w:lineRule="exact"/>
        <w:rPr>
          <w:sz w:val="20"/>
          <w:szCs w:val="20"/>
          <w:color w:val="auto"/>
        </w:rPr>
      </w:pPr>
    </w:p>
    <w:p>
      <w:pPr>
        <w:ind w:right="160" w:firstLine="441"/>
        <w:spacing w:after="0" w:line="259" w:lineRule="auto"/>
        <w:rPr>
          <w:sz w:val="20"/>
          <w:szCs w:val="20"/>
          <w:color w:val="auto"/>
        </w:rPr>
      </w:pPr>
      <w:r>
        <w:rPr>
          <w:rFonts w:ascii="Times New Roman" w:cs="Times New Roman" w:eastAsia="Times New Roman" w:hAnsi="Times New Roman"/>
          <w:sz w:val="18"/>
          <w:szCs w:val="18"/>
          <w:i w:val="1"/>
          <w:iCs w:val="1"/>
          <w:color w:val="auto"/>
        </w:rPr>
        <w:t>Shu Liu</w:t>
      </w:r>
      <w:r>
        <w:rPr>
          <w:rFonts w:ascii="Times New Roman" w:cs="Times New Roman" w:eastAsia="Times New Roman" w:hAnsi="Times New Roman"/>
          <w:sz w:val="18"/>
          <w:szCs w:val="18"/>
          <w:color w:val="auto"/>
        </w:rPr>
        <w:t>, our Senior Vice President, joined our company in December 2010 and is responsible for content production and product development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mobile, PC and video platforms, as well as implementing our verticalization strategy. Prior to her promotion to Senior Vice President in March 2015, she served as our Vice President and Chief Editor since December 2010. Ms. Liu has over 20 years of experience working in both Internet and media industries. Prior to joining our company, she served in numerous senior and executive editorial positions at various Internet and media companies including Beijing Morning Post, Sina.com and MSN China. Ms. Liu holds a B.A. in History from Peking University.</w:t>
      </w:r>
    </w:p>
    <w:p>
      <w:pPr>
        <w:spacing w:after="0" w:line="178" w:lineRule="exact"/>
        <w:rPr>
          <w:sz w:val="20"/>
          <w:szCs w:val="20"/>
          <w:color w:val="auto"/>
        </w:rPr>
      </w:pPr>
    </w:p>
    <w:p>
      <w:pPr>
        <w:ind w:left="1300" w:hanging="1292"/>
        <w:spacing w:after="0"/>
        <w:tabs>
          <w:tab w:leader="none" w:pos="130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 of Directors, Supervisors and Executive Directors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year ended December 31, 2016, we paid an aggregate of approximately US$1.7 million in cash to our executive officers and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229"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In June 2008, we adopted the 2008 share option plan, and in March 2011, we adopted the 2011 restricted share and restricted share unit plan, together, the share incentive plans, to attract and retain the best available personnel, provide additional incentives to our employees, directors and consultants, and promote the success of our business. The share incentive plans provide for the grant of options, restricted shares and restricted share units, collectively referred to as “awards.” We have already granted the full number of awards that were authorized under the 2011 restricted share and restricted share unit plan. In June and August 2012, June 2014 and October 2016, the shareholders of each of Phoenix TV and our company approved three refreshments of the total number of Class A ordinary shares, which may be issued upon exercise of all options to be granted under the 2008 share option plan (excluding awards previously granted, outstanding, cancelled, lapsed or exercised). As of March 31, 2017, a total of 25,633,526 Class A ordinary shares are available for grant of additional options under the 2008 share option plan.</w:t>
      </w:r>
    </w:p>
    <w:p>
      <w:pPr>
        <w:spacing w:after="0" w:line="181" w:lineRule="exact"/>
        <w:rPr>
          <w:sz w:val="20"/>
          <w:szCs w:val="20"/>
          <w:color w:val="auto"/>
        </w:rPr>
      </w:pPr>
    </w:p>
    <w:p>
      <w:pPr>
        <w:ind w:right="280"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Plan Administration</w:t>
      </w:r>
      <w:r>
        <w:rPr>
          <w:rFonts w:ascii="Times New Roman" w:cs="Times New Roman" w:eastAsia="Times New Roman" w:hAnsi="Times New Roman"/>
          <w:sz w:val="18"/>
          <w:szCs w:val="18"/>
          <w:color w:val="auto"/>
        </w:rPr>
        <w:t>. Our compensation committee administers the share incentive plans and determines the participants to receive awards, the type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number of awards to be granted, the terms and conditions of each award grant.</w:t>
      </w:r>
    </w:p>
    <w:p>
      <w:pPr>
        <w:spacing w:after="0" w:line="155" w:lineRule="exact"/>
        <w:rPr>
          <w:sz w:val="20"/>
          <w:szCs w:val="20"/>
          <w:color w:val="auto"/>
        </w:rPr>
      </w:pPr>
    </w:p>
    <w:p>
      <w:pPr>
        <w:ind w:right="20" w:firstLine="44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Award Agreements</w:t>
      </w:r>
      <w:r>
        <w:rPr>
          <w:rFonts w:ascii="Times New Roman" w:cs="Times New Roman" w:eastAsia="Times New Roman" w:hAnsi="Times New Roman"/>
          <w:sz w:val="18"/>
          <w:szCs w:val="18"/>
          <w:color w:val="auto"/>
        </w:rPr>
        <w:t>. Awards granted under the share incentive plans are evidenced by an award agreement that sets forth the terms, conditions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limitations for each award, which may include the term of the award, the provisions applicable in the event of the grantee’s employment or service terminates, and our authority to unilaterally or bilaterally amend, modify, suspend, cancel or rescind the award.</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Option Exercise</w:t>
      </w:r>
      <w:r>
        <w:rPr>
          <w:rFonts w:ascii="Times New Roman" w:cs="Times New Roman" w:eastAsia="Times New Roman" w:hAnsi="Times New Roman"/>
          <w:sz w:val="18"/>
          <w:szCs w:val="18"/>
          <w:color w:val="auto"/>
        </w:rPr>
        <w:t>. The term of awards granted under the share incentive plans may not exceed ten years from the date of grant.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280" w:firstLine="45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Restricted Shares and Restricted Share Units</w:t>
      </w:r>
      <w:r>
        <w:rPr>
          <w:rFonts w:ascii="Times New Roman" w:cs="Times New Roman" w:eastAsia="Times New Roman" w:hAnsi="Times New Roman"/>
          <w:sz w:val="18"/>
          <w:szCs w:val="18"/>
          <w:color w:val="auto"/>
        </w:rPr>
        <w:t>. Restricted ordinary shares granted under the 2011 restricted share and restricted share unit plan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applicable vesting, transfer, forfeiture and other restrictions as set forth in the plan and, as applicable, in the award agreements. Each restricted share unit is an unsecured promise of our company to issue and delivery one ordinary share on a specified date, which unit is subject to applicable vesting, transfer, forfeiture and other restrictions as set forth in the plan and, as applicable, in the award agreements.</w:t>
      </w:r>
    </w:p>
    <w:p>
      <w:pPr>
        <w:spacing w:after="0" w:line="177" w:lineRule="exact"/>
        <w:rPr>
          <w:sz w:val="20"/>
          <w:szCs w:val="20"/>
          <w:color w:val="auto"/>
        </w:rPr>
      </w:pPr>
    </w:p>
    <w:p>
      <w:pPr>
        <w:ind w:right="200"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Transfer Restrictions</w:t>
      </w:r>
      <w:r>
        <w:rPr>
          <w:rFonts w:ascii="Times New Roman" w:cs="Times New Roman" w:eastAsia="Times New Roman" w:hAnsi="Times New Roman"/>
          <w:sz w:val="18"/>
          <w:szCs w:val="18"/>
          <w:color w:val="auto"/>
        </w:rPr>
        <w:t>. The right of a grantee in an award granted under the share incentive plans may not be transferred in any manner by the grantee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than by will or the laws of succession and, with limited exceptions, may be exercised during the lifetime of the grantee only by the grantee.</w:t>
      </w:r>
    </w:p>
    <w:p>
      <w:pPr>
        <w:spacing w:after="0" w:line="155" w:lineRule="exact"/>
        <w:rPr>
          <w:sz w:val="20"/>
          <w:szCs w:val="20"/>
          <w:color w:val="auto"/>
        </w:rPr>
      </w:pPr>
    </w:p>
    <w:p>
      <w:pPr>
        <w:ind w:right="88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Acceleration upon a Takeover Offer</w:t>
      </w:r>
      <w:r>
        <w:rPr>
          <w:rFonts w:ascii="Times New Roman" w:cs="Times New Roman" w:eastAsia="Times New Roman" w:hAnsi="Times New Roman"/>
          <w:sz w:val="18"/>
          <w:szCs w:val="18"/>
          <w:color w:val="auto"/>
        </w:rPr>
        <w:t>. If a takeover offer for our company becomes unconditional or is approved by the necessary number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as the case may be, the vesting of the awards shall be accelerated.</w:t>
      </w:r>
    </w:p>
    <w:p>
      <w:pPr>
        <w:spacing w:after="0" w:line="155" w:lineRule="exact"/>
        <w:rPr>
          <w:sz w:val="20"/>
          <w:szCs w:val="20"/>
          <w:color w:val="auto"/>
        </w:rPr>
      </w:pPr>
    </w:p>
    <w:p>
      <w:pPr>
        <w:ind w:right="100" w:firstLine="44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Termination and Amendment</w:t>
      </w:r>
      <w:r>
        <w:rPr>
          <w:rFonts w:ascii="Times New Roman" w:cs="Times New Roman" w:eastAsia="Times New Roman" w:hAnsi="Times New Roman"/>
          <w:sz w:val="18"/>
          <w:szCs w:val="18"/>
          <w:color w:val="auto"/>
        </w:rPr>
        <w:t>. Our board of directors has the authority to amend or terminate the share incentive plans subject to shareholder approval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extent necessary to comply with applicable law. In addition, our shareholders may, by ordinary resolution, terminate our share incentive plans at any time.</w:t>
      </w:r>
    </w:p>
    <w:p>
      <w:pPr>
        <w:spacing w:after="0" w:line="171" w:lineRule="exact"/>
        <w:rPr>
          <w:sz w:val="20"/>
          <w:szCs w:val="20"/>
          <w:color w:val="auto"/>
        </w:rPr>
      </w:pPr>
    </w:p>
    <w:p>
      <w:pPr>
        <w:ind w:right="500"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Lapse of Awards</w:t>
      </w:r>
      <w:r>
        <w:rPr>
          <w:rFonts w:ascii="Times New Roman" w:cs="Times New Roman" w:eastAsia="Times New Roman" w:hAnsi="Times New Roman"/>
          <w:sz w:val="18"/>
          <w:szCs w:val="18"/>
          <w:color w:val="auto"/>
        </w:rPr>
        <w:t>. An award will lapse if the optionee ceases to be eligible by reason of, among other things, (i) illness, injury, disability or death;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(ii) retirement; (iii) voluntary resignation; (iv) termination of employment for serious misconduct; and (v) breach of contract.</w:t>
      </w:r>
    </w:p>
    <w:p>
      <w:pPr>
        <w:spacing w:after="0" w:line="159" w:lineRule="exact"/>
        <w:rPr>
          <w:sz w:val="20"/>
          <w:szCs w:val="20"/>
          <w:color w:val="auto"/>
        </w:rPr>
      </w:pPr>
    </w:p>
    <w:p>
      <w:pPr>
        <w:ind w:right="620" w:firstLine="441"/>
        <w:spacing w:after="0" w:line="313" w:lineRule="auto"/>
        <w:rPr>
          <w:sz w:val="20"/>
          <w:szCs w:val="20"/>
          <w:color w:val="auto"/>
        </w:rPr>
      </w:pPr>
      <w:r>
        <w:rPr>
          <w:rFonts w:ascii="Times New Roman" w:cs="Times New Roman" w:eastAsia="Times New Roman" w:hAnsi="Times New Roman"/>
          <w:sz w:val="17"/>
          <w:szCs w:val="17"/>
          <w:color w:val="auto"/>
        </w:rPr>
        <w:t>We granted awards to our employees under the share incentive plans in November 2008, July 2009, September 2009, January 2010, July 2010, March 2011, March 2013, May 2013, October 2013, December 2013, March 2014, June 2014, July 2014, October 2014, July 2015 and October 2016.</w:t>
      </w:r>
    </w:p>
    <w:p>
      <w:pPr>
        <w:spacing w:after="0" w:line="138" w:lineRule="exact"/>
        <w:rPr>
          <w:sz w:val="20"/>
          <w:szCs w:val="20"/>
          <w:color w:val="auto"/>
        </w:rPr>
      </w:pPr>
    </w:p>
    <w:p>
      <w:pPr>
        <w:ind w:right="200" w:firstLine="441"/>
        <w:spacing w:after="0" w:line="266" w:lineRule="auto"/>
        <w:rPr>
          <w:sz w:val="20"/>
          <w:szCs w:val="20"/>
          <w:color w:val="auto"/>
        </w:rPr>
      </w:pPr>
      <w:r>
        <w:rPr>
          <w:rFonts w:ascii="Times New Roman" w:cs="Times New Roman" w:eastAsia="Times New Roman" w:hAnsi="Times New Roman"/>
          <w:sz w:val="18"/>
          <w:szCs w:val="18"/>
          <w:color w:val="auto"/>
        </w:rPr>
        <w:t>With the approvals of the board of directors and shareholders of us and Phoenix TV, we implemented an option exchange program from October 21, 2016 to November 1, 2016 whereby our directors, employees and consultants exchanged options to purchase 21,011,951 Class A ordinary shares granted under the 2008 share option plan with various exercise prices greater than US$0.4823 per share (or US$3.8587 per ADS) for new options granted under the</w:t>
      </w:r>
    </w:p>
    <w:p>
      <w:pPr>
        <w:sectPr>
          <w:pgSz w:w="11900" w:h="16919" w:orient="portrait"/>
          <w:cols w:equalWidth="0" w:num="1">
            <w:col w:w="11420"/>
          </w:cols>
          <w:pgMar w:left="240" w:top="121" w:right="239" w:bottom="0" w:gutter="0" w:footer="0" w:header="0"/>
        </w:sectPr>
      </w:pPr>
    </w:p>
    <w:bookmarkStart w:id="78" w:name="page79"/>
    <w:bookmarkEnd w:id="78"/>
    <w:p>
      <w:pPr>
        <w:ind w:right="160"/>
        <w:spacing w:after="0" w:line="282" w:lineRule="auto"/>
        <w:rPr>
          <w:sz w:val="20"/>
          <w:szCs w:val="20"/>
          <w:color w:val="auto"/>
        </w:rPr>
      </w:pPr>
      <w:r>
        <w:rPr>
          <w:rFonts w:ascii="Times New Roman" w:cs="Times New Roman" w:eastAsia="Times New Roman" w:hAnsi="Times New Roman"/>
          <w:sz w:val="18"/>
          <w:szCs w:val="18"/>
          <w:color w:val="auto"/>
        </w:rPr>
        <w:t>same plan with a new exercise price of US$0.4823 per share and a new vesting schedule that generally adds 12 months to each original vesting date, and the new options would vest no sooner than May 1, 2017.</w:t>
      </w:r>
    </w:p>
    <w:p>
      <w:pPr>
        <w:spacing w:after="0" w:line="162" w:lineRule="exact"/>
        <w:rPr>
          <w:sz w:val="20"/>
          <w:szCs w:val="20"/>
          <w:color w:val="auto"/>
        </w:rPr>
      </w:pPr>
    </w:p>
    <w:p>
      <w:pPr>
        <w:jc w:val="both"/>
        <w:ind w:right="260" w:firstLine="441"/>
        <w:spacing w:after="0" w:line="266" w:lineRule="auto"/>
        <w:rPr>
          <w:sz w:val="20"/>
          <w:szCs w:val="20"/>
          <w:color w:val="auto"/>
        </w:rPr>
      </w:pPr>
      <w:r>
        <w:rPr>
          <w:rFonts w:ascii="Times New Roman" w:cs="Times New Roman" w:eastAsia="Times New Roman" w:hAnsi="Times New Roman"/>
          <w:sz w:val="18"/>
          <w:szCs w:val="18"/>
          <w:color w:val="auto"/>
        </w:rPr>
        <w:t>As of March 31, 2017, options to purchase 41,367,359 Class A ordinary shares granted under the 2008 share option plan were outstanding. The table below sets forth the awards that we granted to our directors and executive officers (including pursuant to the exchange program described above) and were outstanding as of March 31, 2017: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2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2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Ordinary Shares</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Price or</w:t>
            </w:r>
          </w:p>
        </w:tc>
        <w:tc>
          <w:tcPr>
            <w:tcW w:w="2560" w:type="dxa"/>
            <w:vAlign w:val="bottom"/>
            <w:gridSpan w:val="2"/>
            <w:vMerge w:val="restart"/>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2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0" w:type="dxa"/>
            <w:vAlign w:val="bottom"/>
          </w:tcPr>
          <w:p>
            <w:pPr>
              <w:spacing w:after="0"/>
              <w:rPr>
                <w:sz w:val="1"/>
                <w:szCs w:val="1"/>
                <w:color w:val="auto"/>
              </w:rPr>
            </w:pPr>
          </w:p>
        </w:tc>
      </w:tr>
      <w:tr>
        <w:trPr>
          <w:trHeight w:val="149"/>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Purchase Price</w:t>
            </w:r>
          </w:p>
        </w:tc>
        <w:tc>
          <w:tcPr>
            <w:tcW w:w="2560" w:type="dxa"/>
            <w:vAlign w:val="bottom"/>
            <w:gridSpan w:val="2"/>
            <w:vMerge w:val="continue"/>
          </w:tcPr>
          <w:p>
            <w:pPr>
              <w:spacing w:after="0"/>
              <w:rPr>
                <w:sz w:val="12"/>
                <w:szCs w:val="12"/>
                <w:color w:val="auto"/>
              </w:rPr>
            </w:pPr>
          </w:p>
        </w:tc>
        <w:tc>
          <w:tcPr>
            <w:tcW w:w="2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80" w:type="dxa"/>
            <w:vAlign w:val="bottom"/>
            <w:gridSpan w:val="2"/>
            <w:vMerge w:val="continue"/>
          </w:tcPr>
          <w:p>
            <w:pPr>
              <w:spacing w:after="0"/>
              <w:rPr>
                <w:sz w:val="15"/>
                <w:szCs w:val="15"/>
                <w:color w:val="auto"/>
              </w:rPr>
            </w:pPr>
          </w:p>
        </w:tc>
        <w:tc>
          <w:tcPr>
            <w:tcW w:w="1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(US$/Share)</w:t>
            </w:r>
          </w:p>
        </w:tc>
        <w:tc>
          <w:tcPr>
            <w:tcW w:w="2560" w:type="dxa"/>
            <w:vAlign w:val="bottom"/>
            <w:gridSpan w:val="2"/>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210"/>
        </w:trPr>
        <w:tc>
          <w:tcPr>
            <w:tcW w:w="2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Shuang Liu</w:t>
            </w:r>
          </w:p>
        </w:tc>
        <w:tc>
          <w:tcPr>
            <w:tcW w:w="3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0.4823</w:t>
            </w: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October 21, 2016</w:t>
            </w:r>
          </w:p>
        </w:tc>
        <w:tc>
          <w:tcPr>
            <w:tcW w:w="2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July 10, 2024, July 15, 2025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Ya Li</w:t>
            </w: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December 9, 2023,</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July 10, 2024,</w:t>
            </w: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4,300,000</w:t>
            </w:r>
          </w:p>
        </w:tc>
        <w:tc>
          <w:tcPr>
            <w:tcW w:w="140" w:type="dxa"/>
            <w:vAlign w:val="bottom"/>
          </w:tcPr>
          <w:p>
            <w:pPr>
              <w:spacing w:after="0"/>
              <w:rPr>
                <w:sz w:val="20"/>
                <w:szCs w:val="20"/>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0.4823</w:t>
            </w:r>
          </w:p>
        </w:tc>
        <w:tc>
          <w:tcPr>
            <w:tcW w:w="2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October 21, 2016</w:t>
            </w:r>
          </w:p>
        </w:tc>
        <w:tc>
          <w:tcPr>
            <w:tcW w:w="2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July 15, 2025</w:t>
            </w:r>
          </w:p>
        </w:tc>
        <w:tc>
          <w:tcPr>
            <w:tcW w:w="0" w:type="dxa"/>
            <w:vAlign w:val="bottom"/>
          </w:tcPr>
          <w:p>
            <w:pPr>
              <w:spacing w:after="0"/>
              <w:rPr>
                <w:sz w:val="1"/>
                <w:szCs w:val="1"/>
                <w:color w:val="auto"/>
              </w:rPr>
            </w:pPr>
          </w:p>
        </w:tc>
      </w:tr>
      <w:tr>
        <w:trPr>
          <w:trHeight w:val="216"/>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Tong Chen</w:t>
            </w: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4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Betty Yip Ho</w:t>
            </w: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October 7, 2023, October 10,</w:t>
            </w: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2,771,951</w:t>
            </w:r>
          </w:p>
        </w:tc>
        <w:tc>
          <w:tcPr>
            <w:tcW w:w="140" w:type="dxa"/>
            <w:vAlign w:val="bottom"/>
          </w:tcPr>
          <w:p>
            <w:pPr>
              <w:spacing w:after="0"/>
              <w:rPr>
                <w:sz w:val="20"/>
                <w:szCs w:val="20"/>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0.4823</w:t>
            </w:r>
          </w:p>
        </w:tc>
        <w:tc>
          <w:tcPr>
            <w:tcW w:w="2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October 21, 2016</w:t>
            </w:r>
          </w:p>
        </w:tc>
        <w:tc>
          <w:tcPr>
            <w:tcW w:w="2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6"/>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Shu Liu</w:t>
            </w: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0.4823</w:t>
            </w:r>
          </w:p>
        </w:tc>
        <w:tc>
          <w:tcPr>
            <w:tcW w:w="2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October 21, 2016</w:t>
            </w:r>
          </w:p>
        </w:tc>
        <w:tc>
          <w:tcPr>
            <w:tcW w:w="2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July 10, 2024, July 15, 2025</w:t>
            </w:r>
          </w:p>
        </w:tc>
        <w:tc>
          <w:tcPr>
            <w:tcW w:w="0" w:type="dxa"/>
            <w:vAlign w:val="bottom"/>
          </w:tcPr>
          <w:p>
            <w:pPr>
              <w:spacing w:after="0"/>
              <w:rPr>
                <w:sz w:val="1"/>
                <w:szCs w:val="1"/>
                <w:color w:val="auto"/>
              </w:rPr>
            </w:pPr>
          </w:p>
        </w:tc>
      </w:tr>
      <w:tr>
        <w:trPr>
          <w:trHeight w:val="234"/>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12,471,951</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 of our total outstanding Class A ordinary shares.</w:t>
      </w:r>
    </w:p>
    <w:p>
      <w:pPr>
        <w:spacing w:after="0" w:line="225" w:lineRule="exact"/>
        <w:rPr>
          <w:sz w:val="20"/>
          <w:szCs w:val="20"/>
          <w:color w:val="auto"/>
        </w:rPr>
      </w:pPr>
    </w:p>
    <w:p>
      <w:pPr>
        <w:ind w:right="340" w:firstLine="441"/>
        <w:spacing w:after="0" w:line="282" w:lineRule="auto"/>
        <w:rPr>
          <w:sz w:val="20"/>
          <w:szCs w:val="20"/>
          <w:color w:val="auto"/>
        </w:rPr>
      </w:pPr>
      <w:r>
        <w:rPr>
          <w:rFonts w:ascii="Times New Roman" w:cs="Times New Roman" w:eastAsia="Times New Roman" w:hAnsi="Times New Roman"/>
          <w:sz w:val="18"/>
          <w:szCs w:val="18"/>
          <w:color w:val="auto"/>
        </w:rPr>
        <w:t>As of March 31, 2017, other employees in aggregate held awards entitling them to receive 28,188,684 Class A ordinary shares, with exercise prices ranging from US$0 to US$1.3100 per Class A ordinary share.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320" w:hanging="1312"/>
        <w:spacing w:after="0"/>
        <w:tabs>
          <w:tab w:leader="none" w:pos="13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Our board of directors currently consists of seven directors. Our directors are elected by the holders of our ordinary shares, which will include holders of our Class A ordinary shares and Class B ordinary shares.</w:t>
      </w:r>
    </w:p>
    <w:p>
      <w:pPr>
        <w:spacing w:after="0" w:line="162"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A director is not required to hold any shares in our company by way of qualification. Subject to any separate requirement for audit committee approval and unless disqualified by the chairman of the meeting, a director may vote with respect to any contract, proposed contract or arrangement in which he or she is materially interested provided they have disclosed such interest to the board. The board may exercise all the powers of our company to borrow money, mortgage its undertaking, property and uncalled capital, and issue debentures or other securities whenever money is borrowed or as security for any obligation of our company or of any third party.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We have established three committees under the board of directors: the audit committee, the compensation committee and the corporate governance and nominating committee. We have adopted a charter for each of the three committees. Each committee’s members and functions are described below.</w:t>
      </w:r>
    </w:p>
    <w:p>
      <w:pPr>
        <w:spacing w:after="0" w:line="160" w:lineRule="exact"/>
        <w:rPr>
          <w:sz w:val="20"/>
          <w:szCs w:val="20"/>
          <w:color w:val="auto"/>
        </w:rPr>
      </w:pPr>
    </w:p>
    <w:p>
      <w:pPr>
        <w:ind w:right="40" w:firstLine="450"/>
        <w:spacing w:after="0" w:line="259" w:lineRule="auto"/>
        <w:rPr>
          <w:sz w:val="20"/>
          <w:szCs w:val="20"/>
          <w:color w:val="auto"/>
        </w:rPr>
      </w:pP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Our audit committee consists of Jerry Juying Zhang and Carson Wen. Our board of directors has determined that each of Jerry Juying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Zhang and Carson Wen satisfies the “independence” requirements of Rule 10A-3 under the Securities Exchange Act of 1934, as amended, and Section 303A of the New York Stock Exchange Listed Company Manual, or the NYSE Manual. Jerry Juying Zhang is the chairman of our audit committee and meets the criteria of an audit committee financial expert as set forth under the applicable rules of the SEC. Our audit committee oversees our accounting and financial reporting processes and the audits of the financial statements of our company. The audit committee is responsible for, among other things:</w:t>
      </w:r>
    </w:p>
    <w:p>
      <w:pPr>
        <w:spacing w:after="0" w:line="182" w:lineRule="exact"/>
        <w:rPr>
          <w:sz w:val="20"/>
          <w:szCs w:val="20"/>
          <w:color w:val="auto"/>
        </w:rPr>
      </w:pPr>
    </w:p>
    <w:p>
      <w:pPr>
        <w:ind w:left="1100" w:right="440" w:hanging="327"/>
        <w:spacing w:after="0" w:line="282" w:lineRule="auto"/>
        <w:tabs>
          <w:tab w:leader="none" w:pos="106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the independent auditors and pre-approving all auditing and non-auditing services permitted to be performed by the independent auditors;</w:t>
      </w:r>
    </w:p>
    <w:p>
      <w:pPr>
        <w:spacing w:after="0" w:line="161" w:lineRule="exact"/>
        <w:rPr>
          <w:rFonts w:ascii="Times New Roman" w:cs="Times New Roman" w:eastAsia="Times New Roman" w:hAnsi="Times New Roman"/>
          <w:sz w:val="18"/>
          <w:szCs w:val="18"/>
          <w:color w:val="auto"/>
        </w:rPr>
      </w:pPr>
    </w:p>
    <w:p>
      <w:pPr>
        <w:ind w:left="1060" w:hanging="287"/>
        <w:spacing w:after="0"/>
        <w:tabs>
          <w:tab w:leader="none" w:pos="10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pacing w:after="0" w:line="225" w:lineRule="exact"/>
        <w:rPr>
          <w:rFonts w:ascii="Times New Roman" w:cs="Times New Roman" w:eastAsia="Times New Roman" w:hAnsi="Times New Roman"/>
          <w:sz w:val="18"/>
          <w:szCs w:val="18"/>
          <w:color w:val="auto"/>
        </w:rPr>
      </w:pPr>
    </w:p>
    <w:p>
      <w:pPr>
        <w:ind w:left="1060" w:hanging="287"/>
        <w:spacing w:after="0"/>
        <w:tabs>
          <w:tab w:leader="none" w:pos="10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 as defined in Item 404 of Regulation S-K under the Securities Act;</w:t>
      </w:r>
    </w:p>
    <w:p>
      <w:pPr>
        <w:spacing w:after="0" w:line="225" w:lineRule="exact"/>
        <w:rPr>
          <w:rFonts w:ascii="Times New Roman" w:cs="Times New Roman" w:eastAsia="Times New Roman" w:hAnsi="Times New Roman"/>
          <w:sz w:val="18"/>
          <w:szCs w:val="18"/>
          <w:color w:val="auto"/>
        </w:rPr>
      </w:pPr>
    </w:p>
    <w:p>
      <w:pPr>
        <w:ind w:left="1060" w:hanging="287"/>
        <w:spacing w:after="0"/>
        <w:tabs>
          <w:tab w:leader="none" w:pos="10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225" w:lineRule="exact"/>
        <w:rPr>
          <w:rFonts w:ascii="Times New Roman" w:cs="Times New Roman" w:eastAsia="Times New Roman" w:hAnsi="Times New Roman"/>
          <w:sz w:val="18"/>
          <w:szCs w:val="18"/>
          <w:color w:val="auto"/>
        </w:rPr>
      </w:pPr>
    </w:p>
    <w:p>
      <w:pPr>
        <w:ind w:left="1100" w:right="160" w:hanging="327"/>
        <w:spacing w:after="0" w:line="282" w:lineRule="auto"/>
        <w:tabs>
          <w:tab w:leader="none" w:pos="106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major issues as to the adequacy of our internal controls and any special audit steps adopted in light of material control deficiencies; annually reviewing and reassessing the adequacy of our audit committee charter;</w:t>
      </w:r>
    </w:p>
    <w:p>
      <w:pPr>
        <w:spacing w:after="0" w:line="161" w:lineRule="exact"/>
        <w:rPr>
          <w:rFonts w:ascii="Times New Roman" w:cs="Times New Roman" w:eastAsia="Times New Roman" w:hAnsi="Times New Roman"/>
          <w:sz w:val="18"/>
          <w:szCs w:val="18"/>
          <w:color w:val="auto"/>
        </w:rPr>
      </w:pPr>
    </w:p>
    <w:p>
      <w:pPr>
        <w:ind w:left="1060" w:hanging="287"/>
        <w:spacing w:after="0"/>
        <w:tabs>
          <w:tab w:leader="none" w:pos="10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auditors; and</w:t>
      </w:r>
    </w:p>
    <w:p>
      <w:pPr>
        <w:spacing w:after="0" w:line="225" w:lineRule="exact"/>
        <w:rPr>
          <w:rFonts w:ascii="Times New Roman" w:cs="Times New Roman" w:eastAsia="Times New Roman" w:hAnsi="Times New Roman"/>
          <w:sz w:val="18"/>
          <w:szCs w:val="18"/>
          <w:color w:val="auto"/>
        </w:rPr>
      </w:pPr>
    </w:p>
    <w:p>
      <w:pPr>
        <w:ind w:left="1060" w:hanging="287"/>
        <w:spacing w:after="0"/>
        <w:tabs>
          <w:tab w:leader="none" w:pos="10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regularly to our board of directors.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11420"/>
          </w:cols>
          <w:pgMar w:left="240" w:top="121" w:right="239" w:bottom="0" w:gutter="0" w:footer="0" w:header="0"/>
          <w:type w:val="continuous"/>
        </w:sectPr>
      </w:pPr>
    </w:p>
    <w:bookmarkStart w:id="79" w:name="page80"/>
    <w:bookmarkEnd w:id="79"/>
    <w:p>
      <w:pPr>
        <w:ind w:right="180" w:firstLine="441"/>
        <w:spacing w:after="0" w:line="259" w:lineRule="auto"/>
        <w:rPr>
          <w:sz w:val="20"/>
          <w:szCs w:val="20"/>
          <w:color w:val="auto"/>
        </w:rPr>
      </w:pPr>
      <w:r>
        <w:rPr>
          <w:rFonts w:ascii="Times New Roman" w:cs="Times New Roman" w:eastAsia="Times New Roman" w:hAnsi="Times New Roman"/>
          <w:sz w:val="18"/>
          <w:szCs w:val="18"/>
          <w:i w:val="1"/>
          <w:iCs w:val="1"/>
          <w:color w:val="auto"/>
        </w:rPr>
        <w:t>Compensation Committee</w:t>
      </w:r>
      <w:r>
        <w:rPr>
          <w:rFonts w:ascii="Times New Roman" w:cs="Times New Roman" w:eastAsia="Times New Roman" w:hAnsi="Times New Roman"/>
          <w:sz w:val="18"/>
          <w:szCs w:val="18"/>
          <w:color w:val="auto"/>
        </w:rPr>
        <w:t>. Our compensation committee consists of Shuang Liu, Daguang He, Jerry Juying Zhang and Carson Wen.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has determined that each of Jerry Juying Zhang and Carson Wen satisfies the “independence” requirements of Section 303A of the NYSE Manual. Shuang Liu is the chairman of our compensation committee. Our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spacing w:after="0" w:line="182" w:lineRule="exact"/>
        <w:rPr>
          <w:sz w:val="20"/>
          <w:szCs w:val="20"/>
          <w:color w:val="auto"/>
        </w:rPr>
      </w:pPr>
    </w:p>
    <w:p>
      <w:pPr>
        <w:ind w:left="1060" w:hanging="287"/>
        <w:spacing w:after="0"/>
        <w:tabs>
          <w:tab w:leader="none" w:pos="10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with respect to the total compensation package for our three most senior executives;</w:t>
      </w:r>
    </w:p>
    <w:p>
      <w:pPr>
        <w:spacing w:after="0" w:line="225" w:lineRule="exact"/>
        <w:rPr>
          <w:rFonts w:ascii="Times New Roman" w:cs="Times New Roman" w:eastAsia="Times New Roman" w:hAnsi="Times New Roman"/>
          <w:sz w:val="18"/>
          <w:szCs w:val="18"/>
          <w:color w:val="auto"/>
        </w:rPr>
      </w:pPr>
    </w:p>
    <w:p>
      <w:pPr>
        <w:ind w:left="1060" w:hanging="287"/>
        <w:spacing w:after="0"/>
        <w:tabs>
          <w:tab w:leader="none" w:pos="10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overseeing the total compensation package for our executives other than the three most senior executives;</w:t>
      </w:r>
    </w:p>
    <w:p>
      <w:pPr>
        <w:spacing w:after="0" w:line="225" w:lineRule="exact"/>
        <w:rPr>
          <w:rFonts w:ascii="Times New Roman" w:cs="Times New Roman" w:eastAsia="Times New Roman" w:hAnsi="Times New Roman"/>
          <w:sz w:val="18"/>
          <w:szCs w:val="18"/>
          <w:color w:val="auto"/>
        </w:rPr>
      </w:pPr>
    </w:p>
    <w:p>
      <w:pPr>
        <w:ind w:left="1060" w:hanging="287"/>
        <w:spacing w:after="0"/>
        <w:tabs>
          <w:tab w:leader="none" w:pos="10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with respect to the compensation of our directors; and</w:t>
      </w:r>
    </w:p>
    <w:p>
      <w:pPr>
        <w:spacing w:after="0" w:line="225" w:lineRule="exact"/>
        <w:rPr>
          <w:rFonts w:ascii="Times New Roman" w:cs="Times New Roman" w:eastAsia="Times New Roman" w:hAnsi="Times New Roman"/>
          <w:sz w:val="18"/>
          <w:szCs w:val="18"/>
          <w:color w:val="auto"/>
        </w:rPr>
      </w:pPr>
    </w:p>
    <w:p>
      <w:pPr>
        <w:ind w:left="1100" w:right="640" w:hanging="327"/>
        <w:spacing w:after="0" w:line="282" w:lineRule="auto"/>
        <w:tabs>
          <w:tab w:leader="none" w:pos="106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long-term incentive compensation or equity plans, programs or similar arrangements, annual bonuses, employee pension and welfare benefit plans.</w:t>
      </w:r>
    </w:p>
    <w:p>
      <w:pPr>
        <w:spacing w:after="0" w:line="160" w:lineRule="exact"/>
        <w:rPr>
          <w:sz w:val="20"/>
          <w:szCs w:val="20"/>
          <w:color w:val="auto"/>
        </w:rPr>
      </w:pPr>
    </w:p>
    <w:p>
      <w:pPr>
        <w:ind w:right="160" w:firstLine="441"/>
        <w:spacing w:after="0" w:line="259" w:lineRule="auto"/>
        <w:rPr>
          <w:sz w:val="20"/>
          <w:szCs w:val="20"/>
          <w:color w:val="auto"/>
        </w:rPr>
      </w:pPr>
      <w:r>
        <w:rPr>
          <w:rFonts w:ascii="Times New Roman" w:cs="Times New Roman" w:eastAsia="Times New Roman" w:hAnsi="Times New Roman"/>
          <w:sz w:val="18"/>
          <w:szCs w:val="18"/>
          <w:i w:val="1"/>
          <w:iCs w:val="1"/>
          <w:color w:val="auto"/>
        </w:rPr>
        <w:t>Corporate Governance and Nominating Committee</w:t>
      </w:r>
      <w:r>
        <w:rPr>
          <w:rFonts w:ascii="Times New Roman" w:cs="Times New Roman" w:eastAsia="Times New Roman" w:hAnsi="Times New Roman"/>
          <w:sz w:val="18"/>
          <w:szCs w:val="18"/>
          <w:color w:val="auto"/>
        </w:rPr>
        <w:t>. Our corporate and nominating committee consists of Keung Chui, Shuang Liu and Carson Wen.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board of directors has determined that Carson Wen satisfies the “independence” requirements of Section 303A of the NYSE Manual. Keung Chui is the chairman of our corporate governance and nominating committee. Our corporate governance and nominating committee assists the board of directors in selecting individuals qualified to become our directors and in determining the composition of the board and its committees. The corporate governance and nominating committee is responsible for, among other things:</w:t>
      </w:r>
    </w:p>
    <w:p>
      <w:pPr>
        <w:spacing w:after="0" w:line="182" w:lineRule="exact"/>
        <w:rPr>
          <w:sz w:val="20"/>
          <w:szCs w:val="20"/>
          <w:color w:val="auto"/>
        </w:rPr>
      </w:pPr>
    </w:p>
    <w:p>
      <w:pPr>
        <w:ind w:left="1060" w:hanging="287"/>
        <w:spacing w:after="0"/>
        <w:tabs>
          <w:tab w:leader="none" w:pos="10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nominees for election or re-election to the board, or for appointment to fill any vacancy;</w:t>
      </w:r>
    </w:p>
    <w:p>
      <w:pPr>
        <w:spacing w:after="0" w:line="225" w:lineRule="exact"/>
        <w:rPr>
          <w:rFonts w:ascii="Times New Roman" w:cs="Times New Roman" w:eastAsia="Times New Roman" w:hAnsi="Times New Roman"/>
          <w:sz w:val="18"/>
          <w:szCs w:val="18"/>
          <w:color w:val="auto"/>
        </w:rPr>
      </w:pPr>
    </w:p>
    <w:p>
      <w:pPr>
        <w:ind w:left="1100" w:right="560" w:hanging="327"/>
        <w:spacing w:after="0" w:line="282" w:lineRule="auto"/>
        <w:tabs>
          <w:tab w:leader="none" w:pos="106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the current composition of the board with regards to characteristics such as independence, age, skills, experience and availability of service to us;</w:t>
      </w:r>
    </w:p>
    <w:p>
      <w:pPr>
        <w:spacing w:after="0" w:line="161" w:lineRule="exact"/>
        <w:rPr>
          <w:rFonts w:ascii="Times New Roman" w:cs="Times New Roman" w:eastAsia="Times New Roman" w:hAnsi="Times New Roman"/>
          <w:sz w:val="18"/>
          <w:szCs w:val="18"/>
          <w:color w:val="auto"/>
        </w:rPr>
      </w:pPr>
    </w:p>
    <w:p>
      <w:pPr>
        <w:ind w:left="1100" w:right="100" w:hanging="327"/>
        <w:spacing w:after="0" w:line="282" w:lineRule="auto"/>
        <w:tabs>
          <w:tab w:leader="none" w:pos="106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the names of directors to serve as members of the audit committee and the compensation committee, as well as the corporate governance and nominating committee itself;</w:t>
      </w:r>
    </w:p>
    <w:p>
      <w:pPr>
        <w:spacing w:after="0" w:line="161" w:lineRule="exact"/>
        <w:rPr>
          <w:rFonts w:ascii="Times New Roman" w:cs="Times New Roman" w:eastAsia="Times New Roman" w:hAnsi="Times New Roman"/>
          <w:sz w:val="18"/>
          <w:szCs w:val="18"/>
          <w:color w:val="auto"/>
        </w:rPr>
      </w:pPr>
    </w:p>
    <w:p>
      <w:pPr>
        <w:ind w:left="1100" w:hanging="327"/>
        <w:spacing w:after="0" w:line="266" w:lineRule="auto"/>
        <w:tabs>
          <w:tab w:leader="none" w:pos="106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 and</w:t>
      </w:r>
    </w:p>
    <w:p>
      <w:pPr>
        <w:spacing w:after="0" w:line="176" w:lineRule="exact"/>
        <w:rPr>
          <w:rFonts w:ascii="Times New Roman" w:cs="Times New Roman" w:eastAsia="Times New Roman" w:hAnsi="Times New Roman"/>
          <w:sz w:val="18"/>
          <w:szCs w:val="18"/>
          <w:color w:val="auto"/>
        </w:rPr>
      </w:pPr>
    </w:p>
    <w:p>
      <w:pPr>
        <w:ind w:left="1100" w:right="100" w:hanging="327"/>
        <w:spacing w:after="0" w:line="282" w:lineRule="auto"/>
        <w:tabs>
          <w:tab w:leader="none" w:pos="106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229" w:lineRule="exact"/>
        <w:rPr>
          <w:sz w:val="20"/>
          <w:szCs w:val="20"/>
          <w:color w:val="auto"/>
        </w:rPr>
      </w:pPr>
    </w:p>
    <w:p>
      <w:pPr>
        <w:ind w:right="160" w:firstLine="441"/>
        <w:spacing w:after="0" w:line="261" w:lineRule="auto"/>
        <w:rPr>
          <w:sz w:val="20"/>
          <w:szCs w:val="20"/>
          <w:color w:val="auto"/>
        </w:rPr>
      </w:pPr>
      <w:r>
        <w:rPr>
          <w:rFonts w:ascii="Times New Roman" w:cs="Times New Roman" w:eastAsia="Times New Roman" w:hAnsi="Times New Roman"/>
          <w:sz w:val="18"/>
          <w:szCs w:val="18"/>
          <w:color w:val="auto"/>
        </w:rPr>
        <w:t>Under Cayman Islands law, our directors have a fiduciary duty to act honestly, in good faith and with a view to our best interests. Our directors also have a duty to exercise the skills they actually possess and such care and diligence that a reasonably prudent person would exercise in comparable circumstances. In fulfilling their duty of care to us, our directors must ensure compliance with our memorandum and articles of association, as amended and restated from time to time. Subject to laws, a shareholder has the right to seek damages if a duty owed by our directors is breached.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functions and powers of our board of directors include, among others:</w:t>
      </w:r>
    </w:p>
    <w:p>
      <w:pPr>
        <w:spacing w:after="0" w:line="225" w:lineRule="exact"/>
        <w:rPr>
          <w:sz w:val="20"/>
          <w:szCs w:val="20"/>
          <w:color w:val="auto"/>
        </w:rPr>
      </w:pPr>
    </w:p>
    <w:p>
      <w:pPr>
        <w:ind w:left="1060" w:hanging="287"/>
        <w:spacing w:after="0"/>
        <w:tabs>
          <w:tab w:leader="none" w:pos="10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general meetings and reporting its work to shareholders at such meetings;</w:t>
      </w:r>
    </w:p>
    <w:p>
      <w:pPr>
        <w:spacing w:after="0" w:line="225" w:lineRule="exact"/>
        <w:rPr>
          <w:rFonts w:ascii="Times New Roman" w:cs="Times New Roman" w:eastAsia="Times New Roman" w:hAnsi="Times New Roman"/>
          <w:sz w:val="18"/>
          <w:szCs w:val="18"/>
          <w:color w:val="auto"/>
        </w:rPr>
      </w:pPr>
    </w:p>
    <w:p>
      <w:pPr>
        <w:ind w:left="1060" w:hanging="287"/>
        <w:spacing w:after="0"/>
        <w:tabs>
          <w:tab w:leader="none" w:pos="10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authorized but unissued shares and redeem or purchase outstanding shares of our company;</w:t>
      </w:r>
    </w:p>
    <w:p>
      <w:pPr>
        <w:spacing w:after="0" w:line="225" w:lineRule="exact"/>
        <w:rPr>
          <w:rFonts w:ascii="Times New Roman" w:cs="Times New Roman" w:eastAsia="Times New Roman" w:hAnsi="Times New Roman"/>
          <w:sz w:val="18"/>
          <w:szCs w:val="18"/>
          <w:color w:val="auto"/>
        </w:rPr>
      </w:pPr>
    </w:p>
    <w:p>
      <w:pPr>
        <w:ind w:left="1060" w:hanging="287"/>
        <w:spacing w:after="0"/>
        <w:tabs>
          <w:tab w:leader="none" w:pos="10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other distributions;</w:t>
      </w:r>
    </w:p>
    <w:p>
      <w:pPr>
        <w:spacing w:after="0" w:line="225" w:lineRule="exact"/>
        <w:rPr>
          <w:rFonts w:ascii="Times New Roman" w:cs="Times New Roman" w:eastAsia="Times New Roman" w:hAnsi="Times New Roman"/>
          <w:sz w:val="18"/>
          <w:szCs w:val="18"/>
          <w:color w:val="auto"/>
        </w:rPr>
      </w:pPr>
    </w:p>
    <w:p>
      <w:pPr>
        <w:ind w:left="1060" w:hanging="287"/>
        <w:spacing w:after="0"/>
        <w:tabs>
          <w:tab w:leader="none" w:pos="10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officers;</w:t>
      </w:r>
    </w:p>
    <w:p>
      <w:pPr>
        <w:spacing w:after="0" w:line="225" w:lineRule="exact"/>
        <w:rPr>
          <w:rFonts w:ascii="Times New Roman" w:cs="Times New Roman" w:eastAsia="Times New Roman" w:hAnsi="Times New Roman"/>
          <w:sz w:val="18"/>
          <w:szCs w:val="18"/>
          <w:color w:val="auto"/>
        </w:rPr>
      </w:pPr>
    </w:p>
    <w:p>
      <w:pPr>
        <w:ind w:left="1060" w:hanging="287"/>
        <w:spacing w:after="0"/>
        <w:tabs>
          <w:tab w:leader="none" w:pos="10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225" w:lineRule="exact"/>
        <w:rPr>
          <w:rFonts w:ascii="Times New Roman" w:cs="Times New Roman" w:eastAsia="Times New Roman" w:hAnsi="Times New Roman"/>
          <w:sz w:val="18"/>
          <w:szCs w:val="18"/>
          <w:color w:val="auto"/>
        </w:rPr>
      </w:pPr>
    </w:p>
    <w:p>
      <w:pPr>
        <w:ind w:left="1060" w:hanging="287"/>
        <w:spacing w:after="0"/>
        <w:tabs>
          <w:tab w:leader="none" w:pos="10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shares of our company, including the registering of such shares in our share register.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229"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Our officers are elected by and serve at the discretion of the board of directors. Our directors are not subject to a term of office and hold office in accordance with the articles of association, which provide that at each annual general meeting, one-third of the directors for the time being (or, if their number is not a multiple of three, the number nearest to but not greater than one-third) shall retire from office by rotation provided that the chairman of the board and/or the managing director of our company shall not, whilst holding such office, be subject to retirement by rotation or be taken into account in determining the number of directors to retire in each year. A retiring director shall be eligible for re-election. A director will be removed from office automatically if, among other things, the director (i) becomes bankrupt or makes any arrangement or composition with his creditors; or (ii) dies or is found by our company to be or becomes of unsound mind. No benefits are payable to members of the board upon termination of their relationship with us.</w:t>
      </w:r>
    </w:p>
    <w:p>
      <w:pPr>
        <w:spacing w:after="0" w:line="185" w:lineRule="exact"/>
        <w:rPr>
          <w:sz w:val="20"/>
          <w:szCs w:val="20"/>
          <w:color w:val="auto"/>
        </w:rPr>
      </w:pPr>
    </w:p>
    <w:p>
      <w:pPr>
        <w:ind w:left="1320" w:hanging="1312"/>
        <w:spacing w:after="0"/>
        <w:tabs>
          <w:tab w:leader="none" w:pos="132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“Item 4. Information on the Company—B. Business Overview—Employees.”</w:t>
      </w:r>
    </w:p>
    <w:p>
      <w:pPr>
        <w:sectPr>
          <w:pgSz w:w="11900" w:h="16838" w:orient="portrait"/>
          <w:cols w:equalWidth="0" w:num="1">
            <w:col w:w="11420"/>
          </w:cols>
          <w:pgMar w:left="240" w:top="335" w:right="239" w:bottom="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300" w:hanging="1292"/>
        <w:spacing w:after="0"/>
        <w:tabs>
          <w:tab w:leader="none" w:pos="130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w:t>
      </w:r>
    </w:p>
    <w:p>
      <w:pPr>
        <w:spacing w:after="0" w:line="229" w:lineRule="exact"/>
        <w:rPr>
          <w:sz w:val="20"/>
          <w:szCs w:val="20"/>
          <w:color w:val="auto"/>
        </w:rPr>
      </w:pPr>
    </w:p>
    <w:p>
      <w:pPr>
        <w:ind w:right="20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within the meaning of Rule 13d-3 under the Exchange Act, of our ordinary shares, as of March 31, 2017:</w:t>
      </w:r>
    </w:p>
    <w:p>
      <w:pPr>
        <w:spacing w:after="0" w:line="162" w:lineRule="exact"/>
        <w:rPr>
          <w:sz w:val="20"/>
          <w:szCs w:val="20"/>
          <w:color w:val="auto"/>
        </w:rPr>
      </w:pPr>
    </w:p>
    <w:p>
      <w:pPr>
        <w:ind w:left="1060" w:hanging="287"/>
        <w:spacing w:after="0"/>
        <w:tabs>
          <w:tab w:leader="none" w:pos="10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225" w:lineRule="exact"/>
        <w:rPr>
          <w:rFonts w:ascii="Times New Roman" w:cs="Times New Roman" w:eastAsia="Times New Roman" w:hAnsi="Times New Roman"/>
          <w:sz w:val="18"/>
          <w:szCs w:val="18"/>
          <w:color w:val="auto"/>
        </w:rPr>
      </w:pPr>
    </w:p>
    <w:p>
      <w:pPr>
        <w:ind w:left="1060" w:hanging="287"/>
        <w:spacing w:after="0"/>
        <w:tabs>
          <w:tab w:leader="none" w:pos="10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own beneficially more than 5% of each class of our ordinary shares.</w:t>
      </w:r>
    </w:p>
    <w:p>
      <w:pPr>
        <w:spacing w:after="0" w:line="225"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The calculations in the tables below assume there are 254,934,290 Class A ordinary shares and 317,325,360 Class B ordinary shares, outstanding as of March 31, 2017. Beneficial ownership is determined in accordance with Rule 13d-3 of the General Rules and Regulations under the Exchange Act. In computing the number of shares beneficially owned by a person and the percentage ownership of that person, we have included shares that the person has the right to acquire within 60 days of this annual report on Form 20-F, including through the exercise of any option, the vesting of any contingently issuable share, restricted share, restricted share unit or the conversion of any other security. These shares, however, are not included in the computation of the percentage ownership of any other person.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3"/>
                <w:szCs w:val="13"/>
                <w:color w:val="auto"/>
              </w:rPr>
            </w:pPr>
          </w:p>
        </w:tc>
        <w:tc>
          <w:tcPr>
            <w:tcW w:w="31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A Ordinary Shares</w:t>
            </w:r>
          </w:p>
        </w:tc>
      </w:tr>
      <w:tr>
        <w:trPr>
          <w:trHeight w:val="173"/>
        </w:trPr>
        <w:tc>
          <w:tcPr>
            <w:tcW w:w="8300" w:type="dxa"/>
            <w:vAlign w:val="bottom"/>
          </w:tcPr>
          <w:p>
            <w:pPr>
              <w:spacing w:after="0"/>
              <w:rPr>
                <w:sz w:val="15"/>
                <w:szCs w:val="15"/>
                <w:color w:val="auto"/>
              </w:rPr>
            </w:pPr>
          </w:p>
        </w:tc>
        <w:tc>
          <w:tcPr>
            <w:tcW w:w="2120" w:type="dxa"/>
            <w:vAlign w:val="bottom"/>
            <w:tcBorders>
              <w:bottom w:val="single" w:sz="8" w:color="auto"/>
            </w:tcBorders>
            <w:gridSpan w:val="3"/>
          </w:tcPr>
          <w:p>
            <w:pPr>
              <w:jc w:val="center"/>
              <w:ind w:left="794"/>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8300" w:type="dxa"/>
            <w:vAlign w:val="bottom"/>
          </w:tcPr>
          <w:p>
            <w:pPr>
              <w:spacing w:after="0"/>
              <w:rPr>
                <w:sz w:val="12"/>
                <w:szCs w:val="12"/>
                <w:color w:val="auto"/>
              </w:rPr>
            </w:pPr>
          </w:p>
        </w:tc>
        <w:tc>
          <w:tcPr>
            <w:tcW w:w="2120" w:type="dxa"/>
            <w:vAlign w:val="bottom"/>
            <w:gridSpan w:val="3"/>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900" w:type="dxa"/>
            <w:vAlign w:val="bottom"/>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 (1)</w:t>
            </w:r>
          </w:p>
        </w:tc>
        <w:tc>
          <w:tcPr>
            <w:tcW w:w="100" w:type="dxa"/>
            <w:vAlign w:val="bottom"/>
          </w:tcPr>
          <w:p>
            <w:pPr>
              <w:spacing w:after="0"/>
              <w:rPr>
                <w:sz w:val="12"/>
                <w:szCs w:val="12"/>
                <w:color w:val="auto"/>
              </w:rPr>
            </w:pPr>
          </w:p>
        </w:tc>
      </w:tr>
      <w:tr>
        <w:trPr>
          <w:trHeight w:val="196"/>
        </w:trPr>
        <w:tc>
          <w:tcPr>
            <w:tcW w:w="83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Class A ordinary shares</w:t>
            </w: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Keung Chui</w:t>
            </w:r>
          </w:p>
        </w:tc>
        <w:tc>
          <w:tcPr>
            <w:tcW w:w="212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Shuang Liu (2)</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14,738,500</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w:t>
            </w: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Ya Li (3)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7,925,300</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w:t>
            </w: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Tong Chen</w:t>
            </w:r>
          </w:p>
        </w:tc>
        <w:tc>
          <w:tcPr>
            <w:tcW w:w="212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Daguang He</w:t>
            </w:r>
          </w:p>
        </w:tc>
        <w:tc>
          <w:tcPr>
            <w:tcW w:w="212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 Keung Yeung</w:t>
            </w:r>
          </w:p>
        </w:tc>
        <w:tc>
          <w:tcPr>
            <w:tcW w:w="212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Carson Wen</w:t>
            </w:r>
          </w:p>
        </w:tc>
        <w:tc>
          <w:tcPr>
            <w:tcW w:w="212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Jerry Juying Zhang</w:t>
            </w:r>
          </w:p>
        </w:tc>
        <w:tc>
          <w:tcPr>
            <w:tcW w:w="212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Betty Yip Ho (4)</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Shu Liu</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(5)</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26,410,944</w:t>
            </w: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10.36</w:t>
            </w: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Shareholders: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Value Advisers, LLC (6)</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32,853,672</w:t>
            </w:r>
          </w:p>
        </w:tc>
        <w:tc>
          <w:tcPr>
            <w:tcW w:w="4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700" w:hanging="692"/>
        <w:spacing w:after="0"/>
        <w:tabs>
          <w:tab w:leader="none" w:pos="7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of our total outstanding Class A ordinary shares.</w:t>
      </w:r>
    </w:p>
    <w:p>
      <w:pPr>
        <w:spacing w:after="0" w:line="27" w:lineRule="exact"/>
        <w:rPr>
          <w:sz w:val="20"/>
          <w:szCs w:val="20"/>
          <w:color w:val="auto"/>
        </w:rPr>
      </w:pPr>
    </w:p>
    <w:p>
      <w:pPr>
        <w:ind w:left="680" w:hanging="672"/>
        <w:spacing w:after="0"/>
        <w:tabs>
          <w:tab w:leader="none" w:pos="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disclosed are with respect to Class A ordinary shares.</w:t>
      </w:r>
    </w:p>
    <w:p>
      <w:pPr>
        <w:spacing w:after="0" w:line="9"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14,738,500 Class A ordinary shares, including 8,170,000 Class A ordinary shares in the form of ADSs.</w:t>
      </w:r>
    </w:p>
    <w:p>
      <w:pPr>
        <w:spacing w:after="0" w:line="9"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7,925,300 Class A ordinary shares, including 4,864,800 Class A ordinary shares in the form of ADSs.</w:t>
      </w:r>
    </w:p>
    <w:p>
      <w:pPr>
        <w:spacing w:after="0" w:line="9"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Class A ordinary shares.</w:t>
      </w:r>
    </w:p>
    <w:p>
      <w:pPr>
        <w:spacing w:after="0" w:line="9"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26,410,944 Class A ordinary shares, including 14,434,475 Class A ordinary shares in the form of ADSs.</w:t>
      </w:r>
    </w:p>
    <w:p>
      <w:pPr>
        <w:spacing w:after="0" w:line="9" w:lineRule="exact"/>
        <w:rPr>
          <w:rFonts w:ascii="Times New Roman" w:cs="Times New Roman" w:eastAsia="Times New Roman" w:hAnsi="Times New Roman"/>
          <w:sz w:val="18"/>
          <w:szCs w:val="18"/>
          <w:color w:val="auto"/>
        </w:rPr>
      </w:pPr>
    </w:p>
    <w:p>
      <w:pPr>
        <w:ind w:left="340" w:right="180" w:hanging="332"/>
        <w:spacing w:after="0" w:line="255" w:lineRule="auto"/>
        <w:tabs>
          <w:tab w:leader="none" w:pos="70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is as of December 31, 2016, based on the Amendment No.2 to Schedule 13G filed on February 13, 2017 by International Value Advisers, LLC, and consists of 32,853,672 Class A ordinary shares in the form of 4,106,709 ADSs. The principal business office of International Value Advisers, LLC is 717 Fifth Avenue, 10th Floor, New York, NY 10022.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3"/>
                <w:szCs w:val="13"/>
                <w:color w:val="auto"/>
              </w:rPr>
            </w:pPr>
          </w:p>
        </w:tc>
        <w:tc>
          <w:tcPr>
            <w:tcW w:w="31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B Ordinary Shares</w:t>
            </w:r>
          </w:p>
        </w:tc>
      </w:tr>
      <w:tr>
        <w:trPr>
          <w:trHeight w:val="173"/>
        </w:trPr>
        <w:tc>
          <w:tcPr>
            <w:tcW w:w="8300" w:type="dxa"/>
            <w:vAlign w:val="bottom"/>
          </w:tcPr>
          <w:p>
            <w:pPr>
              <w:spacing w:after="0"/>
              <w:rPr>
                <w:sz w:val="15"/>
                <w:szCs w:val="15"/>
                <w:color w:val="auto"/>
              </w:rPr>
            </w:pPr>
          </w:p>
        </w:tc>
        <w:tc>
          <w:tcPr>
            <w:tcW w:w="2120" w:type="dxa"/>
            <w:vAlign w:val="bottom"/>
            <w:tcBorders>
              <w:bottom w:val="single" w:sz="8" w:color="auto"/>
            </w:tcBorders>
            <w:gridSpan w:val="3"/>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8300" w:type="dxa"/>
            <w:vAlign w:val="bottom"/>
          </w:tcPr>
          <w:p>
            <w:pPr>
              <w:spacing w:after="0"/>
              <w:rPr>
                <w:sz w:val="12"/>
                <w:szCs w:val="12"/>
                <w:color w:val="auto"/>
              </w:rPr>
            </w:pPr>
          </w:p>
        </w:tc>
        <w:tc>
          <w:tcPr>
            <w:tcW w:w="2120" w:type="dxa"/>
            <w:vAlign w:val="bottom"/>
            <w:gridSpan w:val="3"/>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900" w:type="dxa"/>
            <w:vAlign w:val="bottom"/>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 (1)</w:t>
            </w:r>
          </w:p>
        </w:tc>
        <w:tc>
          <w:tcPr>
            <w:tcW w:w="100" w:type="dxa"/>
            <w:vAlign w:val="bottom"/>
          </w:tcPr>
          <w:p>
            <w:pPr>
              <w:spacing w:after="0"/>
              <w:rPr>
                <w:sz w:val="12"/>
                <w:szCs w:val="12"/>
                <w:color w:val="auto"/>
              </w:rPr>
            </w:pPr>
          </w:p>
        </w:tc>
      </w:tr>
      <w:tr>
        <w:trPr>
          <w:trHeight w:val="196"/>
        </w:trPr>
        <w:tc>
          <w:tcPr>
            <w:tcW w:w="83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Class B ordinary shares</w:t>
            </w: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4"/>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Phoenix Satellite Television (B.V.I.) Holding Limited (2)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317,325,360</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680" w:hanging="672"/>
        <w:spacing w:after="0"/>
        <w:tabs>
          <w:tab w:leader="none" w:pos="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disclosed are with respect to Class B ordinary shares.</w:t>
      </w:r>
    </w:p>
    <w:p>
      <w:pPr>
        <w:spacing w:after="0" w:line="27" w:lineRule="exact"/>
        <w:rPr>
          <w:rFonts w:ascii="Times New Roman" w:cs="Times New Roman" w:eastAsia="Times New Roman" w:hAnsi="Times New Roman"/>
          <w:sz w:val="18"/>
          <w:szCs w:val="18"/>
          <w:color w:val="auto"/>
        </w:rPr>
      </w:pPr>
    </w:p>
    <w:p>
      <w:pPr>
        <w:jc w:val="both"/>
        <w:ind w:left="340" w:right="20" w:hanging="332"/>
        <w:spacing w:after="0" w:line="254" w:lineRule="auto"/>
        <w:tabs>
          <w:tab w:leader="none" w:pos="70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based on the Schedule 13G filed on February 14, 2012 on behalf of Phoenix Satellite Television Holdings Limited and Phoenix Satellite Television (B.V.I.) Holding Limited. Represents 317,325,360 Class B ordinary shares. Phoenix Satellite Television (B.V.I.) Holding Limited is controlled by Phoenix Satellite Television Holdings Limited, a public company listed on the Hong Kong Stock Exchange. The registered office for Phoenix Satellite Television Holdings Limited is Cricket Square, Hutchins Drive, P.O. Box 2681, Grand Cayman KY1-1111, Cayman Islands.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60" w:firstLine="441"/>
        <w:spacing w:after="0" w:line="266" w:lineRule="auto"/>
        <w:rPr>
          <w:sz w:val="20"/>
          <w:szCs w:val="20"/>
          <w:color w:val="auto"/>
        </w:rPr>
      </w:pPr>
      <w:r>
        <w:rPr>
          <w:rFonts w:ascii="Times New Roman" w:cs="Times New Roman" w:eastAsia="Times New Roman" w:hAnsi="Times New Roman"/>
          <w:sz w:val="18"/>
          <w:szCs w:val="18"/>
          <w:color w:val="auto"/>
        </w:rPr>
        <w:t>As of March 31, 2017, 249,102,528 Class A ordinary shares or 97.2% of our outstanding Class A ordinary shares in the form of ADSs are held by one record holder in the United States, JPMorgan Chase Bank, N.A. Because many of these shares are held by brokers or other nominees, we cannot ascertain the exact number of beneficial shareholders with addresses in the United States.</w:t>
      </w:r>
    </w:p>
    <w:p>
      <w:pPr>
        <w:spacing w:after="0" w:line="176"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Holders of Class A ordinary shares are entitled to one vote per share, while the holder of Class B ordinary shares are entitled to 1.3 votes per share. Our major shareholders have the same voting rights as our other shareholders. We are not aware of any arrangement that may, at a subsequent date, result in a change of control of our company.</w:t>
      </w:r>
    </w:p>
    <w:p>
      <w:pPr>
        <w:sectPr>
          <w:pgSz w:w="11900" w:h="16838" w:orient="portrait"/>
          <w:cols w:equalWidth="0" w:num="1">
            <w:col w:w="11420"/>
          </w:cols>
          <w:pgMar w:left="240" w:top="337" w:right="239" w:bottom="0" w:gutter="0" w:footer="0" w:header="0"/>
        </w:sectPr>
      </w:pPr>
    </w:p>
    <w:bookmarkStart w:id="81" w:name="page82"/>
    <w:bookmarkEnd w:id="81"/>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MAJOR SHAREHOLDERS AND RELATED PARTY TRANSACTIONS</w:t>
      </w:r>
    </w:p>
    <w:p>
      <w:pPr>
        <w:spacing w:after="0" w:line="225" w:lineRule="exact"/>
        <w:rPr>
          <w:sz w:val="20"/>
          <w:szCs w:val="20"/>
          <w:color w:val="auto"/>
        </w:rPr>
      </w:pPr>
    </w:p>
    <w:p>
      <w:pPr>
        <w:ind w:left="1320" w:hanging="1312"/>
        <w:spacing w:after="0"/>
        <w:tabs>
          <w:tab w:leader="none" w:pos="132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Shareholders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“Item 6. Directors, Senior Management and Employees—E. Share Ownership”</w:t>
      </w:r>
    </w:p>
    <w:p>
      <w:pPr>
        <w:spacing w:after="0" w:line="221" w:lineRule="exact"/>
        <w:rPr>
          <w:sz w:val="20"/>
          <w:szCs w:val="20"/>
          <w:color w:val="auto"/>
        </w:rPr>
      </w:pPr>
    </w:p>
    <w:p>
      <w:pPr>
        <w:ind w:left="1300" w:hanging="1292"/>
        <w:spacing w:after="0"/>
        <w:tabs>
          <w:tab w:leader="none" w:pos="130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ind w:right="240" w:firstLine="441"/>
        <w:spacing w:after="0" w:line="266" w:lineRule="auto"/>
        <w:rPr>
          <w:sz w:val="20"/>
          <w:szCs w:val="20"/>
          <w:color w:val="auto"/>
        </w:rPr>
      </w:pPr>
      <w:r>
        <w:rPr>
          <w:rFonts w:ascii="Times New Roman" w:cs="Times New Roman" w:eastAsia="Times New Roman" w:hAnsi="Times New Roman"/>
          <w:sz w:val="18"/>
          <w:szCs w:val="18"/>
          <w:color w:val="auto"/>
        </w:rPr>
        <w:t>Phoenix TV, through its wholly owned subsidiary, is our controlling shareholder, with beneficial ownership and voting power of 55.5% and 61.8%, respectively, of our outstanding ordinary shares as of March 31, 2017. Phoenix TV has the power acting alone to approve any action requiring a vote of the majority of our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Related to Our Corporate Structure</w:t>
      </w:r>
    </w:p>
    <w:p>
      <w:pPr>
        <w:spacing w:after="0" w:line="229" w:lineRule="exact"/>
        <w:rPr>
          <w:sz w:val="20"/>
          <w:szCs w:val="20"/>
          <w:color w:val="auto"/>
        </w:rPr>
      </w:pPr>
    </w:p>
    <w:p>
      <w:pPr>
        <w:ind w:right="200" w:firstLine="441"/>
        <w:spacing w:after="0" w:line="266" w:lineRule="auto"/>
        <w:rPr>
          <w:sz w:val="20"/>
          <w:szCs w:val="20"/>
          <w:color w:val="auto"/>
        </w:rPr>
      </w:pPr>
      <w:r>
        <w:rPr>
          <w:rFonts w:ascii="Times New Roman" w:cs="Times New Roman" w:eastAsia="Times New Roman" w:hAnsi="Times New Roman"/>
          <w:sz w:val="18"/>
          <w:szCs w:val="18"/>
          <w:color w:val="auto"/>
        </w:rPr>
        <w:t>To comply with the applicable PRC laws, rules and regulations, we conduct our operations in China through contractual arrangements between our wholly owned PRC subsidiaries, Fenghuang On-line, and our affiliated consolidated entities. See “Item 4. Information on the Company—C. Organizational Structure—Contractual Arrangements with Our Affiliated Consolidated Entities.”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and Agreements with Phoenix TV and Certain of its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Phoenix TV Cooperation Agreement and Phoenix TV Content License Agreements</w:t>
      </w:r>
    </w:p>
    <w:p>
      <w:pPr>
        <w:spacing w:after="0" w:line="229" w:lineRule="exact"/>
        <w:rPr>
          <w:sz w:val="20"/>
          <w:szCs w:val="20"/>
          <w:color w:val="auto"/>
        </w:rPr>
      </w:pPr>
    </w:p>
    <w:p>
      <w:pPr>
        <w:ind w:right="100" w:firstLine="441"/>
        <w:spacing w:after="0" w:line="252" w:lineRule="auto"/>
        <w:rPr>
          <w:sz w:val="20"/>
          <w:szCs w:val="20"/>
          <w:color w:val="auto"/>
        </w:rPr>
      </w:pPr>
      <w:r>
        <w:rPr>
          <w:rFonts w:ascii="Times New Roman" w:cs="Times New Roman" w:eastAsia="Times New Roman" w:hAnsi="Times New Roman"/>
          <w:sz w:val="18"/>
          <w:szCs w:val="18"/>
          <w:color w:val="auto"/>
        </w:rPr>
        <w:t>Fenghuang On-line entered into a Content, Branding, Promotion and Technology Cooperation Agreement, or the Phoenix TV Cooperation Agreement, with Phoenix TV on November 24, 2009, certain terms of which were amended pursuant to a supplemental agreement entered into by the parties on March 28, 2011. Pursuant to the Phoenix TV Cooperation Agreement, Phoenix TV agreed to procure and procured its subsidiaries, Phoenix Satellite Television Company Limited and Phoenix Satellite Television Trademark Limited, respectively, to enter into content license agreements, or the Content License Agreements, and trademark license agreements, or the Trademark License Agreements, with each of our affiliated consolidated entities. Fenghuang On-line agreed to provide Phoenix TV with our proprietary text, image, sound and video content. In addition, Fenghuang On-line and Phoenix TV agreed to promote one another’s brand and content on their respective new media and TV platforms. As compensation for the rights granted to Fenghuang On-line under the agreement, Fenghuang On-line is obligated to pay Phoenix TV an annual service fee in the amount of RMB1.6 million for the first year of the agreement, which incrementally increases by 25% for each subsequent year of the agreement. The annual service payment to Phoenix TV under the Phoenix TV Cooperation Agreement for 2016 before expiration of the agreement was RMB2.5 million. Fenghuang On-line must also pay to Phoenix TV 50% of the after-tax revenues Tianying Jiuzhou earns from sublicensing Phoenix TV’s video content to third parties. In the event that Phoenix TV’s indirect voting interest in Fenghuang On-line falls to 50% or below, Phoenix TV has the right to amend the annual service fee, provided that it may not be raised to more than 500% of the original annual service fee. If Phoenix TV’s beneficial ownership stake in us decreases to 35% or below, Phoenix TV has the right to immediately terminate or renegotiate the Phoenix TV Cooperation Agreement.</w:t>
      </w:r>
    </w:p>
    <w:p>
      <w:pPr>
        <w:spacing w:after="0" w:line="19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Pursuant to the Phoenix TV Cooperation Agreement, Tianying Jiuzhou and Yifeng Lianhe each entered into a Content License Agreement with Phoenix Satellite Television Company Limited on November 24, 2009. Pursuant to the Content License Agreements, Phoenix TV granted each of Tianying Jiuzhou and Yifeng Lianhe an exclusive license to use its copyrighted text, images, sound and videos on its Internet and mobile channels, as applicable, in China. Payments for the content license are made in accordance with the payment provisions set forth in the Phoenix TV Cooperation Agreement. The Content License Agreements can be terminated earlier (i) by the non-breaching party in the event of a breach and if the breach is not cured within ten business days after receipt of notice of breach from the non-breaching party, (ii) in the event of bankruptcy or the cessation of business operations of either party, or a change in the shareholder or equity structure of the relevant affiliated consolidated entity, other than in connection with the contractual arrangements, (iii) if either party’s performance of its obligations is held unlawful under PRC law; or (iv) if an event occurs that adversely affects the performance of either party of its respective obligations and upon written notice by the unaffected party.</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of the above agreements expired on May 27, 2016 and were replaced by the Program License Agreements described below.</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Program License Agreements</w:t>
      </w:r>
    </w:p>
    <w:p>
      <w:pPr>
        <w:spacing w:after="0" w:line="229"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color w:val="auto"/>
        </w:rPr>
        <w:t>As the Phoenix TV Cooperation Agreement and Phoenix TV Content License Agreements expired in May 2016, Phoenix Satellite Television Company Limited, a wholly owned subsidiary of Phoenix TV, and each of Tianying Jiuzhou, Yifeng Lianhe, and another subsidiary of us entered into a Program Resource License Agreements and a Program Text/Graphics Resource License Agreements, or the Program License Agreements, in May 2016. Under these agreements, Phoenix TV Group agreed to grant our affiliated consolidated entities and another subsidiary of us the license with priority over any third party to broadcast Phoenix TV Group’s copyrighted video content from three television channels of Phoenix TV Group on ifeng.com (our main Internet channel), i.ifeng.com (a mobile Internet channel of ours), and ifeng News, ifeng Video and ifeng VIP (three mobile applications of ours) in China concurrently with such content broadcasted on the three television channels of Phoenix TV Group, pursuant to the Program License Agreements.; and Phoenix TV Group agreed to grant our affiliated consolidated entities and another subsidiary of us a non-exclusive license to use Phoenix TV Group’s copyrighted text and graphics on the same Internet and mobile channels for which Phoenix TV Group’s copyrighted video content license, above, was granted. The fees payable to Phoenix TV Group by us for all content licenses described above will be RMB10.0 million for the first year of the agreements, which will incrementally increase by 15% for each subsequent year of the agreement. Unlike the previous agreements, the New Agreements do not grant us the right to sublicense Phoenix TV Group’s copyrighted content to third parties. While we are in the process of negotiating with Phoenix TV Group to potentially re-acquire such right of sublicense, we cannot assure you that we will be able to re-acquire such right at reasonable costs or at all.</w:t>
      </w:r>
    </w:p>
    <w:p>
      <w:pPr>
        <w:sectPr>
          <w:pgSz w:w="11900" w:h="16838" w:orient="portrait"/>
          <w:cols w:equalWidth="0" w:num="1">
            <w:col w:w="11420"/>
          </w:cols>
          <w:pgMar w:left="240" w:top="117" w:right="239" w:bottom="0" w:gutter="0" w:footer="0" w:header="0"/>
        </w:sectPr>
      </w:pPr>
    </w:p>
    <w:bookmarkStart w:id="82" w:name="page83"/>
    <w:bookmarkEnd w:id="82"/>
    <w:p>
      <w:pPr>
        <w:ind w:right="80" w:firstLine="441"/>
        <w:spacing w:after="0" w:line="257" w:lineRule="auto"/>
        <w:rPr>
          <w:sz w:val="20"/>
          <w:szCs w:val="20"/>
          <w:color w:val="auto"/>
        </w:rPr>
      </w:pPr>
      <w:r>
        <w:rPr>
          <w:rFonts w:ascii="Times New Roman" w:cs="Times New Roman" w:eastAsia="Times New Roman" w:hAnsi="Times New Roman"/>
          <w:sz w:val="18"/>
          <w:szCs w:val="18"/>
          <w:color w:val="auto"/>
        </w:rPr>
        <w:t>Each of the Program License Agreements has an initial term of three years and will expire on May 26, 2019 and may be renewed on an annual basis thereafter upon agreement of both parties. Each of the parties to the Program License Agreements has the right to terminate the Program License Agreements before their expiration date by 6-month prior written notice to the other party. In addition, each of the Program License Agreements can be terminated earlier</w:t>
      </w:r>
    </w:p>
    <w:p>
      <w:pPr>
        <w:spacing w:after="0" w:line="2" w:lineRule="exact"/>
        <w:rPr>
          <w:sz w:val="20"/>
          <w:szCs w:val="20"/>
          <w:color w:val="auto"/>
        </w:rPr>
      </w:pPr>
    </w:p>
    <w:p>
      <w:pPr>
        <w:ind w:right="20" w:firstLine="8"/>
        <w:spacing w:after="0" w:line="252" w:lineRule="auto"/>
        <w:tabs>
          <w:tab w:leader="none" w:pos="2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non-breaching party in the event of a breach and if the breach is not cured within ten business days after receipt of notice of breach from the non-breaching party, (ii) in the event of bankruptcy or the cessation of business operations of either party, or a change in the shareholder or equity structure of the relevant affiliated consolidated entity, other than in connection with the contractual arrangements, (iii) by Phoenix Satellite Television Company Limited in the event that our shareholders or ownership structure change so that the shares held by Phoenix TV Group account for 50% or less of our actual total issued shares, or in the event that we lose control of Tianying Jiuzhou, Yifeng Lianhe or the another subsidiary of us; or if Tianying Jiuzhou, Yifeng Lianhe or the another subsidiary of us, as applicable, ceases business operation; (iv) if either party’s performance of its obligations is held unlawful under PRC law; or (v) if an event occurs that adversely affects the performance by either party of its obligations and upon written notice by the unaffected party.</w:t>
      </w:r>
    </w:p>
    <w:p>
      <w:pPr>
        <w:spacing w:after="0" w:line="189" w:lineRule="exact"/>
        <w:rPr>
          <w:sz w:val="20"/>
          <w:szCs w:val="20"/>
          <w:color w:val="auto"/>
        </w:rPr>
      </w:pPr>
    </w:p>
    <w:p>
      <w:pPr>
        <w:ind w:right="100" w:firstLine="441"/>
        <w:spacing w:after="0" w:line="258" w:lineRule="auto"/>
        <w:rPr>
          <w:sz w:val="20"/>
          <w:szCs w:val="20"/>
          <w:color w:val="auto"/>
        </w:rPr>
      </w:pPr>
      <w:r>
        <w:rPr>
          <w:rFonts w:ascii="Times New Roman" w:cs="Times New Roman" w:eastAsia="Times New Roman" w:hAnsi="Times New Roman"/>
          <w:sz w:val="18"/>
          <w:szCs w:val="18"/>
          <w:color w:val="auto"/>
        </w:rPr>
        <w:t>Costs for content production provided to us by Phoenix TV Group were RMB3.8 million, RMB4.7 million and RMB7.4 million (US$1.1 million) in 2014, 2015 and 2016, respectively. Costs for data line services provided to us by Phoenix TV Group were RMB0.4 million, RMB0.2 million and nil in 2014, 2015 and 2016, respectively. We were charged by Phoenix TV Group for advertising and promotion expenses of RMB1.2 million, RMB1.8 million and RMB1.3 million (US$0.2 million) in 2014, 2015 and 2016, respectively. We were also charged corporate administrative expenses by Phoenix TV Group in the total amounts of RMB0.4 million, RMB1.9 million and RMB0.3 million (US$0.04 million) in 2014, 2015 and 2016, respectively.</w:t>
      </w:r>
    </w:p>
    <w:p>
      <w:pPr>
        <w:spacing w:after="0" w:line="184" w:lineRule="exact"/>
        <w:rPr>
          <w:sz w:val="20"/>
          <w:szCs w:val="20"/>
          <w:color w:val="auto"/>
        </w:rPr>
      </w:pPr>
    </w:p>
    <w:p>
      <w:pPr>
        <w:ind w:right="760" w:firstLine="441"/>
        <w:spacing w:after="0" w:line="282" w:lineRule="auto"/>
        <w:rPr>
          <w:sz w:val="20"/>
          <w:szCs w:val="20"/>
          <w:color w:val="auto"/>
        </w:rPr>
      </w:pPr>
      <w:r>
        <w:rPr>
          <w:rFonts w:ascii="Times New Roman" w:cs="Times New Roman" w:eastAsia="Times New Roman" w:hAnsi="Times New Roman"/>
          <w:sz w:val="18"/>
          <w:szCs w:val="18"/>
          <w:color w:val="auto"/>
        </w:rPr>
        <w:t>We provided joint advertising campaign solutions together with Phoenix TV Group to Phoenix TV Group’s advertisers from which we earned advertising revenues of RMB25.2 million, RMB16.5 million and RMB10.4 million (US$1.5 million) in 2014, 2015 and 2016, respectively.</w:t>
      </w:r>
    </w:p>
    <w:p>
      <w:pPr>
        <w:spacing w:after="0" w:line="162" w:lineRule="exact"/>
        <w:rPr>
          <w:sz w:val="20"/>
          <w:szCs w:val="20"/>
          <w:color w:val="auto"/>
        </w:rPr>
      </w:pPr>
    </w:p>
    <w:p>
      <w:pPr>
        <w:ind w:right="240" w:firstLine="450"/>
        <w:spacing w:after="0" w:line="266" w:lineRule="auto"/>
        <w:rPr>
          <w:sz w:val="20"/>
          <w:szCs w:val="20"/>
          <w:color w:val="auto"/>
        </w:rPr>
      </w:pPr>
      <w:r>
        <w:rPr>
          <w:rFonts w:ascii="Times New Roman" w:cs="Times New Roman" w:eastAsia="Times New Roman" w:hAnsi="Times New Roman"/>
          <w:sz w:val="18"/>
          <w:szCs w:val="18"/>
          <w:color w:val="auto"/>
        </w:rPr>
        <w:t>As of December 31, 2014, 2015 and 2016, we had accounts due from Phoenix TV Group in the amounts of RMB77.3 million, RMB20.1 million and RMB31.5 million (US$4.5 million), respectively, and accounts due to Phoenix TV Group in the amounts of RMB21.9 million, RMB17.1 and RMB17.7 million (US$2.6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Phoenix TV Trademark License Agreements</w:t>
      </w:r>
    </w:p>
    <w:p>
      <w:pPr>
        <w:spacing w:after="0" w:line="229" w:lineRule="exact"/>
        <w:rPr>
          <w:sz w:val="20"/>
          <w:szCs w:val="20"/>
          <w:color w:val="auto"/>
        </w:rPr>
      </w:pPr>
    </w:p>
    <w:p>
      <w:pPr>
        <w:ind w:right="80" w:firstLine="441"/>
        <w:spacing w:after="0" w:line="252" w:lineRule="auto"/>
        <w:rPr>
          <w:sz w:val="20"/>
          <w:szCs w:val="20"/>
          <w:color w:val="auto"/>
        </w:rPr>
      </w:pPr>
      <w:r>
        <w:rPr>
          <w:rFonts w:ascii="Times New Roman" w:cs="Times New Roman" w:eastAsia="Times New Roman" w:hAnsi="Times New Roman"/>
          <w:sz w:val="18"/>
          <w:szCs w:val="18"/>
          <w:color w:val="auto"/>
        </w:rPr>
        <w:t>Pursuant to the Phoenix TV Cooperation Agreement, Tianying Jiuzhou and Yifeng Lianhe each entered into a Trademark License Agreement with Phoenix Satellite Television Trademark Limited on November 24, 2009. Pursuant to the Trademark License Agreements, Phoenix Satellite Television Trademark Limited granted Tianying Jiuzhou and Yifeng Lianhe non-exclusive rights to use certain of its logos for the purpose of conducting Tianying Jiuzhou’s and Yifeng Lianhe’s respective businesses. Tianying Jiuzhou may sub-license such trademarks to China Mobile, pursuant to the China Mobile Cooperation Agreement, as described below. Tianying Jiuzhou is obligated to pay Phoenix Satellite Television Trademark Limited an annual license fee of US$7,000, while Yifeng Lianhe is obligated to pay Phoenix Satellite Television Trademark Limited an annual license fee of US$3,000, under the respective Trademark License Agreement. Phoenix Satellite Television Trademark Limited may in its discretion waive such license fees. The Trademark License Agreements may be terminated early (i) by agreement of both parties in writing or (ii) by the non-breaching party in the event of a substantial breach by the other party of any covenant or a failure by such party to substantially perform any of its obligation and if the breach or failure, as applicable, is not rectified within ten days of receipt of written of written notice from the non-breaching party. Pursuant to the Third Supplemental Agreement to the Trademark License Agreements by and among Phoenix Satellite Television Trademark Limited and both Tianying Jiuzhou and Yifeng Lianhe, the Trademark License Agreements were extended until the earlier of (x) two months after the effective date of Phoenix TV Group’s trademark licensing policy and (y) such time as we and Phoenix Satellite Television Trademark Limited enter into new trademark license agreements in accordance with Phoenix TV’s trademark licensing policy.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Cooperation Agreement with China Mobile Communication Corporation</w:t>
      </w:r>
    </w:p>
    <w:p>
      <w:pPr>
        <w:spacing w:after="0" w:line="229" w:lineRule="exact"/>
        <w:rPr>
          <w:sz w:val="20"/>
          <w:szCs w:val="20"/>
          <w:color w:val="auto"/>
        </w:rPr>
      </w:pPr>
    </w:p>
    <w:p>
      <w:pPr>
        <w:ind w:right="120" w:firstLine="441"/>
        <w:spacing w:after="0" w:line="255" w:lineRule="auto"/>
        <w:rPr>
          <w:sz w:val="20"/>
          <w:szCs w:val="20"/>
          <w:color w:val="auto"/>
        </w:rPr>
      </w:pPr>
      <w:r>
        <w:rPr>
          <w:rFonts w:ascii="Times New Roman" w:cs="Times New Roman" w:eastAsia="Times New Roman" w:hAnsi="Times New Roman"/>
          <w:sz w:val="18"/>
          <w:szCs w:val="18"/>
          <w:color w:val="auto"/>
        </w:rPr>
        <w:t>China Mobile Communication Corporation, or China Mobile, is a shareholder of our parent company, Phoenix TV. As of March 31, 2017, China Mobile held 19.7% of the outstanding shares of Phoenix TV. In each of 2014, 2015 and 2016, Tianying Jiuzhou entered into a cooperation agreement with China Mobile, together, the China Mobile Cooperation Agreements. Pursuant to the China Mobile Cooperation Agreements, Tianying Jiuzhou agreed to produce certain MMS content exclusively for China Mobile to be used in China Mobile’s mobile newspaper service offerings and provide other media and content resource to China Mobile, and China Mobile agreed to pay fees of RMB40.0 million, RMB19.8 million and RMB14.9 million (US$2.1 million) for such content purchased by China Mobile during the period covering 2014 to 2016. Tianying Jiuzhou has also granted to China Mobile non-exclusive sub-licenses under the China Mobile Cooperation Agreements to use certain trademarks of Phoenix TV in China, and has agreed to co-host certain offline events with China Mobile free of charge.</w:t>
      </w:r>
    </w:p>
    <w:p>
      <w:pPr>
        <w:spacing w:after="0" w:line="185" w:lineRule="exact"/>
        <w:rPr>
          <w:sz w:val="20"/>
          <w:szCs w:val="20"/>
          <w:color w:val="auto"/>
        </w:rPr>
      </w:pPr>
    </w:p>
    <w:p>
      <w:pPr>
        <w:ind w:right="20" w:firstLine="495"/>
        <w:spacing w:after="0" w:line="258" w:lineRule="auto"/>
        <w:rPr>
          <w:sz w:val="20"/>
          <w:szCs w:val="20"/>
          <w:color w:val="auto"/>
        </w:rPr>
      </w:pPr>
      <w:r>
        <w:rPr>
          <w:rFonts w:ascii="Times New Roman" w:cs="Times New Roman" w:eastAsia="Times New Roman" w:hAnsi="Times New Roman"/>
          <w:sz w:val="18"/>
          <w:szCs w:val="18"/>
          <w:color w:val="auto"/>
        </w:rPr>
        <w:t>We obtained revenues for our paid services through China Mobile of RMB290.8 million, RMB273.5 million and RMB122.7 million (US$17.7 million) in 2014, 2015 and 2016, respectively. We earned revenues from China Mobile for advertising services of RMB29.6 million, RMB35.8 million and RMB32.0 million (US$4.6 million) in 2014, 2015 and 2016, respectively. We incurred revenue sharing and bandwidth costs in connection with MVAS provided through China Mobile’s platform in the amounts of RMB41.8 million, RMB44.4 million and RMB20.9 million (US$3.0 million) in 2014, 2015 and 2016, respectively.</w:t>
      </w:r>
    </w:p>
    <w:p>
      <w:pPr>
        <w:spacing w:after="0" w:line="184" w:lineRule="exact"/>
        <w:rPr>
          <w:sz w:val="20"/>
          <w:szCs w:val="20"/>
          <w:color w:val="auto"/>
        </w:rPr>
      </w:pPr>
    </w:p>
    <w:p>
      <w:pPr>
        <w:jc w:val="both"/>
        <w:ind w:right="560" w:firstLine="441"/>
        <w:spacing w:after="0" w:line="266" w:lineRule="auto"/>
        <w:rPr>
          <w:sz w:val="20"/>
          <w:szCs w:val="20"/>
          <w:color w:val="auto"/>
        </w:rPr>
      </w:pPr>
      <w:r>
        <w:rPr>
          <w:rFonts w:ascii="Times New Roman" w:cs="Times New Roman" w:eastAsia="Times New Roman" w:hAnsi="Times New Roman"/>
          <w:sz w:val="18"/>
          <w:szCs w:val="18"/>
          <w:color w:val="auto"/>
        </w:rPr>
        <w:t>As of December 31, 2014, 2015 and 2016, we had accounts due from China Mobile in the amounts of RMB74.3 million, RMB58.3 million and RMB48.8 million (US$7.0 million), respectively, and accounts due to China Mobile in the amounts of RMB0.6 million, RMB1.8 million and RMB0.2 million (US$0.04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Cooperation Agreement and License Agreement with Lilita</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September 2014, Tianying Jiuzhou entered into a brand authorization cooperation agreement with Lilita, or the Lilita Cooperation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which, Tianying Jiuzhou granted Lilita an exclusive right to use its brand resources, including operating on the platform of jr.ifeng.com,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 of conducting P2P lending and reward-based crowd-funding businesses. Lilita is obligated to pay Tianying Jiuzhou an annual license fee of RMB3.0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for using its brand resources under the Lilita Cooperation Agreement. In December 2014, Tianying Jiuzhou and Lilita further entered into a platform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 agreement, pursuant to which Lilita was granted an exclusive right to conduct P2P lending and reward-based crowd-funding businesses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platforms of www.ifeng.com, 3g.ifeng.com and v.ifeng.com for a term of three years. Lilita is obligated to pay Tianying Jiuzhou an annual license fee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RMB0.17 million for the first two years and RMB0.16 million for the third year for conducting businesses on the licensed platforms. In December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Tianying Jiuzhou and Lilita further entered into an advertisement cooperation framework agreement, or the Lilita Framework Agreement, pursuant to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Lilita agreed to place, and Tianying Jiuzhou agreed to launch, internet advertisements provided by Lilita from time to time on the websites and mobile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applications operated by Tianying Jiuzhou. The Lilita Framework Agreement amended the Lilita Cooperation Agreement by enlarging the scope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services to be provided by Tianying Jiuzhou to Lilita, by increasing the annual revenue cap for the calendar year ended December 31, 2015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HK$17.5 million, by increasing the annual revenue cap for the calendar year ended December 31, 2016 to HK$38.0 million, and by setting the annual revenue</w:t>
      </w:r>
    </w:p>
    <w:p>
      <w:pPr>
        <w:sectPr>
          <w:pgSz w:w="11900" w:h="16838" w:orient="portrait"/>
          <w:cols w:equalWidth="0" w:num="1">
            <w:col w:w="11420"/>
          </w:cols>
          <w:pgMar w:left="240" w:top="121" w:right="239" w:bottom="0" w:gutter="0" w:footer="0" w:header="0"/>
        </w:sectPr>
      </w:pPr>
    </w:p>
    <w:bookmarkStart w:id="83" w:name="page84"/>
    <w:bookmarkEnd w:id="83"/>
    <w:p>
      <w:pPr>
        <w:ind w:right="120"/>
        <w:spacing w:after="0" w:line="261" w:lineRule="auto"/>
        <w:rPr>
          <w:sz w:val="20"/>
          <w:szCs w:val="20"/>
          <w:color w:val="auto"/>
        </w:rPr>
      </w:pPr>
      <w:r>
        <w:rPr>
          <w:rFonts w:ascii="Times New Roman" w:cs="Times New Roman" w:eastAsia="Times New Roman" w:hAnsi="Times New Roman"/>
          <w:sz w:val="18"/>
          <w:szCs w:val="18"/>
          <w:color w:val="auto"/>
        </w:rPr>
        <w:t>cap for the calendar year ending December 31, 2017 at HK$57.0 million. As Lilita subsequently advised Tianying Jiuzhou that its business growth exceeded its expectations in 2016 and the existing annual revenue caps would no longer meet its business needs, Tianying Jiuzhou entered into a supplemental agreement with Lilita in May 2016 in order to increase the annual revenue caps set forth in the Lilita Framework Agreement to RMB49.0 million and RMB80.0 million for the calendar years ended December 31, 2016 and 2017, respectively.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Loans and Loans Provided to Particle</w:t>
      </w:r>
    </w:p>
    <w:p>
      <w:pPr>
        <w:spacing w:after="0" w:line="229"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color w:val="auto"/>
        </w:rPr>
        <w:t>In January and April 2016, we granted two unsecured short-term convertible loans to Particle with an aggregate principal amount of US$20.0 million, and we converted the principal amounts of these loans and all accrued interests with a total amount of US$20.7 million into Series D1 convertible redeemable preferred shares of Particle in December 2016. In August 2016, we granted an unsecured short-term loan to Particle with a principal amount of US$14.8 million at an interest rate of 4.35% per annum and with an initial term of six months, which was subsequently extended to twelve months. In December 2016, Particle agreed to grant us the right to convert, at our option, all or a portion of the principal amount of the loan granted to Particle in August 2016 (plus interests incurred as of the conversion) into Series D1 convertible redeemable preferred shares to be issued by Particle at a conversion price of US$1.071803 per share at any time prior to August 9, 2017. In November 2016, we granted an unsecured short-term loan to Particle in the principal amount of approximately US$6.8 million at an interest rate of 9% per annum and with an initial term of six months, which was subsequently extended to twelve months. In January 2017, we granted an unsecured short-term loan to Particle in the principal amount of RMB74.0 million at an interest rate of 9% per annum and with an initial term of twelve months. Particle is required to use the proceeds of the loans for its working capital requirements in the ordinary course of its business. Particle informed us that it intends to use the proceeds of these loans mainly for market promotion and expansion of its user base.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and Advances Provided to Phoenix FM</w:t>
      </w:r>
    </w:p>
    <w:p>
      <w:pPr>
        <w:spacing w:after="0" w:line="229"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We have provided financial support to Phoenix FM in the form of unsecured short-term loans and financial advanced expenses. Phoenix FM was our subsidiary in 2013 and became our affiliate in 2014. As of December 31, 2014 and 2015, the outstanding balance of our loans and financial advanced expenses to Phoenix FM was RMB7.1 million and RMB15.2 million, respectively. In 2016, Phoenix FM repaid certain of the financial advanced expenses and loans with a total amount of RMB7.2 million (US$1.0 million). As of the date of this annual report, the outstanding amount of our loans to Phoenix FM is RMB8.0 million (US$1.2 million) which had been fully impaired as of December 31, 2016. We charged interest on all of our loans to Phoenix FM at the bank loan benchmark interest rate effective in China during the life of the loans.</w:t>
      </w:r>
    </w:p>
    <w:p>
      <w:pPr>
        <w:spacing w:after="0" w:line="188" w:lineRule="exact"/>
        <w:rPr>
          <w:sz w:val="20"/>
          <w:szCs w:val="20"/>
          <w:color w:val="auto"/>
        </w:rPr>
      </w:pPr>
    </w:p>
    <w:p>
      <w:pPr>
        <w:ind w:right="160" w:firstLine="450"/>
        <w:spacing w:after="0" w:line="258" w:lineRule="auto"/>
        <w:rPr>
          <w:sz w:val="20"/>
          <w:szCs w:val="20"/>
          <w:color w:val="auto"/>
        </w:rPr>
      </w:pPr>
      <w:r>
        <w:rPr>
          <w:rFonts w:ascii="Times New Roman" w:cs="Times New Roman" w:eastAsia="Times New Roman" w:hAnsi="Times New Roman"/>
          <w:sz w:val="18"/>
          <w:szCs w:val="18"/>
          <w:color w:val="auto"/>
        </w:rPr>
        <w:t>Our loans to Phoenix FM are unsecured and do not have any priority over Phoenix FM’s other debts. Therefore, if Phoenix FM becomes unable to repay all of its debts, we will be competing with Phoenix FM’s other unsecured creditors for its remaining assets. In particular, Mr. Ya Li, a director and the co-president of our company and the chairman of Phoenix FM, granted loans in the amount of RMB10.8 million and RMB10.0 million to Phoenix FM in 2015 and 2016, respectively, which ranks pari passu with our loans. Mr. Ya Li informed us that he granted the loans for his personal investment purpose and used his personal funds for the loan.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Advertisement Agreement with Tianbo</w:t>
      </w:r>
    </w:p>
    <w:p>
      <w:pPr>
        <w:spacing w:after="0" w:line="229" w:lineRule="exact"/>
        <w:rPr>
          <w:sz w:val="20"/>
          <w:szCs w:val="20"/>
          <w:color w:val="auto"/>
        </w:rPr>
      </w:pPr>
    </w:p>
    <w:p>
      <w:pPr>
        <w:ind w:right="320" w:firstLine="450"/>
        <w:spacing w:after="0" w:line="261" w:lineRule="auto"/>
        <w:rPr>
          <w:sz w:val="20"/>
          <w:szCs w:val="20"/>
          <w:color w:val="auto"/>
        </w:rPr>
      </w:pPr>
      <w:r>
        <w:rPr>
          <w:rFonts w:ascii="Times New Roman" w:cs="Times New Roman" w:eastAsia="Times New Roman" w:hAnsi="Times New Roman"/>
          <w:sz w:val="18"/>
          <w:szCs w:val="18"/>
          <w:color w:val="auto"/>
        </w:rPr>
        <w:t>In 2013, Tianying Jiuzhou and Tianbo entered into an Agreement on Operation and Advertisement Agency for Real Estate Channel and an Advertisement Source Purchase Agreement, pursuant to which, Tianying Jiuzhou granted Tianbo the exclusive right to operate our real estate channel (house.ifeng.com) and act as the exclusive agent for placement of real estate advertisements on ifeng.com ( ). As of December 31, 2015 and 2016, the amount due from Tianbo was RMB22.1 million and RMB16.0 million (US$2.3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Transactions with Certain Directors and Affiliates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 of Directors, Supervisors and Executive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229" w:lineRule="exact"/>
        <w:rPr>
          <w:sz w:val="20"/>
          <w:szCs w:val="20"/>
          <w:color w:val="auto"/>
        </w:rPr>
      </w:pPr>
    </w:p>
    <w:p>
      <w:pPr>
        <w:ind w:right="280" w:firstLine="441"/>
        <w:spacing w:after="0" w:line="282" w:lineRule="auto"/>
        <w:rPr>
          <w:sz w:val="20"/>
          <w:szCs w:val="20"/>
          <w:color w:val="auto"/>
        </w:rPr>
      </w:pPr>
      <w:r>
        <w:rPr>
          <w:rFonts w:ascii="Times New Roman" w:cs="Times New Roman" w:eastAsia="Times New Roman" w:hAnsi="Times New Roman"/>
          <w:sz w:val="18"/>
          <w:szCs w:val="18"/>
          <w:color w:val="auto"/>
        </w:rPr>
        <w:t>See “Item 6. Directors, Senior Management and Employees—B. Compensation of Directors, Supervisors and Executive Directors—Share Incentive Plans.”</w:t>
      </w:r>
    </w:p>
    <w:p>
      <w:pPr>
        <w:spacing w:after="0" w:line="158" w:lineRule="exact"/>
        <w:rPr>
          <w:sz w:val="20"/>
          <w:szCs w:val="20"/>
          <w:color w:val="auto"/>
        </w:rPr>
      </w:pPr>
    </w:p>
    <w:p>
      <w:pPr>
        <w:ind w:left="1320" w:hanging="1312"/>
        <w:spacing w:after="0"/>
        <w:tabs>
          <w:tab w:leader="none" w:pos="132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Interests of Experts and Counsel</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25" w:lineRule="exact"/>
        <w:rPr>
          <w:sz w:val="20"/>
          <w:szCs w:val="20"/>
          <w:color w:val="auto"/>
        </w:rPr>
      </w:pPr>
    </w:p>
    <w:p>
      <w:pPr>
        <w:ind w:left="1320" w:hanging="1312"/>
        <w:spacing w:after="0"/>
        <w:tabs>
          <w:tab w:leader="none" w:pos="132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and Other Financial Information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Please refer to Item 18 for a list of our annual consolidated financial statements filed as part of this annual report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“Item 4. Information on the Company—B. Business Overview—Legal and Administrative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 and Distributions</w:t>
      </w:r>
    </w:p>
    <w:p>
      <w:pPr>
        <w:sectPr>
          <w:pgSz w:w="11900" w:h="16838" w:orient="portrait"/>
          <w:cols w:equalWidth="0" w:num="1">
            <w:col w:w="11400"/>
          </w:cols>
          <w:pgMar w:left="240" w:top="121" w:right="259" w:bottom="0" w:gutter="0" w:footer="0" w:header="0"/>
        </w:sectPr>
      </w:pPr>
    </w:p>
    <w:bookmarkStart w:id="84" w:name="page85"/>
    <w:bookmarkEnd w:id="84"/>
    <w:p>
      <w:pPr>
        <w:spacing w:after="0" w:line="5" w:lineRule="exact"/>
        <w:rPr>
          <w:sz w:val="20"/>
          <w:szCs w:val="20"/>
          <w:color w:val="auto"/>
        </w:rPr>
      </w:pPr>
    </w:p>
    <w:p>
      <w:pPr>
        <w:ind w:right="160" w:firstLine="441"/>
        <w:spacing w:after="0" w:line="266" w:lineRule="auto"/>
        <w:rPr>
          <w:sz w:val="20"/>
          <w:szCs w:val="20"/>
          <w:color w:val="auto"/>
        </w:rPr>
      </w:pPr>
      <w:r>
        <w:rPr>
          <w:rFonts w:ascii="Times New Roman" w:cs="Times New Roman" w:eastAsia="Times New Roman" w:hAnsi="Times New Roman"/>
          <w:sz w:val="18"/>
          <w:szCs w:val="18"/>
          <w:color w:val="auto"/>
        </w:rPr>
        <w:t>Our board of directors has complete discretion as to whether to distribute dividends. Even if our board of directors decides to pay dividends, the form, frequency and amount will depend upon our future operations and earnings, capital requirements and surplus, general financial condition, contractual restrictions and other factors that our board of directors may deem relevant.</w:t>
      </w:r>
    </w:p>
    <w:p>
      <w:pPr>
        <w:spacing w:after="0" w:line="176"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We have not paid in the past and do not have any present plan to declare and pay any dividends on our ordinary shares or ADSs in the near future. We currently intend to retain most, if not all, of our available funds and any future earnings to operate and expand our business.</w:t>
      </w:r>
    </w:p>
    <w:p>
      <w:pPr>
        <w:spacing w:after="0" w:line="162"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We may rely on dividends from our subsidiaries in China, which in turn relies on the payments received from our affiliated consolidated entities in China pursuant to the contractual arrangements that established our corporate structure. Current PRC laws, rules and regulations permit our PRC subsidiaries to pay dividends to us only out of its accumulated profits, if any, determined in accordance with PRC accounting standards and regulations. In addition, our subsidiaries in China are required to set aside a certain amount of their accumulated after-tax profits each year to fund statutory reserves. These reserves may not be distributed as cash dividends. Further, if our subsidiaries in China incur debt on its own behalf, the instruments governing the debt may restrict its ability to pay dividends or make other payments to us.</w:t>
      </w:r>
    </w:p>
    <w:p>
      <w:pPr>
        <w:spacing w:after="0" w:line="188"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If we pay any dividends, we will pay our ADS holders to the same extent as holders of our Class A ordinary shares, subject to the terms of the deposit agreement, including the fees and expenses payable thereunder. Cash dividends on our ordinary shares, if any, will be paid in U.S. dollars.</w:t>
      </w:r>
    </w:p>
    <w:p>
      <w:pPr>
        <w:spacing w:after="0" w:line="158" w:lineRule="exact"/>
        <w:rPr>
          <w:sz w:val="20"/>
          <w:szCs w:val="20"/>
          <w:color w:val="auto"/>
        </w:rPr>
      </w:pPr>
    </w:p>
    <w:p>
      <w:pPr>
        <w:ind w:left="1300" w:hanging="1292"/>
        <w:spacing w:after="0"/>
        <w:tabs>
          <w:tab w:leader="none" w:pos="130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Changes</w:t>
      </w:r>
    </w:p>
    <w:p>
      <w:pPr>
        <w:spacing w:after="0" w:line="22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We have not experienced any significant changes since the date of our audited consolidated financial statements included in this annual report.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THE OFFER AND LISTING</w:t>
      </w:r>
    </w:p>
    <w:p>
      <w:pPr>
        <w:spacing w:after="0" w:line="229"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Our ADSs, each representing eight of Class A ordinary shares, have been listed on the New York Stock Exchange since May 12, 2011 under the symbol “FENG.” The table below shows, for the periods indicated, the high and low market prices on the New York Stock Exchange for our ADSs.</w:t>
      </w:r>
    </w:p>
    <w:p>
      <w:pPr>
        <w:spacing w:after="0" w:line="155"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4"/>
          <w:szCs w:val="14"/>
          <w:b w:val="1"/>
          <w:bCs w:val="1"/>
          <w:color w:val="auto"/>
        </w:rPr>
        <w:t>Market Price for Each ADS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30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center"/>
              <w:ind w:left="408"/>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4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900" w:type="dxa"/>
            <w:vAlign w:val="bottom"/>
          </w:tcPr>
          <w:p>
            <w:pPr>
              <w:jc w:val="center"/>
              <w:ind w:left="40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r>
      <w:tr>
        <w:trPr>
          <w:trHeight w:val="216"/>
        </w:trPr>
        <w:tc>
          <w:tcPr>
            <w:tcW w:w="9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Annual highs and lows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7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13.58</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7.42</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7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9.90</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7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5.98</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w:t>
            </w:r>
          </w:p>
        </w:tc>
      </w:tr>
      <w:tr>
        <w:trPr>
          <w:trHeight w:val="216"/>
        </w:trPr>
        <w:tc>
          <w:tcPr>
            <w:tcW w:w="9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Quarterly highs and lows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Second quarter 2014</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11.40</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8.71</w:t>
            </w:r>
          </w:p>
        </w:tc>
      </w:tr>
      <w:tr>
        <w:trPr>
          <w:trHeight w:val="216"/>
        </w:trPr>
        <w:tc>
          <w:tcPr>
            <w:tcW w:w="9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2014</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11.31</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9.30</w:t>
            </w:r>
          </w:p>
        </w:tc>
      </w:tr>
      <w:tr>
        <w:trPr>
          <w:trHeight w:val="216"/>
        </w:trPr>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Fourth quarter 2014</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10.46</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7.42</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First quarter 2015</w:t>
            </w:r>
          </w:p>
        </w:tc>
        <w:tc>
          <w:tcPr>
            <w:tcW w:w="7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8.67</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w:t>
            </w:r>
          </w:p>
        </w:tc>
      </w:tr>
      <w:tr>
        <w:trPr>
          <w:trHeight w:val="216"/>
        </w:trPr>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Second quarter 2015</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9.90</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w:t>
            </w:r>
          </w:p>
        </w:tc>
      </w:tr>
      <w:tr>
        <w:trPr>
          <w:trHeight w:val="216"/>
        </w:trPr>
        <w:tc>
          <w:tcPr>
            <w:tcW w:w="9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2015</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8.06</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w:t>
            </w:r>
          </w:p>
        </w:tc>
      </w:tr>
      <w:tr>
        <w:trPr>
          <w:trHeight w:val="216"/>
        </w:trPr>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Fourth quarter 2015</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6.19</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First quarter 2016</w:t>
            </w:r>
          </w:p>
        </w:tc>
        <w:tc>
          <w:tcPr>
            <w:tcW w:w="7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5.98</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w:t>
            </w:r>
          </w:p>
        </w:tc>
      </w:tr>
      <w:tr>
        <w:trPr>
          <w:trHeight w:val="216"/>
        </w:trPr>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Second quarter 2016</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4.56</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w:t>
            </w:r>
          </w:p>
        </w:tc>
      </w:tr>
      <w:tr>
        <w:trPr>
          <w:trHeight w:val="216"/>
        </w:trPr>
        <w:tc>
          <w:tcPr>
            <w:tcW w:w="9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2016</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4.05</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r>
      <w:tr>
        <w:trPr>
          <w:trHeight w:val="216"/>
        </w:trPr>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Fourth quarter 2016</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3.99</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First quarter 2017</w:t>
            </w:r>
          </w:p>
        </w:tc>
        <w:tc>
          <w:tcPr>
            <w:tcW w:w="7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4.30</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r>
      <w:tr>
        <w:trPr>
          <w:trHeight w:val="216"/>
        </w:trPr>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Second quarter 2017 (through April 21, 2017)</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3.68</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r>
      <w:tr>
        <w:trPr>
          <w:trHeight w:val="216"/>
        </w:trPr>
        <w:tc>
          <w:tcPr>
            <w:tcW w:w="9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Monthly highs and lows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October 2016</w:t>
            </w:r>
          </w:p>
        </w:tc>
        <w:tc>
          <w:tcPr>
            <w:tcW w:w="7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3.90</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2016</w:t>
            </w:r>
          </w:p>
        </w:tc>
        <w:tc>
          <w:tcPr>
            <w:tcW w:w="7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3.99</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December 2016</w:t>
            </w:r>
          </w:p>
        </w:tc>
        <w:tc>
          <w:tcPr>
            <w:tcW w:w="7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3.92</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2017</w:t>
            </w:r>
          </w:p>
        </w:tc>
        <w:tc>
          <w:tcPr>
            <w:tcW w:w="7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3.86</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February 2017</w:t>
            </w:r>
          </w:p>
        </w:tc>
        <w:tc>
          <w:tcPr>
            <w:tcW w:w="7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4.30</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2017</w:t>
            </w:r>
          </w:p>
        </w:tc>
        <w:tc>
          <w:tcPr>
            <w:tcW w:w="7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3.90</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w:t>
            </w:r>
          </w:p>
        </w:tc>
      </w:tr>
      <w:tr>
        <w:trPr>
          <w:trHeight w:val="234"/>
        </w:trPr>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 2017 (through April 21, 2016)</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3.68</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of Distribution</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320" w:hanging="1312"/>
        <w:spacing w:after="0"/>
        <w:tabs>
          <w:tab w:leader="none" w:pos="132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229"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Our ADSs, each representing eight of our ordinary shares, have been trading on the New York Stock Exchange since May 12, 2011 under the symbol “FENG.”</w:t>
      </w:r>
    </w:p>
    <w:p>
      <w:pPr>
        <w:spacing w:after="0" w:line="158" w:lineRule="exact"/>
        <w:rPr>
          <w:sz w:val="20"/>
          <w:szCs w:val="20"/>
          <w:color w:val="auto"/>
        </w:rPr>
      </w:pPr>
    </w:p>
    <w:p>
      <w:pPr>
        <w:ind w:left="1320" w:hanging="1312"/>
        <w:spacing w:after="0"/>
        <w:tabs>
          <w:tab w:leader="none" w:pos="132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300" w:hanging="1292"/>
        <w:spacing w:after="0"/>
        <w:tabs>
          <w:tab w:leader="none" w:pos="130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43" w:orient="portrait"/>
          <w:cols w:equalWidth="0" w:num="1">
            <w:col w:w="11420"/>
          </w:cols>
          <w:pgMar w:left="240" w:top="121" w:right="239" w:bottom="0" w:gutter="0" w:footer="0" w:header="0"/>
        </w:sectPr>
      </w:pPr>
    </w:p>
    <w:bookmarkStart w:id="85" w:name="page86"/>
    <w:bookmarkEnd w:id="85"/>
    <w:p>
      <w:pPr>
        <w:spacing w:after="0" w:line="71" w:lineRule="exact"/>
        <w:rPr>
          <w:sz w:val="20"/>
          <w:szCs w:val="20"/>
          <w:color w:val="auto"/>
        </w:rPr>
      </w:pPr>
    </w:p>
    <w:p>
      <w:pPr>
        <w:ind w:left="1300" w:hanging="1292"/>
        <w:spacing w:after="0"/>
        <w:tabs>
          <w:tab w:leader="none" w:pos="130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of the Issue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ADDITIONAL INFORMATION</w:t>
      </w:r>
    </w:p>
    <w:p>
      <w:pPr>
        <w:spacing w:after="0" w:line="225" w:lineRule="exact"/>
        <w:rPr>
          <w:sz w:val="20"/>
          <w:szCs w:val="20"/>
          <w:color w:val="auto"/>
        </w:rPr>
      </w:pPr>
    </w:p>
    <w:p>
      <w:pPr>
        <w:ind w:left="1320" w:hanging="1312"/>
        <w:spacing w:after="0"/>
        <w:tabs>
          <w:tab w:leader="none" w:pos="132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300" w:hanging="1292"/>
        <w:spacing w:after="0"/>
        <w:tabs>
          <w:tab w:leader="none" w:pos="130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w:t>
      </w:r>
    </w:p>
    <w:p>
      <w:pPr>
        <w:spacing w:after="0" w:line="229"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We incorporate by reference into this annual report the description of our second amended and restated memorandum and articles of association contained in our Form F-1 registration statement (File No. 333-173666), as amended, initially filed with the Commission on April 21, 2011. Our shareholders adopted our second amended and restated memorandum and articles of association on April 21, 2011.</w:t>
      </w:r>
    </w:p>
    <w:p>
      <w:pPr>
        <w:spacing w:after="0" w:line="172" w:lineRule="exact"/>
        <w:rPr>
          <w:sz w:val="20"/>
          <w:szCs w:val="20"/>
          <w:color w:val="auto"/>
        </w:rPr>
      </w:pPr>
    </w:p>
    <w:p>
      <w:pPr>
        <w:ind w:left="1320" w:hanging="1312"/>
        <w:spacing w:after="0"/>
        <w:tabs>
          <w:tab w:leader="none" w:pos="132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Contracts</w:t>
      </w:r>
    </w:p>
    <w:p>
      <w:pPr>
        <w:spacing w:after="0" w:line="229"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In the past three fiscal years, we have not entered into any material contracts other than in the ordinary course of business or other than those described elsewhere in this annual report.</w:t>
      </w:r>
    </w:p>
    <w:p>
      <w:pPr>
        <w:spacing w:after="0" w:line="158" w:lineRule="exact"/>
        <w:rPr>
          <w:sz w:val="20"/>
          <w:szCs w:val="20"/>
          <w:color w:val="auto"/>
        </w:rPr>
      </w:pPr>
    </w:p>
    <w:p>
      <w:pPr>
        <w:ind w:left="1320" w:hanging="1312"/>
        <w:spacing w:after="0"/>
        <w:tabs>
          <w:tab w:leader="none" w:pos="132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Controls</w:t>
      </w:r>
    </w:p>
    <w:p>
      <w:pPr>
        <w:spacing w:after="0" w:line="229" w:lineRule="exact"/>
        <w:rPr>
          <w:sz w:val="20"/>
          <w:szCs w:val="20"/>
          <w:color w:val="auto"/>
        </w:rPr>
      </w:pPr>
    </w:p>
    <w:p>
      <w:pPr>
        <w:ind w:right="1140" w:firstLine="441"/>
        <w:spacing w:after="0" w:line="282" w:lineRule="auto"/>
        <w:rPr>
          <w:sz w:val="20"/>
          <w:szCs w:val="20"/>
          <w:color w:val="auto"/>
        </w:rPr>
      </w:pPr>
      <w:r>
        <w:rPr>
          <w:rFonts w:ascii="Times New Roman" w:cs="Times New Roman" w:eastAsia="Times New Roman" w:hAnsi="Times New Roman"/>
          <w:sz w:val="18"/>
          <w:szCs w:val="18"/>
          <w:color w:val="auto"/>
        </w:rPr>
        <w:t>See “Item 4. Information on the Company—B. Business Overview—Regulatory Matters—Regulation of Foreign Exchange Control and Administration.”</w:t>
      </w:r>
    </w:p>
    <w:p>
      <w:pPr>
        <w:spacing w:after="0" w:line="158" w:lineRule="exact"/>
        <w:rPr>
          <w:sz w:val="20"/>
          <w:szCs w:val="20"/>
          <w:color w:val="auto"/>
        </w:rPr>
      </w:pPr>
    </w:p>
    <w:p>
      <w:pPr>
        <w:jc w:val="right"/>
        <w:ind w:right="9420" w:firstLine="8"/>
        <w:spacing w:after="0" w:line="533" w:lineRule="auto"/>
        <w:tabs>
          <w:tab w:leader="none" w:pos="1299" w:val="left"/>
        </w:tabs>
        <w:numPr>
          <w:ilvl w:val="0"/>
          <w:numId w:val="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Taxation Cayman Islands Taxation</w:t>
      </w:r>
    </w:p>
    <w:p>
      <w:pPr>
        <w:ind w:right="340" w:firstLine="441"/>
        <w:spacing w:after="0" w:line="258" w:lineRule="auto"/>
        <w:rPr>
          <w:sz w:val="20"/>
          <w:szCs w:val="20"/>
          <w:color w:val="auto"/>
        </w:rPr>
      </w:pPr>
      <w:r>
        <w:rPr>
          <w:rFonts w:ascii="Times New Roman" w:cs="Times New Roman" w:eastAsia="Times New Roman" w:hAnsi="Times New Roman"/>
          <w:sz w:val="18"/>
          <w:szCs w:val="18"/>
          <w:color w:val="auto"/>
        </w:rPr>
        <w:t>Pursuant to section 6 of the Tax Concessions Law (1999 Revision) of the Cayman Islands, our company has obtained an undertaking from the Governor-in-Cabinet (1) that no law which is enacted in the Cayman Islands imposing any tax to be levied on profits, income, gains or appreciation shall apply to our company or its operations; and (2) that the aforesaid tax or any tax in the nature of estate duty or inheritance tax shall not be payable on or in respect of the shares, debentures or other obligations of our company. The undertaking for our company is for a period of twenty years from December 4, 2007.</w:t>
      </w:r>
    </w:p>
    <w:p>
      <w:pPr>
        <w:spacing w:after="0" w:line="184"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The Cayman Islands currently levy no taxes on individuals or corporations based upon profits, income, gains or appreciations and there is no taxation in the nature of inheritance tax or estate duty. There are no other taxes likely to be material to our company levied by the Government of the Cayman Islands save for certain stamp duties which may be applicable, from time to time, on certain instruments executed in or brought within the jurisdiction of the Cayman Islands. The Cayman Islands are a party to a double tax treaty entered into with the United Kingdom in 2010 but otherwise is not party to any double tax treaties.</w:t>
      </w:r>
    </w:p>
    <w:p>
      <w:pPr>
        <w:spacing w:after="0" w:line="184" w:lineRule="exact"/>
        <w:rPr>
          <w:sz w:val="20"/>
          <w:szCs w:val="20"/>
          <w:color w:val="auto"/>
        </w:rPr>
      </w:pPr>
    </w:p>
    <w:p>
      <w:pPr>
        <w:ind w:right="260" w:firstLine="441"/>
        <w:spacing w:after="0" w:line="282" w:lineRule="auto"/>
        <w:rPr>
          <w:sz w:val="20"/>
          <w:szCs w:val="20"/>
          <w:color w:val="auto"/>
        </w:rPr>
      </w:pPr>
      <w:r>
        <w:rPr>
          <w:rFonts w:ascii="Times New Roman" w:cs="Times New Roman" w:eastAsia="Times New Roman" w:hAnsi="Times New Roman"/>
          <w:sz w:val="18"/>
          <w:szCs w:val="18"/>
          <w:color w:val="auto"/>
        </w:rPr>
        <w:t>No stamp duty is payable in the Cayman Islands on transfers of shares of Cayman Islands companies except those which hold interests in land in the Cayman Islands.</w:t>
      </w:r>
    </w:p>
    <w:p>
      <w:pPr>
        <w:spacing w:after="0" w:line="162" w:lineRule="exact"/>
        <w:rPr>
          <w:sz w:val="20"/>
          <w:szCs w:val="20"/>
          <w:color w:val="auto"/>
        </w:rPr>
      </w:pPr>
    </w:p>
    <w:p>
      <w:pPr>
        <w:ind w:right="260" w:firstLine="441"/>
        <w:spacing w:after="0" w:line="266" w:lineRule="auto"/>
        <w:rPr>
          <w:sz w:val="20"/>
          <w:szCs w:val="20"/>
          <w:color w:val="auto"/>
        </w:rPr>
      </w:pPr>
      <w:r>
        <w:rPr>
          <w:rFonts w:ascii="Times New Roman" w:cs="Times New Roman" w:eastAsia="Times New Roman" w:hAnsi="Times New Roman"/>
          <w:sz w:val="18"/>
          <w:szCs w:val="18"/>
          <w:color w:val="auto"/>
        </w:rPr>
        <w:t>An exempted company shall make available at its registered office, in electronic form or any other medium, such register of members, including any branch register of members, as may be required of it upon service of an order or notice by the Tax Information Authority pursuant to the Tax Information Authority Law of the Cayman Islands.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People’s Republic of China Taxation</w:t>
      </w:r>
    </w:p>
    <w:p>
      <w:pPr>
        <w:spacing w:after="0" w:line="229"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The CIT Law provides that enterprises established outside of China whose “de facto management bodies” are located in China are considered “resident enterprises” of China. Under the implementation regulations for the CIT Law issued by the PRC State Council, “de facto management body” is defined as a body that has material and overall management and control over the manufacturing and business operations, personnel and human resources, finances and treasury, and acquisition and disposal of properties and other assets of an enterprise. Despite the present uncertainties as a result of limited guidance from PRC tax authorities on the issue, we do not believe that our legal entities organized outside of the PRC should be treated as residents under the CIT Law.</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Under the CIT Law and implementation regulations issued by the State Council, PRC withholding tax at the rate of 10% is applicable to dividends payable to investors that are “non-resident enterprises,” which do not have an establishment or place of business in the PRC, or which have such establishment or place of business but the relevant income is not effectively connected with the establishment or place of business, to the extent such dividends have their sources within the PRC. Similarly, any gain realized on the transfer of ADSs or shares by such investors is also subject to 10% PRC income tax if such gain is regarded as income derived from sources within the PRC. The implementation regulations of the CIT Law set forth that, (i) if the enterprise that distributes dividends is domiciled in the PRC, or (ii) if gains are realized from transferring equity interests of enterprises domiciled in the PRC, then such dividends or capital gains are treated as China-sourced income. It is not clear how “domicile” may be interpreted under the CIT Law, and it may be interpreted as the jurisdiction where the enterprise is a tax resident. Therefore, if we are considered a PRC “resident enterprise”, dividends we pay to our non-</w:t>
      </w:r>
    </w:p>
    <w:p>
      <w:pPr>
        <w:sectPr>
          <w:pgSz w:w="11900" w:h="16910" w:orient="portrait"/>
          <w:cols w:equalWidth="0" w:num="1">
            <w:col w:w="11400"/>
          </w:cols>
          <w:pgMar w:left="240" w:top="333" w:right="259" w:bottom="0" w:gutter="0" w:footer="0" w:header="0"/>
        </w:sectPr>
      </w:pPr>
    </w:p>
    <w:bookmarkStart w:id="86" w:name="page87"/>
    <w:bookmarkEnd w:id="86"/>
    <w:p>
      <w:pPr>
        <w:ind w:right="100"/>
        <w:spacing w:after="0" w:line="256" w:lineRule="auto"/>
        <w:rPr>
          <w:sz w:val="20"/>
          <w:szCs w:val="20"/>
          <w:color w:val="auto"/>
        </w:rPr>
      </w:pPr>
      <w:r>
        <w:rPr>
          <w:rFonts w:ascii="Times New Roman" w:cs="Times New Roman" w:eastAsia="Times New Roman" w:hAnsi="Times New Roman"/>
          <w:sz w:val="18"/>
          <w:szCs w:val="18"/>
          <w:color w:val="auto"/>
        </w:rPr>
        <w:t>PRC enterprise investors with respect to our Class A ordinary shares or ADSs, or the gain our non-PRC enterprise investors may realize from the transfer of our Class A ordinary shares or ADSs, may be treated as income derived from sources within the PRC and be subject to PRC tax. In addition, it is unclear whether our non-PRC individual investors would be subject to any PRC tax in the event we are deemed a “PRC resident enterprise”. If any PRC tax were to apply to such dividends or gains of non-PRC individual investors, it would generally apply at a tax rate of 20%. Furthermore, it is unclear whether, if we are considered a PRC “resident enterprise”, holders of our Class A ordinary shares or ADSs might be able to claim the benefit of income tax treaties entered into between China and other countries or regions.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w:t>
      </w:r>
    </w:p>
    <w:p>
      <w:pPr>
        <w:spacing w:after="0" w:line="229" w:lineRule="exact"/>
        <w:rPr>
          <w:sz w:val="20"/>
          <w:szCs w:val="20"/>
          <w:color w:val="auto"/>
        </w:rPr>
      </w:pPr>
    </w:p>
    <w:p>
      <w:pPr>
        <w:jc w:val="both"/>
        <w:ind w:right="180" w:firstLine="441"/>
        <w:spacing w:after="0" w:line="281" w:lineRule="auto"/>
        <w:rPr>
          <w:sz w:val="20"/>
          <w:szCs w:val="20"/>
          <w:color w:val="auto"/>
        </w:rPr>
      </w:pPr>
      <w:r>
        <w:rPr>
          <w:rFonts w:ascii="Times New Roman" w:cs="Times New Roman" w:eastAsia="Times New Roman" w:hAnsi="Times New Roman"/>
          <w:sz w:val="17"/>
          <w:szCs w:val="17"/>
          <w:color w:val="auto"/>
        </w:rPr>
        <w:t>The following summary describes material United States federal income tax consequences of the ownership and disposition of our ADSs and Class A ordinary shares as of the date hereof. The discussion is applicable only to United States Holders (as defined below) who hold our ADSs or Class A ordinary shares as capital assets (generally, property held for investment) under the United States Internal Revenue Code of 1986, as amended (the “Code”). As used herein, the term “United States Holder” means a beneficial owner of an ADS or ordinary share that is for United States federal income tax purposes:</w:t>
      </w:r>
    </w:p>
    <w:p>
      <w:pPr>
        <w:spacing w:after="0" w:line="165" w:lineRule="exact"/>
        <w:rPr>
          <w:sz w:val="20"/>
          <w:szCs w:val="20"/>
          <w:color w:val="auto"/>
        </w:rPr>
      </w:pPr>
    </w:p>
    <w:p>
      <w:pPr>
        <w:ind w:left="940" w:hanging="284"/>
        <w:spacing w:after="0"/>
        <w:tabs>
          <w:tab w:leader="none" w:pos="9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4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United States federal income tax purposes) created or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United States federal income taxation regardless of its source; or</w:t>
      </w:r>
    </w:p>
    <w:p>
      <w:pPr>
        <w:spacing w:after="0" w:line="22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4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176"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This summary does not purport to be a detailed description of the United States federal income tax consequences applicable to you if you are subject to special treatment under the United States federal income tax laws, such as:</w:t>
      </w:r>
    </w:p>
    <w:p>
      <w:pPr>
        <w:spacing w:after="0" w:line="162" w:lineRule="exact"/>
        <w:rPr>
          <w:sz w:val="20"/>
          <w:szCs w:val="20"/>
          <w:color w:val="auto"/>
        </w:rPr>
      </w:pPr>
    </w:p>
    <w:p>
      <w:pPr>
        <w:ind w:left="940" w:hanging="284"/>
        <w:spacing w:after="0"/>
        <w:tabs>
          <w:tab w:leader="none" w:pos="9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in securities or currencies;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real estate investment trust;</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organization;</w:t>
      </w:r>
    </w:p>
    <w:p>
      <w:pPr>
        <w:spacing w:after="0" w:line="225" w:lineRule="exact"/>
        <w:rPr>
          <w:rFonts w:ascii="Times New Roman" w:cs="Times New Roman" w:eastAsia="Times New Roman" w:hAnsi="Times New Roman"/>
          <w:sz w:val="18"/>
          <w:szCs w:val="18"/>
          <w:color w:val="auto"/>
        </w:rPr>
      </w:pPr>
    </w:p>
    <w:p>
      <w:pPr>
        <w:ind w:left="5580" w:hanging="4924"/>
        <w:spacing w:after="0" w:line="532" w:lineRule="auto"/>
        <w:tabs>
          <w:tab w:leader="none" w:pos="94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holding our ADSs or Class A ordinary shares as part of a hedging, integrated or conversion transaction, a constructive sale or a straddle; 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trader in securities that has elected the mark-to-market method of accounting for your securities;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liable for alternative minimum tax;</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owns or is deemed to own 10% or more of our voting stock;</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or other pass-through entity for United States federal income tax purposes; or</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“functional currency” is not the United States dollar.</w:t>
      </w:r>
    </w:p>
    <w:p>
      <w:pPr>
        <w:spacing w:after="0" w:line="225" w:lineRule="exact"/>
        <w:rPr>
          <w:sz w:val="20"/>
          <w:szCs w:val="20"/>
          <w:color w:val="auto"/>
        </w:rPr>
      </w:pPr>
    </w:p>
    <w:p>
      <w:pPr>
        <w:ind w:right="280" w:firstLine="441"/>
        <w:spacing w:after="0" w:line="261" w:lineRule="auto"/>
        <w:rPr>
          <w:sz w:val="20"/>
          <w:szCs w:val="20"/>
          <w:color w:val="auto"/>
        </w:rPr>
      </w:pPr>
      <w:r>
        <w:rPr>
          <w:rFonts w:ascii="Times New Roman" w:cs="Times New Roman" w:eastAsia="Times New Roman" w:hAnsi="Times New Roman"/>
          <w:sz w:val="18"/>
          <w:szCs w:val="18"/>
          <w:color w:val="auto"/>
        </w:rPr>
        <w:t>The discussion below is based upon the provisions of the Code and regulations, rulings and judicial decisions thereunder as of the date hereof. Such authorities may be replaced, revoked or modified so as to result in United States federal income tax consequences different from those discussed below. In addition, this summary is based, in part, upon representations made by the depositary to us and assumes that the deposit agreement, and all other related agreements, will be performed in accordance with their terms.</w:t>
      </w:r>
    </w:p>
    <w:p>
      <w:pPr>
        <w:spacing w:after="0" w:line="180" w:lineRule="exact"/>
        <w:rPr>
          <w:sz w:val="20"/>
          <w:szCs w:val="20"/>
          <w:color w:val="auto"/>
        </w:rPr>
      </w:pPr>
    </w:p>
    <w:p>
      <w:pPr>
        <w:ind w:right="180" w:firstLine="441"/>
        <w:spacing w:after="0" w:line="261" w:lineRule="auto"/>
        <w:rPr>
          <w:sz w:val="20"/>
          <w:szCs w:val="20"/>
          <w:color w:val="auto"/>
        </w:rPr>
      </w:pPr>
      <w:r>
        <w:rPr>
          <w:rFonts w:ascii="Times New Roman" w:cs="Times New Roman" w:eastAsia="Times New Roman" w:hAnsi="Times New Roman"/>
          <w:sz w:val="18"/>
          <w:szCs w:val="18"/>
          <w:color w:val="auto"/>
        </w:rPr>
        <w:t>This discussion does not consider the tax treatment of partnerships or other pass-through entities that hold our ADSs or Class A ordinary shares, or of persons who hold our ADSs or Class A ordinary shares through such entities. If a partnership holds ADSs or Class A ordinary shares, the tax treatment of a partner will generally depend upon the status of the partner and the activities of the partnership. If you are a partner of a partnership holding our ADSs or Class A ordinary shares, you should consult your tax advisors.</w:t>
      </w:r>
    </w:p>
    <w:p>
      <w:pPr>
        <w:spacing w:after="0" w:line="180" w:lineRule="exact"/>
        <w:rPr>
          <w:sz w:val="20"/>
          <w:szCs w:val="20"/>
          <w:color w:val="auto"/>
        </w:rPr>
      </w:pPr>
    </w:p>
    <w:p>
      <w:pPr>
        <w:ind w:right="620" w:firstLine="441"/>
        <w:spacing w:after="0" w:line="282" w:lineRule="auto"/>
        <w:rPr>
          <w:sz w:val="20"/>
          <w:szCs w:val="20"/>
          <w:color w:val="auto"/>
        </w:rPr>
      </w:pPr>
      <w:r>
        <w:rPr>
          <w:rFonts w:ascii="Times New Roman" w:cs="Times New Roman" w:eastAsia="Times New Roman" w:hAnsi="Times New Roman"/>
          <w:sz w:val="18"/>
          <w:szCs w:val="18"/>
          <w:color w:val="auto"/>
        </w:rPr>
        <w:t>This summary does not contain a detailed description of all the United States federal income tax consequences to you in light of your particular circumstances and does not address the effects of any state, local or non-United States tax laws.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400"/>
          </w:cols>
          <w:pgMar w:left="240" w:top="121" w:right="259" w:bottom="36" w:gutter="0" w:footer="0" w:header="0"/>
        </w:sectPr>
      </w:pPr>
    </w:p>
    <w:bookmarkStart w:id="87" w:name="page88"/>
    <w:bookmarkEnd w:id="87"/>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you are considering the purchase, ownership or disposition of our Class A ordinary shares or ADSs, you should consult your own tax advisors concerning the United States federal income tax consequences to you in light of your particular situation as well as any consequences arising under the laws of any other taxing jurisdiction.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ADSs</w:t>
      </w:r>
    </w:p>
    <w:p>
      <w:pPr>
        <w:spacing w:after="0" w:line="227"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If you hold ADSs, for United States federal income tax purposes, you generally will be treated as the owner of the underlying Class A ordinary shares that are represented by such ADSs. Accordingly, deposits or withdrawals of Class A ordinary shares for ADSs will not be subject to United States federal income tax.</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Dividends</w:t>
      </w:r>
    </w:p>
    <w:p>
      <w:pPr>
        <w:spacing w:after="0" w:line="227"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Subject to the rules discussed under “—Passive Foreign Investment Company” below, the gross amount of distributions with respect to our ADSs or Class A ordinary shares (including any amounts withheld to reflect PRC withholding taxes) will be taxable as dividends, to the extent paid out of our current or accumulated earnings and profits, as determined under United States federal income tax principles. Such income (including withheld taxes) will be includable in your gross income as dividend income on the day actually or constructively received by you, in the case of the Class A ordinary shares, or by the depositary, in the case of ADSs. Such dividends will not be eligible for the dividends received deduction allowed to corporations under the Code.</w:t>
      </w:r>
    </w:p>
    <w:p>
      <w:pPr>
        <w:spacing w:after="0" w:line="184" w:lineRule="exact"/>
        <w:rPr>
          <w:sz w:val="20"/>
          <w:szCs w:val="20"/>
          <w:color w:val="auto"/>
        </w:rPr>
      </w:pPr>
    </w:p>
    <w:p>
      <w:pPr>
        <w:ind w:right="20" w:firstLine="441"/>
        <w:spacing w:after="0" w:line="252" w:lineRule="auto"/>
        <w:rPr>
          <w:sz w:val="20"/>
          <w:szCs w:val="20"/>
          <w:color w:val="auto"/>
        </w:rPr>
      </w:pPr>
      <w:r>
        <w:rPr>
          <w:rFonts w:ascii="Times New Roman" w:cs="Times New Roman" w:eastAsia="Times New Roman" w:hAnsi="Times New Roman"/>
          <w:sz w:val="18"/>
          <w:szCs w:val="18"/>
          <w:color w:val="auto"/>
        </w:rPr>
        <w:t>With respect to non-corporate United States Holders, certain dividends received from a qualified foreign corporation may be subject to reduced rates of taxation. A non-United States corporation is treated as a qualified foreign corporation with respect to dividends paid by that corporation on shares (or ADSs backed by such shares) that are readily tradable on an established securities market in the United States. U.S. Treasury Department guidance indicates that our ADSs (but not our Class A ordinary shares), which are listed on the New York Stock Exchange, are readily tradable on an established securities market in the United States. Thus, we believe that dividends we pay on our Class A ordinary shares that are represented by ADSs, but not on our Class A ordinary shares that are not so represented, will meet such conditions required for the reduced tax rates. There can be no assurance that our ADSs will be considered readily tradable on an established securities market in later years. A qualified foreign corporation also includes a foreign corporation that is eligible for the benefits of certain income tax treaties with the United States. In the event that we are deemed to be a PRC “resident enterprise” under the PRC tax law (see discussion under “Item 10. Additional Information—E. Taxation—People’s Republic of China Taxation”), we may be eligible for the benefits of the income tax treaty between the United States and the PRC, and if we are eligible for such benefits, dividends we pay on our Class A ordinary shares, regardless of whether such shares are represented by ADSs, would be subject to the reduced rates of taxation. Non-corporate United States Holders that do not meet a minimum holding period requirement during which they are not protected from the risk of loss, or that elect to treat the dividend income as “investment income” pursuant to Section 163(d)(4) of the Code, will not be eligible for the reduced rates of taxation regardless of our status as a qualified foreign corporation. In addition, the rate reduction will not apply to dividends if the recipient of a dividend is obligated to make related payments with respect to positions in substantially similar or related property. This disallowance applies even if the minimum holding period has been met. Furthermore, non-corporate United States Holders will not be eligible for reduced rates of taxation on any dividends received from us if we are a PFIC (as discussed below under “—Passive Foreign Investment Company”) in the taxable year in which such dividends are paid or in the preceding taxable year (as we believe there is a substantial risk of in 2016). You should consult your own tax advisors regarding the application of these rules given your particular circumstances.</w:t>
      </w:r>
    </w:p>
    <w:p>
      <w:pPr>
        <w:spacing w:after="0" w:line="194"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In the event that we are deemed to be a PRC “resident enterprise” under the PRC tax law, you may be subject to PRC withholding taxes on dividends paid to you with respect to the ADSs or Class A ordinary shares. In that case, however, you may be able to obtain a reduced rate of PRC withholding taxes under the treaty between the United States and the PRC if certain requirements are met. In addition, subject to certain conditions and limitations, PRC withholding taxes on dividends, if any, may be treated as foreign taxes eligible for credit against your United States federal income tax liability. For purposes of calculating the foreign tax credit, dividends paid to you with respect to our ADSs or Class A ordinary shares will be treated as income from sources outside the United States and will generally constitute passive category income. Furthermore, in certain circumstances, if you have held our ADSs or Class A ordinary shares for less than a specified minimum period during which you are not protected from risk of loss, or are obligated to make payments related to the dividends, you will not be allowed a foreign tax credit for any PRC withholding taxes imposed on dividends paid on our ADSs or Class A ordinary shares. The rules governing the foreign tax credit are complex. You are urged to consult your tax advisors regarding the availability of the foreign tax credit under your particular circumstances.</w:t>
      </w:r>
    </w:p>
    <w:p>
      <w:pPr>
        <w:spacing w:after="0" w:line="186"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To the extent that the amount of the distribution exceeds our current and accumulated earnings and profits for a taxable year, as determined under United States federal income tax principles, the distribution will be treated first as a tax-free return of your tax basis in our ADSs or Class A ordinary shares held by you, and to the extent the amount of the distribution exceeds your tax basis, the excess will be taxed as capital gain recognized on a sale or exchange. We do not expect to keep earnings and profits in accordance with United States federal income tax principles. Therefore, you should expect that a distribution will generally be treated as a dividend (as discussed above).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Passive Foreign Investment Company</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general, we will be a PFIC for any taxable year in which:</w:t>
      </w:r>
    </w:p>
    <w:p>
      <w:pPr>
        <w:spacing w:after="0" w:line="225" w:lineRule="exact"/>
        <w:rPr>
          <w:sz w:val="20"/>
          <w:szCs w:val="20"/>
          <w:color w:val="auto"/>
        </w:rPr>
      </w:pPr>
    </w:p>
    <w:p>
      <w:pPr>
        <w:ind w:left="940" w:hanging="284"/>
        <w:spacing w:after="0"/>
        <w:tabs>
          <w:tab w:leader="none" w:pos="9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is passive income, or</w:t>
      </w:r>
    </w:p>
    <w:p>
      <w:pPr>
        <w:spacing w:after="0" w:line="225" w:lineRule="exact"/>
        <w:rPr>
          <w:rFonts w:ascii="Times New Roman" w:cs="Times New Roman" w:eastAsia="Times New Roman" w:hAnsi="Times New Roman"/>
          <w:sz w:val="18"/>
          <w:szCs w:val="18"/>
          <w:color w:val="auto"/>
        </w:rPr>
      </w:pPr>
    </w:p>
    <w:p>
      <w:pPr>
        <w:ind w:left="980" w:right="720" w:hanging="324"/>
        <w:spacing w:after="0" w:line="282" w:lineRule="auto"/>
        <w:tabs>
          <w:tab w:leader="none" w:pos="94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(determined based on a quarterly average) of our assets is attributable to assets that produce or are held for the production of passive income.</w:t>
      </w:r>
    </w:p>
    <w:p>
      <w:pPr>
        <w:spacing w:after="0" w:line="162"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For this purpose, passive income generally includes dividends, interest, royalties and rents (other than royalties and rents derived in the active conduct of a trade or business and not derived from a related person). If we own at least 25% (by value) of the stock of another corporation, we will be treated, for purposes of the PFIC tests, as owning our proportionate share of the other corporation’s assets and receiving our proportionate share of the other corporation’s income. However, it is not entirely clear how the contractual arrangements between us and our affiliated consolidated entities will be treated for purposes of the PFIC rules. If it is determined that we do not own the stock of the affiliated consolidated entities for United States federal income tax purposes (for instance, because the relevant PRC authorities do not respect these arrangements), we are more likely to be treated as a PFIC.</w:t>
      </w:r>
    </w:p>
    <w:p>
      <w:pPr>
        <w:sectPr>
          <w:pgSz w:w="11900" w:h="16838" w:orient="portrait"/>
          <w:cols w:equalWidth="0" w:num="1">
            <w:col w:w="11420"/>
          </w:cols>
          <w:pgMar w:left="240" w:top="117" w:right="239" w:bottom="66" w:gutter="0" w:footer="0" w:header="0"/>
        </w:sectPr>
      </w:pPr>
    </w:p>
    <w:bookmarkStart w:id="88" w:name="page89"/>
    <w:bookmarkEnd w:id="88"/>
    <w:p>
      <w:pPr>
        <w:spacing w:after="0" w:line="51" w:lineRule="exact"/>
        <w:rPr>
          <w:sz w:val="20"/>
          <w:szCs w:val="20"/>
          <w:color w:val="auto"/>
        </w:rPr>
      </w:pPr>
    </w:p>
    <w:p>
      <w:pPr>
        <w:ind w:right="100" w:firstLine="441"/>
        <w:spacing w:after="0" w:line="256" w:lineRule="auto"/>
        <w:rPr>
          <w:sz w:val="20"/>
          <w:szCs w:val="20"/>
          <w:color w:val="auto"/>
        </w:rPr>
      </w:pPr>
      <w:r>
        <w:rPr>
          <w:rFonts w:ascii="Times New Roman" w:cs="Times New Roman" w:eastAsia="Times New Roman" w:hAnsi="Times New Roman"/>
          <w:sz w:val="18"/>
          <w:szCs w:val="18"/>
          <w:color w:val="auto"/>
        </w:rPr>
        <w:t>Based on the projected composition of our income and assets, including goodwill, we believe there is a substantial risk that we will be classified as a PFIC for U.S. federal income tax purposes for 2016. The determination of whether we are a PFIC is made annually. Accordingly, it is possible that our status as a PFIC may change in any future taxable year due to changes in our asset or income composition. The determination of PFIC status is an annual analysis that involves ascertaining the fair market value of all of our assets on a quarterly basis and the character of each item of income we earn. Because this involves extensive factual investigation and cannot be completed until the close of a taxable year, our U.S. counsel expresses no opinion with respect to our PFIC status.</w:t>
      </w:r>
    </w:p>
    <w:p>
      <w:pPr>
        <w:spacing w:after="0" w:line="188" w:lineRule="exact"/>
        <w:rPr>
          <w:sz w:val="20"/>
          <w:szCs w:val="20"/>
          <w:color w:val="auto"/>
        </w:rPr>
      </w:pPr>
    </w:p>
    <w:p>
      <w:pPr>
        <w:ind w:right="200" w:firstLine="441"/>
        <w:spacing w:after="0" w:line="255" w:lineRule="auto"/>
        <w:rPr>
          <w:sz w:val="20"/>
          <w:szCs w:val="20"/>
          <w:color w:val="auto"/>
        </w:rPr>
      </w:pPr>
      <w:r>
        <w:rPr>
          <w:rFonts w:ascii="Times New Roman" w:cs="Times New Roman" w:eastAsia="Times New Roman" w:hAnsi="Times New Roman"/>
          <w:sz w:val="18"/>
          <w:szCs w:val="18"/>
          <w:color w:val="auto"/>
        </w:rPr>
        <w:t>If we are a PFIC for any taxable year during which you hold our ADSs or Class A ordinary shares, you will be subject to special tax rules discussed below for that year and for each subsequent year in which you hold the ADSs or Class A ordinary shares (even if we do not qualify as a PFIC in such subsequent years). However, if we cease to be a PFIC, you can avoid the continuing impact of the PFIC rules by making a special election (a “Purging Election”) to recognize gain in the manner described below as if your ADSs or Class A ordinary shares had been sold on the last day of the last taxable year during which we were a PFIC. In addition, a new holding period would be deemed to begin for your ADSs or Class A ordinary shares for purposes of the PFIC rules. After the Purging Election, your ADSs or Class A ordinary shares with respect to which the Purging Election was made will not be treated as shares in a PFIC unless we subsequently become a PFIC. You are urged to consult your own tax advisor about the availability of this election, and whether making the election would be advisable in your particular circumstances.</w:t>
      </w:r>
    </w:p>
    <w:p>
      <w:pPr>
        <w:spacing w:after="0" w:line="185" w:lineRule="exact"/>
        <w:rPr>
          <w:sz w:val="20"/>
          <w:szCs w:val="20"/>
          <w:color w:val="auto"/>
        </w:rPr>
      </w:pPr>
    </w:p>
    <w:p>
      <w:pPr>
        <w:ind w:right="160" w:firstLine="441"/>
        <w:spacing w:after="0" w:line="281" w:lineRule="auto"/>
        <w:rPr>
          <w:sz w:val="20"/>
          <w:szCs w:val="20"/>
          <w:color w:val="auto"/>
        </w:rPr>
      </w:pPr>
      <w:r>
        <w:rPr>
          <w:rFonts w:ascii="Times New Roman" w:cs="Times New Roman" w:eastAsia="Times New Roman" w:hAnsi="Times New Roman"/>
          <w:sz w:val="17"/>
          <w:szCs w:val="17"/>
          <w:color w:val="auto"/>
        </w:rPr>
        <w:t>If we are a PFIC for any taxable year during which you hold our ADSs or Class A ordinary shares, you will be subject to special tax rules with respect to any “excess distribution” received and any gain realized from a sale or other disposition, including a pledge, of our ADSs or Class A ordinary shares. Distributions received in a taxable year that are greater than 125% of the average annual distributions received during the shorter of the three preceding taxable years or your holding period for our ADSs or Class A ordinary shares will be treated as excess distributions. Under these special tax rules:</w:t>
      </w:r>
    </w:p>
    <w:p>
      <w:pPr>
        <w:spacing w:after="0" w:line="165" w:lineRule="exact"/>
        <w:rPr>
          <w:sz w:val="20"/>
          <w:szCs w:val="20"/>
          <w:color w:val="auto"/>
        </w:rPr>
      </w:pPr>
    </w:p>
    <w:p>
      <w:pPr>
        <w:ind w:left="940" w:hanging="284"/>
        <w:spacing w:after="0"/>
        <w:tabs>
          <w:tab w:leader="none" w:pos="9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your holding period for our ADSs or Class A ordinary shares,</w:t>
      </w:r>
    </w:p>
    <w:p>
      <w:pPr>
        <w:spacing w:after="0" w:line="225"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4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 prior to the first taxable year in which we were a PFIC, will be treated as ordinary income, and</w:t>
      </w:r>
    </w:p>
    <w:p>
      <w:pPr>
        <w:spacing w:after="0" w:line="161"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4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other year will be subject to tax at the highest tax rate in effect for that year and the interest charge generally applicable to underpayments of tax will be imposed on the resulting tax attributable to each such year.</w:t>
      </w:r>
    </w:p>
    <w:p>
      <w:pPr>
        <w:spacing w:after="0" w:line="162" w:lineRule="exact"/>
        <w:rPr>
          <w:sz w:val="20"/>
          <w:szCs w:val="20"/>
          <w:color w:val="auto"/>
        </w:rPr>
      </w:pPr>
    </w:p>
    <w:p>
      <w:pPr>
        <w:ind w:right="100" w:firstLine="450"/>
        <w:spacing w:after="0" w:line="261" w:lineRule="auto"/>
        <w:rPr>
          <w:sz w:val="20"/>
          <w:szCs w:val="20"/>
          <w:color w:val="auto"/>
        </w:rPr>
      </w:pPr>
      <w:r>
        <w:rPr>
          <w:rFonts w:ascii="Times New Roman" w:cs="Times New Roman" w:eastAsia="Times New Roman" w:hAnsi="Times New Roman"/>
          <w:sz w:val="18"/>
          <w:szCs w:val="18"/>
          <w:color w:val="auto"/>
        </w:rPr>
        <w:t>In addition, non-corporate United States Holders will not be eligible for reduced rates of taxation on any dividends received from us (as described above under “—Taxation of Dividends”) if we are a PFIC in the taxable year in which such dividends are paid or in the preceding taxable year. You will generally be required to file Internal Revenue Service Form 8621 if you hold our ADSs or Class A ordinary shares in any year in which we are classified as a PFIC.</w:t>
      </w:r>
    </w:p>
    <w:p>
      <w:pPr>
        <w:spacing w:after="0" w:line="180" w:lineRule="exact"/>
        <w:rPr>
          <w:sz w:val="20"/>
          <w:szCs w:val="20"/>
          <w:color w:val="auto"/>
        </w:rPr>
      </w:pPr>
    </w:p>
    <w:p>
      <w:pPr>
        <w:ind w:right="80" w:firstLine="450"/>
        <w:spacing w:after="0" w:line="266" w:lineRule="auto"/>
        <w:rPr>
          <w:sz w:val="20"/>
          <w:szCs w:val="20"/>
          <w:color w:val="auto"/>
        </w:rPr>
      </w:pPr>
      <w:r>
        <w:rPr>
          <w:rFonts w:ascii="Times New Roman" w:cs="Times New Roman" w:eastAsia="Times New Roman" w:hAnsi="Times New Roman"/>
          <w:sz w:val="18"/>
          <w:szCs w:val="18"/>
          <w:color w:val="auto"/>
        </w:rPr>
        <w:t>If we are a PFIC for any taxable year during which you hold our ADSs or Class A ordinary shares and any of our non-United States subsidiaries is also a PFIC, a United States Holder would be treated as owning a proportionate amount (by value) of the shares of the lower-tier PFIC for purposes of the application of these rules. You are urged to consult your tax advisors about the application of the PFIC rules to any of our subsidiaries.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In certain circumstances, in lieu of being subject to the excess distribution rules discussed above, you may make an election to include gain on the stock of a PFIC as ordinary income under a mark-to-market method, provided that such stock is regularly traded on a qualified exchange. Under current law, the mark-to-market election may be available to holders of our ADSs because they are listed on the New York Stock Exchange, which constitutes a qualified exchange, although there can be no assurance that our ADSs will be “regularly traded” for purposes of the mark-to-market election. It should also be noted that only our ADSs and not our Class A ordinary shares are listed on the New York Stock Exchange. Consequently, if you are a holder of our Class A ordinary shares that are not represented by ADSs, you generally will not be eligible to make a mark-to-market election if we are a PFIC.</w:t>
      </w:r>
    </w:p>
    <w:p>
      <w:pPr>
        <w:spacing w:after="0" w:line="188" w:lineRule="exact"/>
        <w:rPr>
          <w:sz w:val="20"/>
          <w:szCs w:val="20"/>
          <w:color w:val="auto"/>
        </w:rPr>
      </w:pPr>
    </w:p>
    <w:p>
      <w:pPr>
        <w:ind w:right="180" w:firstLine="441"/>
        <w:spacing w:after="0" w:line="256" w:lineRule="auto"/>
        <w:rPr>
          <w:sz w:val="20"/>
          <w:szCs w:val="20"/>
          <w:color w:val="auto"/>
        </w:rPr>
      </w:pPr>
      <w:r>
        <w:rPr>
          <w:rFonts w:ascii="Times New Roman" w:cs="Times New Roman" w:eastAsia="Times New Roman" w:hAnsi="Times New Roman"/>
          <w:sz w:val="18"/>
          <w:szCs w:val="18"/>
          <w:color w:val="auto"/>
        </w:rPr>
        <w:t>If you make an effective mark-to-market election, you will include in each taxable year that we are a PFIC, as ordinary income, the excess of the fair market value of our ADSs held by you at the end of the year over your adjusted tax basis in our ADSs. You will be entitled to deduct as an ordinary loss in each such year the excess of your adjusted tax basis in our ADSs over their fair market value at the end of the year, but only to the extent of the net amount previously included in income as a result of the mark-to-market election. If you make an effective mark-to-market election, in each year that we are a PFIC, any gain you recognize upon the sale or other disposition of our ADSs will be treated as ordinary income and any loss will be treated as ordinary loss, but only to the extent of the net amount previously included in income as a result of the mark-to-market election.</w:t>
      </w:r>
    </w:p>
    <w:p>
      <w:pPr>
        <w:spacing w:after="0" w:line="188" w:lineRule="exact"/>
        <w:rPr>
          <w:sz w:val="20"/>
          <w:szCs w:val="20"/>
          <w:color w:val="auto"/>
        </w:rPr>
      </w:pPr>
    </w:p>
    <w:p>
      <w:pPr>
        <w:jc w:val="both"/>
        <w:ind w:right="60" w:firstLine="441"/>
        <w:spacing w:after="0" w:line="272" w:lineRule="auto"/>
        <w:rPr>
          <w:sz w:val="20"/>
          <w:szCs w:val="20"/>
          <w:color w:val="auto"/>
        </w:rPr>
      </w:pPr>
      <w:r>
        <w:rPr>
          <w:rFonts w:ascii="Times New Roman" w:cs="Times New Roman" w:eastAsia="Times New Roman" w:hAnsi="Times New Roman"/>
          <w:sz w:val="17"/>
          <w:szCs w:val="17"/>
          <w:color w:val="auto"/>
        </w:rPr>
        <w:t>Your adjusted tax basis in our ADSs will be increased by the amount of any income inclusion and decreased by the amount of any deductions under the mark-to-market rules. If you make a mark-to-market election it will be effective for the taxable year for which the election is made and all subsequent taxable years, unless our ADSs are no longer regularly traded on a qualified exchange or the Internal Revenue Service consents to the revocation of the election.</w:t>
      </w:r>
    </w:p>
    <w:p>
      <w:pPr>
        <w:spacing w:after="0" w:line="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Because a mark-to-market election cannot be made for any lower-tier PFICs that we may own, a United States Holder may continue to be subject to the PFIC rules with respect to such United States Holder’s indirect interest in any investments held by us that are treated as an equity interest in a PFIC for United States federal income tax purposes.</w:t>
      </w:r>
    </w:p>
    <w:p>
      <w:pPr>
        <w:spacing w:after="0" w:line="186" w:lineRule="exact"/>
        <w:rPr>
          <w:sz w:val="20"/>
          <w:szCs w:val="20"/>
          <w:color w:val="auto"/>
        </w:rPr>
      </w:pPr>
    </w:p>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You are urged to consult your tax advisor about the availability of the mark-to-market election, and whether making the election would be advisable in your particular circumstances.</w:t>
      </w:r>
    </w:p>
    <w:p>
      <w:pPr>
        <w:spacing w:after="0" w:line="162" w:lineRule="exact"/>
        <w:rPr>
          <w:sz w:val="20"/>
          <w:szCs w:val="20"/>
          <w:color w:val="auto"/>
        </w:rPr>
      </w:pPr>
    </w:p>
    <w:p>
      <w:pPr>
        <w:ind w:right="540" w:firstLine="450"/>
        <w:spacing w:after="0" w:line="261" w:lineRule="auto"/>
        <w:rPr>
          <w:sz w:val="20"/>
          <w:szCs w:val="20"/>
          <w:color w:val="auto"/>
        </w:rPr>
      </w:pPr>
      <w:r>
        <w:rPr>
          <w:rFonts w:ascii="Times New Roman" w:cs="Times New Roman" w:eastAsia="Times New Roman" w:hAnsi="Times New Roman"/>
          <w:sz w:val="18"/>
          <w:szCs w:val="18"/>
          <w:color w:val="auto"/>
        </w:rPr>
        <w:t>Alternatively, you can sometimes avoid the rules described above with respect to the stock you own in a PFIC by electing to treat such PFIC as a “qualified electing fund” under Section 1295 of the Code. However, this option is not available to you because we do not intend to comply with the requirements necessary to permit you to make this election. You are urged to consult your tax advisors concerning the United States federal income tax consequences of holding our ADSs or Class A ordinary shares if we are considered a PFIC in any taxable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Capital Gains</w:t>
      </w:r>
    </w:p>
    <w:p>
      <w:pPr>
        <w:spacing w:after="0" w:line="227" w:lineRule="exact"/>
        <w:rPr>
          <w:sz w:val="20"/>
          <w:szCs w:val="20"/>
          <w:color w:val="auto"/>
        </w:rPr>
      </w:pPr>
    </w:p>
    <w:p>
      <w:pPr>
        <w:ind w:right="100" w:firstLine="441"/>
        <w:spacing w:after="0" w:line="313" w:lineRule="auto"/>
        <w:rPr>
          <w:sz w:val="20"/>
          <w:szCs w:val="20"/>
          <w:color w:val="auto"/>
        </w:rPr>
      </w:pPr>
      <w:r>
        <w:rPr>
          <w:rFonts w:ascii="Times New Roman" w:cs="Times New Roman" w:eastAsia="Times New Roman" w:hAnsi="Times New Roman"/>
          <w:sz w:val="17"/>
          <w:szCs w:val="17"/>
          <w:color w:val="auto"/>
        </w:rPr>
        <w:t>For United States federal income tax purposes, you will recognize taxable gain or loss on any sale or exchange of our ADSs or Class A ordinary shares in an amount equal to the difference between the amount realized for our ADSs or Class A ordinary shares and your tax basis in such ADSs or Class A</w:t>
      </w:r>
    </w:p>
    <w:p>
      <w:pPr>
        <w:sectPr>
          <w:pgSz w:w="11900" w:h="16889" w:orient="portrait"/>
          <w:cols w:equalWidth="0" w:num="1">
            <w:col w:w="11420"/>
          </w:cols>
          <w:pgMar w:left="240" w:top="121" w:right="239" w:bottom="0" w:gutter="0" w:footer="0" w:header="0"/>
        </w:sectPr>
      </w:pPr>
    </w:p>
    <w:bookmarkStart w:id="89" w:name="page90"/>
    <w:bookmarkEnd w:id="89"/>
    <w:p>
      <w:pPr>
        <w:ind w:right="140"/>
        <w:spacing w:after="0" w:line="254" w:lineRule="auto"/>
        <w:rPr>
          <w:sz w:val="20"/>
          <w:szCs w:val="20"/>
          <w:color w:val="auto"/>
        </w:rPr>
      </w:pPr>
      <w:r>
        <w:rPr>
          <w:rFonts w:ascii="Times New Roman" w:cs="Times New Roman" w:eastAsia="Times New Roman" w:hAnsi="Times New Roman"/>
          <w:sz w:val="18"/>
          <w:szCs w:val="18"/>
          <w:color w:val="auto"/>
        </w:rPr>
        <w:t>ordinary shares. Subject to the discussion under “—Passive Foreign Investment Company” above, such gain or loss will generally be capital gain or loss. Capital gains of individuals derived with respect to capital assets held for more than one year are eligible for reduced rates of taxation. The deductibility of capital losses is subject to limitations. Any gain or loss recognized by you will generally be treated as United States source gain or loss. Consequently, you may not be able to use the foreign tax credit arising from any PRC tax imposed on the disposition of our ADSs or Class A ordinary shares unless such credit can be applied (subject to applicable limitations) against tax due on other income treated as derived from foreign sources. However, in the event that we are deemed to be a PRC “resident enterprise” under the PRC tax law and PRC tax is imposed on any gain from the sale or exchange of our ADSs or Class A ordinary shares, a United States Holder eligible for the benefits of the income tax treaty between the United States and the PRC may be able to elect to treat such gain as PRC-source income. You are urged to consult your tax advisors regarding the tax consequences if a foreign withholding tax is imposed on a disposition of our ADSs or Class A ordinary shares, including the availability of the foreign tax credit under your particular circumstances.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227"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Pursuant to the Hiring Incentives to Restore Employment Act enacted on March 18, 2010, an individual United States Holder may be required to submit to the Internal Revenue Service certain information reporting with respect to his or her beneficial ownership of our ADSs or Class A ordinary shares, unless such ADSs were held on his or her behalf by a United States financial institution. This law also imposes penalties if an individual United States Holder is required to submit such information to the Internal Revenue Service and fails to do so.</w:t>
      </w:r>
    </w:p>
    <w:p>
      <w:pPr>
        <w:spacing w:after="0" w:line="180"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Moreover, information reporting will apply to dividends in respect of our ADSs or Class A ordinary shares and the proceeds from the sale, exchange or redemption of our ADSs or Class A ordinary shares that are paid to you within the United States (and in certain cases, outside the United States), unless you are an exempt recipient. Backup withholding may apply to such payments if you fail to provide a taxpayer identification number or certification of other exempt status or fail to report in full dividend and interest income.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18"/>
          <w:szCs w:val="18"/>
          <w:color w:val="auto"/>
        </w:rPr>
        <w:t>Backup withholding is not a tax. Any amounts withheld under the backup withholding rules will be allowed as a refund or a credit against your United States federal income tax liability provided the required information is timely furnished to the Internal Revenue Service. You should consult your tax advisors regarding the application of the United States information reporting and backup withholding rules to your particular circumstances.</w:t>
      </w:r>
    </w:p>
    <w:p>
      <w:pPr>
        <w:spacing w:after="0" w:line="172" w:lineRule="exact"/>
        <w:rPr>
          <w:sz w:val="20"/>
          <w:szCs w:val="20"/>
          <w:color w:val="auto"/>
        </w:rPr>
      </w:pPr>
    </w:p>
    <w:p>
      <w:pPr>
        <w:ind w:left="1300" w:hanging="1292"/>
        <w:spacing w:after="0"/>
        <w:tabs>
          <w:tab w:leader="none" w:pos="130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and Paying Agents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320" w:hanging="1312"/>
        <w:spacing w:after="0"/>
        <w:tabs>
          <w:tab w:leader="none" w:pos="13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by Experts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320" w:hanging="1312"/>
        <w:spacing w:after="0"/>
        <w:tabs>
          <w:tab w:leader="none" w:pos="132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229"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We have filed this annual report on Form 20-F, including exhibits, with the SEC. As allowed by the SEC, in Item 19 of this annual report, we incorporate by reference certain information we filed with the SEC. This means that we can disclose important information to you by referring you to another document filed separately with the SEC. The information incorporated by reference is considered to be part of this annual report.</w:t>
      </w:r>
    </w:p>
    <w:p>
      <w:pPr>
        <w:spacing w:after="0" w:line="176"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You may read and copy this annual report, including the exhibits incorporated by reference in this annual report, at the SEC’s Public Reference Room at 100 F Street, N.E., Washington, D.C. 20549 and at the SEC’s regional offices in New York, New York, and Chicago, Illinois. You can also request copies of this annual report, including the exhibits incorporated by reference in this annual report, upon payment of a duplicating fee, by writing to the SEC’s Public Reference Room for information.</w:t>
      </w:r>
    </w:p>
    <w:p>
      <w:pPr>
        <w:spacing w:after="0" w:line="180"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The SEC also maintains a website that contains reports, proxy statements and other information about issuers, such as us, who file electronically with the SEC. The address of that website is http://www.sec.gov. The information on that website is not a part of this annual report.</w:t>
      </w:r>
    </w:p>
    <w:p>
      <w:pPr>
        <w:spacing w:after="0" w:line="158" w:lineRule="exact"/>
        <w:rPr>
          <w:sz w:val="20"/>
          <w:szCs w:val="20"/>
          <w:color w:val="auto"/>
        </w:rPr>
      </w:pPr>
    </w:p>
    <w:p>
      <w:pPr>
        <w:ind w:left="1320" w:hanging="1312"/>
        <w:spacing w:after="0"/>
        <w:tabs>
          <w:tab w:leader="none" w:pos="13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Subsidiary Information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risk</w:t>
      </w:r>
    </w:p>
    <w:p>
      <w:pPr>
        <w:spacing w:after="0" w:line="229" w:lineRule="exact"/>
        <w:rPr>
          <w:sz w:val="20"/>
          <w:szCs w:val="20"/>
          <w:color w:val="auto"/>
        </w:rPr>
      </w:pPr>
    </w:p>
    <w:p>
      <w:pPr>
        <w:ind w:right="120" w:firstLine="441"/>
        <w:spacing w:after="0" w:line="289" w:lineRule="auto"/>
        <w:rPr>
          <w:sz w:val="20"/>
          <w:szCs w:val="20"/>
          <w:color w:val="auto"/>
        </w:rPr>
      </w:pPr>
      <w:r>
        <w:rPr>
          <w:rFonts w:ascii="Times New Roman" w:cs="Times New Roman" w:eastAsia="Times New Roman" w:hAnsi="Times New Roman"/>
          <w:sz w:val="17"/>
          <w:szCs w:val="17"/>
          <w:color w:val="auto"/>
        </w:rPr>
        <w:t>We depend on China Mobile, which is a shareholder of Phoenix TV, for a significant portion of our business. The revenues generated from advertising and paid services we provided through China Mobile for the years ended December 31, 2014, 2015 and 2016 were RMB320.4 million, RMB309.3 million and RMB154.6 million (US$22.3 million), respectively, which accounted for 19.6%, 19.2% and 10.7% of our total revenue in the respective years.</w:t>
      </w:r>
    </w:p>
    <w:p>
      <w:pPr>
        <w:spacing w:after="0" w:line="158"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We had accounts receivable from China Mobile as of December 31, 2015 and 2016 of RMB58.3 million and RMB48.8 million (US$7.0 million), respectively, which are included on our balance sheets as “Amounts due from related parties.” Apart from China Mobile and an advertising agent, we have no other customer with revenues or accounts receivable accounting for over 10% of our total revenues or total account receivables, net and due from related parties,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right="520" w:firstLine="441"/>
        <w:spacing w:after="0" w:line="282" w:lineRule="auto"/>
        <w:rPr>
          <w:sz w:val="20"/>
          <w:szCs w:val="20"/>
          <w:color w:val="auto"/>
        </w:rPr>
      </w:pPr>
      <w:r>
        <w:rPr>
          <w:rFonts w:ascii="Times New Roman" w:cs="Times New Roman" w:eastAsia="Times New Roman" w:hAnsi="Times New Roman"/>
          <w:sz w:val="18"/>
          <w:szCs w:val="18"/>
          <w:color w:val="auto"/>
        </w:rPr>
        <w:t>Our credit risk arises from cash and cash equivalents, term deposits and short term investments and restricted cash, as well as credit exposures to receivables due from our customers, related parties and other parties.</w:t>
      </w:r>
    </w:p>
    <w:p>
      <w:pPr>
        <w:sectPr>
          <w:pgSz w:w="11900" w:h="16838" w:orient="portrait"/>
          <w:cols w:equalWidth="0" w:num="1">
            <w:col w:w="11400"/>
          </w:cols>
          <w:pgMar w:left="240" w:top="121" w:right="259" w:bottom="40" w:gutter="0" w:footer="0" w:header="0"/>
        </w:sectPr>
      </w:pPr>
    </w:p>
    <w:bookmarkStart w:id="90" w:name="page91"/>
    <w:bookmarkEnd w:id="90"/>
    <w:p>
      <w:pPr>
        <w:spacing w:after="0" w:line="62"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We believe that there is no significant credit risk associated with cash and cash equivalents, term deposits and short term investments and restricted cash for short-term bank loans which were held by reputable financial institutions in the jurisdictions where we are located. We believe that we are not exposed to unusual risks as these financial institutions have high credit quality.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the date hereof, we had three outstanding unsecured short-term loans to Particle, including (i) a convertible loan with a principal amount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US$14.8 million at an interest rate of 4.35% per annum due in August 2017, which can be converted into Series D1 convertible redeemable preferred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Particle at a conversion price of US$1.071803 per share; (ii) a loan with the principal amount of approximately US$6.8 million at an interest rate of 9%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annum due in November 2017, and (iii) a loan with the principal amount of RMB74.0 million at an interest rate of 9% per annum due in January 2018.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Particle is required to use the proceeds of the loans for its working capital requirements in the ordinary course of their businesses. We depend on the ability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Particle to generate sufficient cash flow from its operations or financing activities to repay our loans. As such, we are exposed to the credit risk of Particle.</w:t>
      </w:r>
    </w:p>
    <w:p>
      <w:pPr>
        <w:spacing w:after="0" w:line="207" w:lineRule="exact"/>
        <w:rPr>
          <w:sz w:val="20"/>
          <w:szCs w:val="20"/>
          <w:color w:val="auto"/>
        </w:rPr>
      </w:pPr>
    </w:p>
    <w:p>
      <w:pPr>
        <w:ind w:right="80" w:firstLine="484"/>
        <w:spacing w:after="0" w:line="261" w:lineRule="auto"/>
        <w:rPr>
          <w:sz w:val="20"/>
          <w:szCs w:val="20"/>
          <w:color w:val="auto"/>
        </w:rPr>
      </w:pPr>
      <w:r>
        <w:rPr>
          <w:rFonts w:ascii="Times New Roman" w:cs="Times New Roman" w:eastAsia="Times New Roman" w:hAnsi="Times New Roman"/>
          <w:sz w:val="18"/>
          <w:szCs w:val="18"/>
          <w:color w:val="auto"/>
        </w:rPr>
        <w:t>We have no significant concentrations of credit risk with respect to our customers and related parties, except for the account receivable from China Mobile and an advertising agent, and unsecured short-term loans to Particle as discussed above. We assess the credit quality of, and set credit limits on our customers by taking into account their financial position, the availability of guarantees from third parties, their credit history and other factors such as current market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9"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In recent years, inflation has not had a material impact on our operating results. According to the National Bureau of Statistics of China, the change in the Consumer Price Index in China was 2.0%, 1.4% and 2.0% in 2014, 2015 and 2016, respectively. Although we have not been materially affected by inflation in the past, we can provide no assurance that we will not be affected in the future by higher rates of inflation in China. We do not anticipate being exposed to material risks due to changes in market interest rates. However, our future interest income may fall short of expectations due to changes in market interest rates.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Substantially all our revenues and expenses are denominated in Renminbi. We have not had any material foreign exchange gains or losses. Although in general, our exposure to foreign exchange risks should be limited, the value of your investment in our ADSs will be affected by the foreign exchange rate between U.S. dollars relative to the Renminbi because the value of our business is effectively denominated in Renminbi, while the ADSs are traded in U.S. dollars. Furthermore, a decline in the value of the Renminbi could reduce the U.S. dollar equivalent of the value of the earnings from, and our investments in, our subsidiaries and PRC-incorporated affiliates in China. In addition, appreciation or depreciation in the value of the Renminbi relative to the U.S. dollar would affect our reported financial results in U.S. dollar terms. As of December 31, 2016, we had RMB denominated cash and cash equivalents, term deposits and short term investments and restricted cash, totaling RMB1.3 billion, and U.S. dollar denominated cash and cash equivalents and term deposits totaling US$5.3 million. See “Item 3. Key Information—D. Risk Factors—Risks Relating to Doing Business in China—Fluctuations in exchange rates of the Renminbi could materially affect our reported operating results.”</w:t>
      </w:r>
    </w:p>
    <w:p>
      <w:pPr>
        <w:spacing w:after="0" w:line="185"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DESCRIPTION OF SECURITIES OTHER THAN EQUITY SECURITIES</w:t>
      </w:r>
    </w:p>
    <w:p>
      <w:pPr>
        <w:spacing w:after="0" w:line="225" w:lineRule="exact"/>
        <w:rPr>
          <w:sz w:val="20"/>
          <w:szCs w:val="20"/>
          <w:color w:val="auto"/>
        </w:rPr>
      </w:pPr>
    </w:p>
    <w:p>
      <w:pPr>
        <w:ind w:left="1320" w:hanging="1312"/>
        <w:spacing w:after="0"/>
        <w:tabs>
          <w:tab w:leader="none" w:pos="132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Securities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300" w:hanging="1292"/>
        <w:spacing w:after="0"/>
        <w:tabs>
          <w:tab w:leader="none" w:pos="130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 and Rights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320" w:hanging="1312"/>
        <w:spacing w:after="0"/>
        <w:tabs>
          <w:tab w:leader="none" w:pos="132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Securities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320" w:hanging="1312"/>
        <w:spacing w:after="0"/>
        <w:tabs>
          <w:tab w:leader="none" w:pos="132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American Depositary Shares</w:t>
      </w:r>
    </w:p>
    <w:p>
      <w:pPr>
        <w:spacing w:after="0" w:line="229"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In July 2016, we appointed JPMorgan Chase Bank, N.A., or JPMorgan, as the successor depositary for our ADR program. JPMorgan replaced Deutsche Bank Trust Company Americas, or Deutsche Bank, as depositary for our ADR program effective from July 18, 2016. We entered into an amended and restated deposit agreement with JPMorgan, as depositary, and all holders from time to time of our ADRs in July 2016 to amend and restate the previous deposit agreement with Deutsche Bank dated as of May 11, 2011.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Charges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an ADS holder, you will be required to pay the following service fees to JPMorgan as the depositary bank:</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1380" w:type="dxa"/>
            <w:vAlign w:val="bottom"/>
          </w:tcPr>
          <w:p>
            <w:pPr>
              <w:spacing w:after="0"/>
              <w:rPr>
                <w:sz w:val="15"/>
                <w:szCs w:val="15"/>
                <w:color w:val="auto"/>
              </w:rPr>
            </w:pPr>
          </w:p>
        </w:tc>
        <w:tc>
          <w:tcPr>
            <w:tcW w:w="422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Fee: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Issuance of ADSs, including issuances resulting from a distribution of shares</w:t>
            </w:r>
          </w:p>
        </w:tc>
        <w:tc>
          <w:tcPr>
            <w:tcW w:w="20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$5.00 for each 100</w:t>
            </w:r>
          </w:p>
        </w:tc>
        <w:tc>
          <w:tcPr>
            <w:tcW w:w="422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ADSs (or portion thereof) issued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or rights or other property</w:t>
            </w:r>
          </w:p>
        </w:tc>
        <w:tc>
          <w:tcPr>
            <w:tcW w:w="1380" w:type="dxa"/>
            <w:vAlign w:val="bottom"/>
            <w:shd w:val="clear" w:color="auto" w:fill="CCEEFF"/>
          </w:tcPr>
          <w:p>
            <w:pPr>
              <w:spacing w:after="0"/>
              <w:rPr>
                <w:sz w:val="20"/>
                <w:szCs w:val="20"/>
                <w:color w:val="auto"/>
              </w:rPr>
            </w:pPr>
          </w:p>
        </w:tc>
        <w:tc>
          <w:tcPr>
            <w:tcW w:w="4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Cancellation of ADSs, including in the case of termination of the deposit</w:t>
            </w:r>
          </w:p>
        </w:tc>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$5.00 for each 100</w:t>
            </w:r>
          </w:p>
        </w:tc>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ADSs (or portion thereof) cancelled</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56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42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121" w:right="239" w:bottom="0" w:gutter="0" w:footer="0" w:header="0"/>
        </w:sectPr>
      </w:pPr>
    </w:p>
    <w:bookmarkStart w:id="91" w:name="page92"/>
    <w:bookmarkEnd w:id="91"/>
    <w:p>
      <w:pPr>
        <w:ind w:left="180"/>
        <w:spacing w:after="0"/>
        <w:rPr>
          <w:sz w:val="20"/>
          <w:szCs w:val="20"/>
          <w:color w:val="auto"/>
        </w:rPr>
      </w:pPr>
      <w:r>
        <w:rPr>
          <w:rFonts w:ascii="Times New Roman" w:cs="Times New Roman" w:eastAsia="Times New Roman" w:hAnsi="Times New Roman"/>
          <w:sz w:val="18"/>
          <w:szCs w:val="18"/>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of cash dividends or other cash distributions</w:t>
            </w:r>
          </w:p>
        </w:tc>
        <w:tc>
          <w:tcPr>
            <w:tcW w:w="5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Up to $0.05 per ADS held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Distribution of ADSs pursuant to share dividends, free share distributions or</w:t>
            </w:r>
          </w:p>
        </w:tc>
        <w:tc>
          <w:tcPr>
            <w:tcW w:w="576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Up to $0.05 per ADS held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 of rights</w:t>
            </w:r>
          </w:p>
        </w:tc>
        <w:tc>
          <w:tcPr>
            <w:tcW w:w="5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121" w:right="239" w:bottom="0" w:gutter="0" w:footer="0" w:header="0"/>
        </w:sectPr>
      </w:pPr>
    </w:p>
    <w:p>
      <w:pPr>
        <w:ind w:left="180" w:right="60" w:hanging="181"/>
        <w:spacing w:after="0" w:line="282" w:lineRule="auto"/>
        <w:rPr>
          <w:sz w:val="20"/>
          <w:szCs w:val="20"/>
          <w:color w:val="auto"/>
        </w:rPr>
      </w:pPr>
      <w:r>
        <w:rPr>
          <w:rFonts w:ascii="Times New Roman" w:cs="Times New Roman" w:eastAsia="Times New Roman" w:hAnsi="Times New Roman"/>
          <w:sz w:val="18"/>
          <w:szCs w:val="18"/>
          <w:color w:val="auto"/>
        </w:rPr>
        <w:t>Distribution of securities other than ADSs or rights to purchase ADSs or additional ADSs</w:t>
      </w:r>
    </w:p>
    <w:p>
      <w:pPr>
        <w:spacing w:after="0" w:line="20" w:lineRule="exact"/>
        <w:rPr>
          <w:sz w:val="20"/>
          <w:szCs w:val="20"/>
          <w:color w:val="auto"/>
        </w:rPr>
      </w:pPr>
      <w:r>
        <w:rPr>
          <w:sz w:val="20"/>
          <w:szCs w:val="20"/>
          <w:color w:val="auto"/>
        </w:rPr>
        <w:br w:type="column"/>
      </w:r>
    </w:p>
    <w:p>
      <w:pPr>
        <w:jc w:val="both"/>
        <w:ind w:right="220" w:hanging="181"/>
        <w:spacing w:after="0" w:line="266" w:lineRule="auto"/>
        <w:rPr>
          <w:sz w:val="20"/>
          <w:szCs w:val="20"/>
          <w:color w:val="auto"/>
        </w:rPr>
      </w:pPr>
      <w:r>
        <w:rPr>
          <w:rFonts w:ascii="Times New Roman" w:cs="Times New Roman" w:eastAsia="Times New Roman" w:hAnsi="Times New Roman"/>
          <w:sz w:val="18"/>
          <w:szCs w:val="18"/>
          <w:color w:val="auto"/>
        </w:rPr>
        <w:t>A fee being in an amount equal to the fee for the execution and delivery of ADSs which would have been charged as a result of the deposit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-424815</wp:posOffset>
            </wp:positionV>
            <wp:extent cx="7246620" cy="4114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5300" w:space="720"/>
            <w:col w:w="5400"/>
          </w:cols>
          <w:pgMar w:left="240" w:top="121" w:right="239" w:bottom="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Depositary services</w:t>
            </w:r>
          </w:p>
        </w:tc>
        <w:tc>
          <w:tcPr>
            <w:tcW w:w="7800" w:type="dxa"/>
            <w:vAlign w:val="bottom"/>
            <w:shd w:val="clear" w:color="auto" w:fill="CCEEFF"/>
          </w:tcPr>
          <w:p>
            <w:pPr>
              <w:ind w:left="2200"/>
              <w:spacing w:after="0"/>
              <w:rPr>
                <w:sz w:val="20"/>
                <w:szCs w:val="20"/>
                <w:color w:val="auto"/>
              </w:rPr>
            </w:pPr>
            <w:r>
              <w:rPr>
                <w:rFonts w:ascii="Times New Roman" w:cs="Times New Roman" w:eastAsia="Times New Roman" w:hAnsi="Times New Roman"/>
                <w:sz w:val="18"/>
                <w:szCs w:val="18"/>
                <w:color w:val="auto"/>
              </w:rPr>
              <w:t>An aggregate fee of U.S.$0.05 per ADS per calendar year (or portion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7800" w:type="dxa"/>
            <w:vAlign w:val="bottom"/>
            <w:shd w:val="clear" w:color="auto" w:fill="CCEEFF"/>
          </w:tcPr>
          <w:p>
            <w:pPr>
              <w:ind w:left="2400"/>
              <w:spacing w:after="0"/>
              <w:rPr>
                <w:sz w:val="20"/>
                <w:szCs w:val="20"/>
                <w:color w:val="auto"/>
              </w:rPr>
            </w:pPr>
            <w:r>
              <w:rPr>
                <w:rFonts w:ascii="Times New Roman" w:cs="Times New Roman" w:eastAsia="Times New Roman" w:hAnsi="Times New Roman"/>
                <w:sz w:val="18"/>
                <w:szCs w:val="18"/>
                <w:color w:val="auto"/>
              </w:rPr>
              <w:t>thereof) for services performed by the Depositary in administering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7800" w:type="dxa"/>
            <w:vAlign w:val="bottom"/>
            <w:shd w:val="clear" w:color="auto" w:fill="CCEEFF"/>
          </w:tcPr>
          <w:p>
            <w:pPr>
              <w:ind w:left="2400"/>
              <w:spacing w:after="0"/>
              <w:rPr>
                <w:sz w:val="20"/>
                <w:szCs w:val="20"/>
                <w:color w:val="auto"/>
              </w:rPr>
            </w:pPr>
            <w:r>
              <w:rPr>
                <w:rFonts w:ascii="Times New Roman" w:cs="Times New Roman" w:eastAsia="Times New Roman" w:hAnsi="Times New Roman"/>
                <w:sz w:val="18"/>
                <w:szCs w:val="18"/>
                <w:color w:val="auto"/>
              </w:rPr>
              <w:t>ADRs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of ADRs</w:t>
            </w:r>
          </w:p>
        </w:tc>
        <w:tc>
          <w:tcPr>
            <w:tcW w:w="7800" w:type="dxa"/>
            <w:vAlign w:val="bottom"/>
            <w:shd w:val="clear" w:color="auto" w:fill="CCEEFF"/>
          </w:tcPr>
          <w:p>
            <w:pPr>
              <w:ind w:left="2200"/>
              <w:spacing w:after="0"/>
              <w:rPr>
                <w:sz w:val="20"/>
                <w:szCs w:val="20"/>
                <w:color w:val="auto"/>
              </w:rPr>
            </w:pPr>
            <w:r>
              <w:rPr>
                <w:rFonts w:ascii="Times New Roman" w:cs="Times New Roman" w:eastAsia="Times New Roman" w:hAnsi="Times New Roman"/>
                <w:sz w:val="18"/>
                <w:szCs w:val="18"/>
                <w:color w:val="auto"/>
              </w:rPr>
              <w:t>$1.50 per certificate presented for transfer</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80" w:firstLine="441"/>
        <w:spacing w:after="0" w:line="282" w:lineRule="auto"/>
        <w:rPr>
          <w:sz w:val="20"/>
          <w:szCs w:val="20"/>
          <w:color w:val="auto"/>
        </w:rPr>
      </w:pPr>
      <w:r>
        <w:rPr>
          <w:rFonts w:ascii="Times New Roman" w:cs="Times New Roman" w:eastAsia="Times New Roman" w:hAnsi="Times New Roman"/>
          <w:sz w:val="18"/>
          <w:szCs w:val="18"/>
          <w:color w:val="auto"/>
        </w:rPr>
        <w:t>As an ADS holder, you will also be responsible to pay certain fees and expenses incurred by the depositary bank and certain taxes and governmental charges such as:</w:t>
      </w:r>
    </w:p>
    <w:p>
      <w:pPr>
        <w:spacing w:after="0" w:line="162" w:lineRule="exact"/>
        <w:rPr>
          <w:sz w:val="20"/>
          <w:szCs w:val="20"/>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Fees for the transfer and registration of ordinary shares charged by the registrar and transfer agent for the ordinary shares in the Cayman Islands (i.e., upon deposit and withdrawal of ordinary shares).</w:t>
      </w:r>
    </w:p>
    <w:p>
      <w:pPr>
        <w:spacing w:after="0" w:line="162" w:lineRule="exact"/>
        <w:rPr>
          <w:sz w:val="20"/>
          <w:szCs w:val="20"/>
          <w:color w:val="auto"/>
        </w:rPr>
      </w:pPr>
    </w:p>
    <w:p>
      <w:pPr>
        <w:ind w:left="940" w:hanging="284"/>
        <w:spacing w:after="0"/>
        <w:tabs>
          <w:tab w:leader="none" w:pos="9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for converting foreign currency into U.S. dollars.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cable, telex and fax transmissions and for delivery of securities.</w:t>
      </w:r>
    </w:p>
    <w:p>
      <w:pPr>
        <w:spacing w:after="0" w:line="225"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4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duties upon the transfer of securities, including any applicable stamp duties, any stock transfer charges or withholding taxes (i.e., when ordinary shares are deposited or withdrawn from deposit).</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the delivery or servicing of ordinary shares on deposit.</w:t>
      </w:r>
    </w:p>
    <w:p>
      <w:pPr>
        <w:spacing w:after="0" w:line="225"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4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complying with exchange control regulations and other regulatory requirements applicable to ordinary shares, deposited securities, ADSs and ADRs.</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fees and penalties thereon.</w:t>
      </w:r>
    </w:p>
    <w:p>
      <w:pPr>
        <w:spacing w:after="0" w:line="225" w:lineRule="exact"/>
        <w:rPr>
          <w:sz w:val="20"/>
          <w:szCs w:val="20"/>
          <w:color w:val="auto"/>
        </w:rPr>
      </w:pPr>
    </w:p>
    <w:p>
      <w:pPr>
        <w:ind w:right="140" w:firstLine="441"/>
        <w:spacing w:after="0" w:line="261" w:lineRule="auto"/>
        <w:rPr>
          <w:sz w:val="20"/>
          <w:szCs w:val="20"/>
          <w:color w:val="auto"/>
        </w:rPr>
      </w:pPr>
      <w:r>
        <w:rPr>
          <w:rFonts w:ascii="Times New Roman" w:cs="Times New Roman" w:eastAsia="Times New Roman" w:hAnsi="Times New Roman"/>
          <w:sz w:val="18"/>
          <w:szCs w:val="18"/>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89"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62" w:lineRule="exact"/>
        <w:rPr>
          <w:sz w:val="20"/>
          <w:szCs w:val="20"/>
          <w:color w:val="auto"/>
        </w:rPr>
      </w:pPr>
    </w:p>
    <w:p>
      <w:pPr>
        <w:ind w:right="180" w:firstLine="441"/>
        <w:spacing w:after="0" w:line="270" w:lineRule="auto"/>
        <w:rPr>
          <w:sz w:val="20"/>
          <w:szCs w:val="20"/>
          <w:color w:val="auto"/>
        </w:rPr>
      </w:pPr>
      <w:r>
        <w:rPr>
          <w:rFonts w:ascii="Times New Roman" w:cs="Times New Roman" w:eastAsia="Times New Roman" w:hAnsi="Times New Roman"/>
          <w:sz w:val="17"/>
          <w:szCs w:val="17"/>
          <w:color w:val="auto"/>
        </w:rPr>
        <w:t>The depositary has agreed to reimburse us for a portion of certain expenses we incur that are related to establishment and maintenance of the ADR program, including investor relations expenses. There are limits on the amount of expenses for which the depositary will reimburse us, but the amount of reimbursement available to us is not related to the amounts of fees the depositary collects from investors. Further, the depositary has agreed to reimburse us certain fees payable to the depositary by holders of ADSs. Neither the depositary nor we can determine the exact amount to be made available to us because</w:t>
      </w:r>
    </w:p>
    <w:p>
      <w:pPr>
        <w:spacing w:after="0" w:line="3" w:lineRule="exact"/>
        <w:rPr>
          <w:sz w:val="20"/>
          <w:szCs w:val="20"/>
          <w:color w:val="auto"/>
        </w:rPr>
      </w:pPr>
    </w:p>
    <w:p>
      <w:pPr>
        <w:ind w:right="100" w:firstLine="8"/>
        <w:spacing w:after="0" w:line="261" w:lineRule="auto"/>
        <w:tabs>
          <w:tab w:leader="none" w:pos="21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ADSs that will be issued and outstanding, (ii) the level of service fees to be charged to holders of ADSs and (iii) our reimbursable expenses related to the program are not known at this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by Depositary</w:t>
      </w:r>
    </w:p>
    <w:p>
      <w:pPr>
        <w:spacing w:after="0" w:line="229"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As of March 31, 2017, we had received total payments of US$2.13 million from Deutsche Bank, the previous depositary bank for our ADR program for reimbursement of investor relations expenses and other program related expenses, and we had received total payments of nil from JPMorgan, the current depositary bank for our ADR program for reimbursement of investor relations expenses and other program related expenses.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420"/>
          </w:cols>
          <w:pgMar w:left="240" w:top="121" w:right="239" w:bottom="0" w:gutter="0" w:footer="0" w:header="0"/>
          <w:type w:val="continuous"/>
        </w:sectPr>
      </w:pPr>
    </w:p>
    <w:bookmarkStart w:id="92" w:name="page93"/>
    <w:bookmarkEnd w:id="92"/>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DEFAULTS, DIVIDEND ARREARAGES AND DELINQUENCIES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 of these events occurred in any of the years ended December 31, 2014, 2015 and 2016.</w:t>
      </w:r>
    </w:p>
    <w:p>
      <w:pPr>
        <w:spacing w:after="0" w:line="221"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MATERIAL MODIFICATIONS TO THE RIGHTS OF SECURITY HOLDERS AND USE OF PROCEEDS</w:t>
      </w:r>
    </w:p>
    <w:p>
      <w:pPr>
        <w:spacing w:after="0" w:line="225" w:lineRule="exact"/>
        <w:rPr>
          <w:sz w:val="20"/>
          <w:szCs w:val="20"/>
          <w:color w:val="auto"/>
        </w:rPr>
      </w:pPr>
    </w:p>
    <w:p>
      <w:pPr>
        <w:ind w:left="1320" w:hanging="1312"/>
        <w:spacing w:after="0"/>
        <w:tabs>
          <w:tab w:leader="none" w:pos="132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Modifications of Rights</w:t>
      </w:r>
    </w:p>
    <w:p>
      <w:pPr>
        <w:spacing w:after="0" w:line="229"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See “Item 10. Additional Information—B. Memorandum and Articles of Association” for a description of the rights of securities holders, which remain unchanged.</w:t>
      </w:r>
    </w:p>
    <w:p>
      <w:pPr>
        <w:spacing w:after="0" w:line="158" w:lineRule="exact"/>
        <w:rPr>
          <w:sz w:val="20"/>
          <w:szCs w:val="20"/>
          <w:color w:val="auto"/>
        </w:rPr>
      </w:pPr>
    </w:p>
    <w:p>
      <w:pPr>
        <w:ind w:left="1300" w:hanging="1292"/>
        <w:spacing w:after="0"/>
        <w:tabs>
          <w:tab w:leader="none" w:pos="130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As of December 31, 2016, an evaluation has been carried out under the supervision and with the participation of our management, including our Chief Executive Officer and our Chief Financial Officer, of the effectiveness of the design and operation of our disclosure controls and procedures, as such term is defined under Rules 13a-15(e) and 15d-15(e) promulgated under the Securities Exchange Act of 1934, as amended. Disclosure controls and procedures are designed to ensure that information required to be disclosed in the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the required disclosures. There are inherent limitations to the effectiveness of any system of disclosure controls and procedures, including the possibility of human error and the circumvention or overriding of the controls and procedures. Disclosure controls and procedures are designed to provide reasonable assurance of achieving their objectives. Based upon our evaluation, our management has concluded that, as of December 31, 2016, our disclosure controls and procedures were effective.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under the Securities Exchange Act of 1934, as amended, for our company. Internal control over financial reporting is a process designed to provide reasonable assurance regarding the reliability of financial reporting and the preparation of consolidated financial statements in accordance with generally accepted accounting principles and includes those policies and procedures that (1) pertain to the maintenance of records that, in reasonable detail, accurately and fairly reflect the transactions and disposals of our assets, (2) provide reasonable assurance that transactions are recorded as necessary to permit preparation of consolidated financial statements in accordance with U.S. GAAP and that a company’s receipts and expenditures are being made only in accordance with authorizations of our management and directors, and (3) provide reasonable assurance regarding prevention or timely detection of unauthorized acquisition, use, or disposal of our assets that could have a material effect on our consolidated financial statements.</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a system of internal control over financial reporting can provide only reasonable assurance with respect to consolidated financial statements preparation and presentation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As required by Section 404 of the Sarbanes-Oxley Act of 2002 and related rules as promulgated by the Securities and Exchange Commission, our management, including our Chief Executive Officer and Chief Financial Officer, assessed the effectiveness of internal control over financial reporting as of December 31, 2016 using the criteria set forth in the report “Internal Control—Integrated Framework(2013)” published by the Committee of Sponsoring Organizations of the Treadway Commission. Based on this evaluation, management concluded that our internal control over financial reporting was effective as of December 31, 2016.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Independent Registered Public Accounting Firm</w:t>
      </w:r>
    </w:p>
    <w:p>
      <w:pPr>
        <w:spacing w:after="0" w:line="229" w:lineRule="exact"/>
        <w:rPr>
          <w:sz w:val="20"/>
          <w:szCs w:val="20"/>
          <w:color w:val="auto"/>
        </w:rPr>
      </w:pPr>
    </w:p>
    <w:p>
      <w:pPr>
        <w:ind w:right="260" w:firstLine="441"/>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2016 has been audited by PricewaterhouseCoopers Zhong Tian LLP, an independent registered public accounting firm, as stated in their report which appears in this annual report on Form 20-F.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maintain a system of internal control over financial reporting that is designed to provide reasonable assurance that our books and records accurately reflect our transactions and that our established policies and procedures are followed. As required by Rule 13a-15(d), under the Exchange Act, our management, including our Chief Executive Officer, president and our Chief Financial Officer, has also conducted an evaluation of our internal control over financial reporting to determine whether any changes occurred during the period covered by this report have materially affected, or are reasonably likely to materially affect, our internal control over financial reporting. There were no changes in our internal control over financial reporting that occurred during the year ended December 31, 2016 that have materially affected, or are reasonably likely to materially affect, our internal control over financial reporting.</w:t>
      </w:r>
    </w:p>
    <w:p>
      <w:pPr>
        <w:spacing w:after="0" w:line="184"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ITEM 16A.</w:t>
      </w:r>
      <w:r>
        <w:rPr>
          <w:sz w:val="20"/>
          <w:szCs w:val="20"/>
          <w:color w:val="auto"/>
        </w:rPr>
        <w:tab/>
      </w:r>
      <w:r>
        <w:rPr>
          <w:rFonts w:ascii="Times New Roman" w:cs="Times New Roman" w:eastAsia="Times New Roman" w:hAnsi="Times New Roman"/>
          <w:sz w:val="17"/>
          <w:szCs w:val="17"/>
          <w:b w:val="1"/>
          <w:bCs w:val="1"/>
          <w:color w:val="auto"/>
        </w:rPr>
        <w:t>AUDIT COMMITTEE FINANCIAL EXPERT</w:t>
      </w:r>
    </w:p>
    <w:p>
      <w:pPr>
        <w:spacing w:after="0" w:line="229" w:lineRule="exact"/>
        <w:rPr>
          <w:sz w:val="20"/>
          <w:szCs w:val="20"/>
          <w:color w:val="auto"/>
        </w:rPr>
      </w:pPr>
    </w:p>
    <w:p>
      <w:pPr>
        <w:ind w:right="380" w:firstLine="441"/>
        <w:spacing w:after="0" w:line="282" w:lineRule="auto"/>
        <w:rPr>
          <w:sz w:val="20"/>
          <w:szCs w:val="20"/>
          <w:color w:val="auto"/>
        </w:rPr>
      </w:pPr>
      <w:r>
        <w:rPr>
          <w:rFonts w:ascii="Times New Roman" w:cs="Times New Roman" w:eastAsia="Times New Roman" w:hAnsi="Times New Roman"/>
          <w:sz w:val="18"/>
          <w:szCs w:val="18"/>
          <w:color w:val="auto"/>
        </w:rPr>
        <w:t>Our Board of Directors has determined that Jerry Juying Zhang, who is an independent director, qualifies as an audit committee financial expert as defined in Item 16A of the instruction to Form 20-F.</w:t>
      </w:r>
    </w:p>
    <w:p>
      <w:pPr>
        <w:sectPr>
          <w:pgSz w:w="11900" w:h="16866" w:orient="portrait"/>
          <w:cols w:equalWidth="0" w:num="1">
            <w:col w:w="11380"/>
          </w:cols>
          <w:pgMar w:left="240" w:top="117" w:right="279" w:bottom="0" w:gutter="0" w:footer="0" w:header="0"/>
        </w:sectPr>
      </w:pPr>
    </w:p>
    <w:bookmarkStart w:id="93" w:name="page94"/>
    <w:bookmarkEnd w:id="93"/>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ITEM 16B.</w:t>
      </w:r>
      <w:r>
        <w:rPr>
          <w:sz w:val="20"/>
          <w:szCs w:val="20"/>
          <w:color w:val="auto"/>
        </w:rPr>
        <w:tab/>
      </w:r>
      <w:r>
        <w:rPr>
          <w:rFonts w:ascii="Times New Roman" w:cs="Times New Roman" w:eastAsia="Times New Roman" w:hAnsi="Times New Roman"/>
          <w:sz w:val="17"/>
          <w:szCs w:val="17"/>
          <w:b w:val="1"/>
          <w:bCs w:val="1"/>
          <w:color w:val="auto"/>
        </w:rPr>
        <w:t>CODE OF ETHICS</w:t>
      </w:r>
    </w:p>
    <w:p>
      <w:pPr>
        <w:spacing w:after="0" w:line="229"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We have adopted a code of ethics which applies to our directors, employees, advisors and officers, including our Chief Executive Officer and Chief Financial Officer. No changes have been made to the code of ethics since its adoption and no waivers have been granted therefrom to our directors or employees. We have filed our code of business conduct and ethics as an exhibit to our F-1 registration statement (File No. 333-173666), as amended, initially filed with the Commission on April 21, 2011, and a copy is available to any shareholder upon request. This code of ethics is also available on our website at ir.ifeng.com.</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ITEM 16C.</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ind w:right="240" w:firstLine="450"/>
        <w:spacing w:after="0" w:line="282" w:lineRule="auto"/>
        <w:rPr>
          <w:sz w:val="20"/>
          <w:szCs w:val="20"/>
          <w:color w:val="auto"/>
        </w:rPr>
      </w:pPr>
      <w:r>
        <w:rPr>
          <w:rFonts w:ascii="Times New Roman" w:cs="Times New Roman" w:eastAsia="Times New Roman" w:hAnsi="Times New Roman"/>
          <w:sz w:val="18"/>
          <w:szCs w:val="18"/>
          <w:color w:val="auto"/>
        </w:rPr>
        <w:t>PricewaterhouseCoopers Zhong Tian LLP has served as our independent public accountant for each of the fiscal years in the three-year period ended December 31, 2016, for which audited financial statements appear in this annual report.</w:t>
      </w:r>
    </w:p>
    <w:p>
      <w:pPr>
        <w:spacing w:after="0" w:line="162" w:lineRule="exact"/>
        <w:rPr>
          <w:sz w:val="20"/>
          <w:szCs w:val="20"/>
          <w:color w:val="auto"/>
        </w:rPr>
      </w:pPr>
    </w:p>
    <w:p>
      <w:pPr>
        <w:ind w:right="94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PricewaterhouseCoopers Zhong Tian LLP, for the years indicated.</w:t>
      </w:r>
    </w:p>
    <w:p>
      <w:pPr>
        <w:spacing w:after="0" w:line="155"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83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640" w:type="dxa"/>
            <w:vAlign w:val="bottom"/>
            <w:tcBorders>
              <w:top w:val="single" w:sz="8" w:color="auto"/>
              <w:bottom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8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8300" w:type="dxa"/>
            <w:vAlign w:val="bottom"/>
          </w:tcPr>
          <w:p>
            <w:pPr>
              <w:spacing w:after="0"/>
              <w:rPr>
                <w:sz w:val="12"/>
                <w:szCs w:val="12"/>
                <w:color w:val="auto"/>
              </w:rPr>
            </w:pPr>
          </w:p>
        </w:tc>
        <w:tc>
          <w:tcPr>
            <w:tcW w:w="2540" w:type="dxa"/>
            <w:vAlign w:val="bottom"/>
            <w:gridSpan w:val="4"/>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1,125</w:t>
            </w:r>
          </w:p>
        </w:tc>
        <w:tc>
          <w:tcPr>
            <w:tcW w:w="9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1,075</w:t>
            </w:r>
          </w:p>
        </w:tc>
        <w:tc>
          <w:tcPr>
            <w:tcW w:w="80" w:type="dxa"/>
            <w:vAlign w:val="bottom"/>
            <w:shd w:val="clear" w:color="auto" w:fill="CCEEFF"/>
          </w:tcPr>
          <w:p>
            <w:pPr>
              <w:spacing w:after="0"/>
              <w:rPr>
                <w:sz w:val="18"/>
                <w:szCs w:val="18"/>
                <w:color w:val="auto"/>
              </w:rPr>
            </w:pP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Fees (2)</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8"/>
                <w:szCs w:val="18"/>
                <w:color w:val="auto"/>
              </w:rPr>
            </w:pPr>
          </w:p>
        </w:tc>
      </w:tr>
      <w:tr>
        <w:trPr>
          <w:trHeight w:val="216"/>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Fees (3)</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8"/>
                <w:szCs w:val="18"/>
                <w:color w:val="auto"/>
              </w:rPr>
            </w:pPr>
          </w:p>
        </w:tc>
      </w:tr>
      <w:tr>
        <w:trPr>
          <w:trHeight w:val="210"/>
        </w:trPr>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280" w:type="dxa"/>
            <w:vAlign w:val="bottom"/>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00" w:right="100" w:hanging="392"/>
        <w:spacing w:after="0" w:line="282" w:lineRule="auto"/>
        <w:tabs>
          <w:tab w:leader="none" w:pos="41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associated with the annual audit, reviews of our quarterly financial statements and related statutory and regulatory filings. For 2015 and 2016, the audit refers to financial audit and audit pursuant to Section 404 of the Sarbanes-Oxley Act of 2002.</w:t>
      </w:r>
    </w:p>
    <w:p>
      <w:pPr>
        <w:spacing w:after="0" w:line="16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include fees billed for tax compliance and tax advice services.</w:t>
      </w:r>
    </w:p>
    <w:p>
      <w:pPr>
        <w:spacing w:after="0" w:line="225"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comprise fees for all other services provided by PricewaterhouseCoopers Zhong Tian LLP, other than those services covered in footnotes</w:t>
      </w:r>
    </w:p>
    <w:p>
      <w:pPr>
        <w:spacing w:after="0" w:line="27"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to (2)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jc w:val="both"/>
        <w:ind w:right="340" w:firstLine="441"/>
        <w:spacing w:after="0" w:line="266" w:lineRule="auto"/>
        <w:rPr>
          <w:sz w:val="20"/>
          <w:szCs w:val="20"/>
          <w:color w:val="auto"/>
        </w:rPr>
      </w:pPr>
      <w:r>
        <w:rPr>
          <w:rFonts w:ascii="Times New Roman" w:cs="Times New Roman" w:eastAsia="Times New Roman" w:hAnsi="Times New Roman"/>
          <w:sz w:val="18"/>
          <w:szCs w:val="18"/>
          <w:color w:val="auto"/>
        </w:rPr>
        <w:t>Our audit committee is responsible for the oversight of our independent accountants’ work. The policy of our audit committee is to pre-approve all audit and non-audit services provided by PricewaterhouseCoopers Zhong Tian LLP, including audit services, audit-related services, tax services and other services, as described above.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audit and non-audit services performed by PricewaterhouseCoopers Zhong Tian LLP must be pre-approved by the Audit Committee.</w:t>
      </w:r>
    </w:p>
    <w:p>
      <w:pPr>
        <w:spacing w:after="0" w:line="22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ITEM 16D.</w:t>
      </w:r>
      <w:r>
        <w:rPr>
          <w:sz w:val="20"/>
          <w:szCs w:val="20"/>
          <w:color w:val="auto"/>
        </w:rPr>
        <w:tab/>
      </w:r>
      <w:r>
        <w:rPr>
          <w:rFonts w:ascii="Times New Roman" w:cs="Times New Roman" w:eastAsia="Times New Roman" w:hAnsi="Times New Roman"/>
          <w:sz w:val="17"/>
          <w:szCs w:val="17"/>
          <w:b w:val="1"/>
          <w:bCs w:val="1"/>
          <w:color w:val="auto"/>
        </w:rPr>
        <w:t>EXEMPTIONS FROM THE LISTING STANDARDS FOR AUDIT COMMITTEES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ITEM 16E.</w:t>
      </w:r>
      <w:r>
        <w:rPr>
          <w:sz w:val="20"/>
          <w:szCs w:val="20"/>
          <w:color w:val="auto"/>
        </w:rPr>
        <w:tab/>
      </w:r>
      <w:r>
        <w:rPr>
          <w:rFonts w:ascii="Times New Roman" w:cs="Times New Roman" w:eastAsia="Times New Roman" w:hAnsi="Times New Roman"/>
          <w:sz w:val="17"/>
          <w:szCs w:val="17"/>
          <w:b w:val="1"/>
          <w:bCs w:val="1"/>
          <w:color w:val="auto"/>
        </w:rPr>
        <w:t>PURCHASE OF EQUITY SECURITIES BY THE ISSUER AND AFFILIATED PURCHASERS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ITEM 16F.</w:t>
      </w:r>
      <w:r>
        <w:rPr>
          <w:sz w:val="20"/>
          <w:szCs w:val="20"/>
          <w:color w:val="auto"/>
        </w:rPr>
        <w:tab/>
      </w:r>
      <w:r>
        <w:rPr>
          <w:rFonts w:ascii="Times New Roman" w:cs="Times New Roman" w:eastAsia="Times New Roman" w:hAnsi="Times New Roman"/>
          <w:sz w:val="17"/>
          <w:szCs w:val="17"/>
          <w:b w:val="1"/>
          <w:bCs w:val="1"/>
          <w:color w:val="auto"/>
        </w:rPr>
        <w:t>CHANGE IN REGISTRANT’S CERTIFYING ACCOUNTANT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ITEM 16G.</w:t>
      </w:r>
      <w:r>
        <w:rPr>
          <w:sz w:val="20"/>
          <w:szCs w:val="20"/>
          <w:color w:val="auto"/>
        </w:rPr>
        <w:tab/>
      </w:r>
      <w:r>
        <w:rPr>
          <w:rFonts w:ascii="Times New Roman" w:cs="Times New Roman" w:eastAsia="Times New Roman" w:hAnsi="Times New Roman"/>
          <w:sz w:val="17"/>
          <w:szCs w:val="17"/>
          <w:b w:val="1"/>
          <w:bCs w:val="1"/>
          <w:color w:val="auto"/>
        </w:rPr>
        <w:t>CORPORATE GOVERNANCE</w:t>
      </w:r>
    </w:p>
    <w:p>
      <w:pPr>
        <w:spacing w:after="0" w:line="229"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We are a “foreign private issuer” (as such term is defined in Rule 3b-4 under the Exchange Act), and our ADSs, each representing eight ordinary shares, are listed on the New York Stock Exchange. Under Section 303A of the New York Stock Exchange Listed Company Manual, New York Stock Exchange listed companies that are foreign private issuers are permitted to follow home country practice in lieu of the corporate governance provisions specified by the New York Stock Exchange with limited exceptions. The following summarizes some significant ways in which our corporate governance practices differ from those followed by domestic companies under the listing standards of the New York Stock Exchange.</w:t>
      </w:r>
    </w:p>
    <w:p>
      <w:pPr>
        <w:spacing w:after="0" w:line="184" w:lineRule="exact"/>
        <w:rPr>
          <w:sz w:val="20"/>
          <w:szCs w:val="20"/>
          <w:color w:val="auto"/>
        </w:rPr>
      </w:pPr>
    </w:p>
    <w:p>
      <w:pPr>
        <w:ind w:left="900" w:right="280" w:hanging="325"/>
        <w:spacing w:after="0" w:line="282" w:lineRule="auto"/>
        <w:tabs>
          <w:tab w:leader="none" w:pos="86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independent directors on our Board of Directors: Only two of our seven directors are independent directors: As our home country practice does not require a majority of our Board of Directors to be independent, two of our seven directors are independent.</w:t>
      </w:r>
    </w:p>
    <w:p>
      <w:pPr>
        <w:sectPr>
          <w:pgSz w:w="11900" w:h="16838" w:orient="portrait"/>
          <w:cols w:equalWidth="0" w:num="1">
            <w:col w:w="11420"/>
          </w:cols>
          <w:pgMar w:left="240" w:top="333" w:right="239" w:bottom="0" w:gutter="0" w:footer="0" w:header="0"/>
        </w:sectPr>
      </w:pPr>
    </w:p>
    <w:bookmarkStart w:id="94" w:name="page95"/>
    <w:bookmarkEnd w:id="94"/>
    <w:p>
      <w:pPr>
        <w:spacing w:after="0" w:line="36" w:lineRule="exact"/>
        <w:rPr>
          <w:sz w:val="20"/>
          <w:szCs w:val="20"/>
          <w:color w:val="auto"/>
        </w:rPr>
      </w:pPr>
    </w:p>
    <w:p>
      <w:pPr>
        <w:ind w:left="900" w:right="200" w:hanging="325"/>
        <w:spacing w:after="0" w:line="282" w:lineRule="auto"/>
        <w:tabs>
          <w:tab w:leader="none" w:pos="86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composition of our audit committee: As our home country practice does not require us to have a minimum of three members of our audit committee, our audit committee is comprised of two independent directors.</w:t>
      </w:r>
    </w:p>
    <w:p>
      <w:pPr>
        <w:spacing w:after="0" w:line="161" w:lineRule="exact"/>
        <w:rPr>
          <w:rFonts w:ascii="Times New Roman" w:cs="Times New Roman" w:eastAsia="Times New Roman" w:hAnsi="Times New Roman"/>
          <w:sz w:val="18"/>
          <w:szCs w:val="18"/>
          <w:color w:val="auto"/>
        </w:rPr>
      </w:pPr>
    </w:p>
    <w:p>
      <w:pPr>
        <w:ind w:left="900" w:right="80" w:hanging="325"/>
        <w:spacing w:after="0" w:line="266" w:lineRule="auto"/>
        <w:tabs>
          <w:tab w:leader="none" w:pos="86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oversight of our executive officer compensation and director nominations matters: As our home country practice does not require independent director oversight of executive officer compensation and director nomination matters, our compensation and corporate governance and nominating committees are not comprise solely of independent directors.</w:t>
      </w:r>
    </w:p>
    <w:p>
      <w:pPr>
        <w:spacing w:after="0" w:line="172"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ITEM 16H.</w:t>
      </w:r>
      <w:r>
        <w:rPr>
          <w:sz w:val="20"/>
          <w:szCs w:val="20"/>
          <w:color w:val="auto"/>
        </w:rPr>
        <w:tab/>
      </w:r>
      <w:r>
        <w:rPr>
          <w:rFonts w:ascii="Times New Roman" w:cs="Times New Roman" w:eastAsia="Times New Roman" w:hAnsi="Times New Roman"/>
          <w:sz w:val="17"/>
          <w:szCs w:val="17"/>
          <w:b w:val="1"/>
          <w:bCs w:val="1"/>
          <w:color w:val="auto"/>
        </w:rPr>
        <w:t>MINE SAFETY</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Registrant has elected to provide the financial statements and related information specified in Item 18.</w:t>
      </w:r>
    </w:p>
    <w:p>
      <w:pPr>
        <w:spacing w:after="0" w:line="221"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consolidated financial statements of Phoenix New Media Limited are included at the end of this annual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19.</w:t>
            </w:r>
          </w:p>
        </w:tc>
        <w:tc>
          <w:tcPr>
            <w:tcW w:w="180" w:type="dxa"/>
            <w:vAlign w:val="bottom"/>
          </w:tcPr>
          <w:p>
            <w:pPr>
              <w:spacing w:after="0"/>
              <w:rPr>
                <w:sz w:val="20"/>
                <w:szCs w:val="20"/>
                <w:color w:val="auto"/>
              </w:rPr>
            </w:pPr>
          </w:p>
        </w:tc>
        <w:tc>
          <w:tcPr>
            <w:tcW w:w="99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24"/>
                <w:szCs w:val="24"/>
                <w:color w:val="auto"/>
              </w:rPr>
            </w:pPr>
          </w:p>
        </w:tc>
        <w:tc>
          <w:tcPr>
            <w:tcW w:w="9920" w:type="dxa"/>
            <w:vAlign w:val="bottom"/>
            <w:vMerge w:val="restart"/>
          </w:tcPr>
          <w:p>
            <w:pPr>
              <w:ind w:left="424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92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0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Second Amended and Restated Memorandum and Articles of Association of the Registrant (incorporated by reference Exhibit 3.2 to our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Registration Statement on Form F-1 (File No. 333-173666), initially filed with the Securities and Exchange Commission on April 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2011.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0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Registrant’s Specimen American Depositary Receipt (included in Exhibit 4.3)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0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Registrant’s Specimen Certificate for Class A ordinary shares (incorporated by reference Exhibit 4.2 to our Registration Statement 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Form F-1 (File No. 333-173666), initially filed with the Securities and Exchange Commission on April 21, 2011).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10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Form of Amended and Restated Deposit Agreement, among the Registrant, JPMorgan Chase Bank, N.A., as depositary, and all holders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from time to time of ADRs issued thereunder (incorporated by reference Exhibit (a) to our Registration Statement on Form F-6 (File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 333-212488) with respect to American depositary shares representing our Class A ordinary shares, filed with the Securities 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Exchange Commission on July 12, 2016).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10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Preferred Share Purchase Agreement, dated as of November 9, 2009, in respect of the sale of the Series A convertible redeemable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preferred shares of the Registrant (incorporated by reference Exhibit 4.4 to our Registration Statement on Form F-1 (File No. 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173666), initially filed with the Securities and Exchange Commission on April 21, 2011).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0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Shareholders’ Agreement, dated as of November 24, 2009, by and among the Registrant and the other parties thereto (incorporated by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reference Exhibit 4.5 to our Registration Statement on Form F-1 (File No. 333-173666), initially filed with the Securities and Exchange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Commission on April 21, 2011).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10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Form of the Registrant’s Employment Agreements for its executive officers (incorporated by reference Exhibit 10.1 to our Registration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Statement on Form F-1 (File No. 333-173666), initially filed with the Securities and Exchange Commission on April 21, 2011).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10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Registrant’s 2008 Share Option Plan (incorporated by reference Exhibit 10.2 to our Registration Statement on Form F-1 (File No. 333-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173666), initially filed with the Securities and Exchange Commission on April 21, 2011).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10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Registrant’s 2011 Restricted Share Unit and Restricted Share Plan (incorporated by reference Exhibit 10.3 to our Registration Statement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on Form F-1 (File No. 333-173666), initially filed with the Securities and Exchange Commission on April 21, 2011).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10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Form of Indemnification Agreement with the Registrant’s directors and officers (incorporated by reference Exhibit 10.4 to our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Registration Statement on Form F-1 (File No. 333-173666), initially filed with the Securities and Exchange Commission on April 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2011).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10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Translation of the Exclusive Equity Option Agreement, dated as of December 31, 2009, between Fenghuang On-line and Tianying</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Jiuzhou (incorporated by reference Exhibit 10.5 to our Registration Statement on Form F-1 (File No. 333-173666), initially filed with the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Securities and Exchange Commission on April 21, 2011).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100" w:type="dxa"/>
            <w:vAlign w:val="bottom"/>
            <w:gridSpan w:val="2"/>
          </w:tcPr>
          <w:p>
            <w:pPr>
              <w:ind w:left="4260"/>
              <w:spacing w:after="0"/>
              <w:rPr>
                <w:sz w:val="20"/>
                <w:szCs w:val="20"/>
                <w:color w:val="auto"/>
              </w:rPr>
            </w:pPr>
            <w:r>
              <w:rPr>
                <w:rFonts w:ascii="Times New Roman" w:cs="Times New Roman" w:eastAsia="Times New Roman" w:hAnsi="Times New Roman"/>
                <w:sz w:val="18"/>
                <w:szCs w:val="18"/>
                <w:color w:val="auto"/>
              </w:rPr>
              <w:t>130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ectPr>
          <w:pgSz w:w="11900" w:h="16874" w:orient="portrait"/>
          <w:cols w:equalWidth="0" w:num="1">
            <w:col w:w="11460"/>
          </w:cols>
          <w:pgMar w:left="240" w:top="121" w:right="199" w:bottom="0" w:gutter="0" w:footer="0" w:header="0"/>
        </w:sect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20" w:type="dxa"/>
            <w:vAlign w:val="bottom"/>
            <w:vMerge w:val="restart"/>
          </w:tcPr>
          <w:p>
            <w:pPr>
              <w:ind w:left="260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190"/>
        </w:trPr>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74" w:orient="portrait"/>
          <w:cols w:equalWidth="0" w:num="1">
            <w:col w:w="11460"/>
          </w:cols>
          <w:pgMar w:left="240" w:top="121" w:right="199" w:bottom="0" w:gutter="0" w:footer="0" w:header="0"/>
          <w:type w:val="continuous"/>
        </w:sectPr>
      </w:pPr>
    </w:p>
    <w:bookmarkStart w:id="95" w:name="page96"/>
    <w:bookmarkEnd w:id="95"/>
    <w:p>
      <w:pPr>
        <w:ind w:left="1500" w:right="180" w:hanging="562"/>
        <w:spacing w:after="0" w:line="266" w:lineRule="auto"/>
        <w:tabs>
          <w:tab w:leader="none" w:pos="148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color w:val="auto"/>
        </w:rPr>
        <w:t>Translation of the Exclusive Equity Option Agreement, dated as of December 31, 2009, between Fenghuang On-line and Yifeng Lianhe (incorporated by reference Exhibit 10.6 to our Registration Statement on Form F-1 (File No. 333-173666), initially filed with the Securities and Exchange Commission on April 21, 2011).</w:t>
      </w:r>
    </w:p>
    <w:p>
      <w:pPr>
        <w:spacing w:after="0" w:line="176" w:lineRule="exact"/>
        <w:rPr>
          <w:sz w:val="20"/>
          <w:szCs w:val="20"/>
          <w:color w:val="auto"/>
        </w:rPr>
      </w:pPr>
    </w:p>
    <w:p>
      <w:pPr>
        <w:jc w:val="both"/>
        <w:ind w:left="1500" w:right="680" w:hanging="562"/>
        <w:spacing w:after="0" w:line="266" w:lineRule="auto"/>
        <w:tabs>
          <w:tab w:leader="none" w:pos="148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color w:val="auto"/>
        </w:rPr>
        <w:t>Translation of the Equity Pledge Agreement, dated as of December 31, 2009, between Fenghuang On-line and Tianying Jiuzhou (incorporated by reference Exhibit 10.7 to our Registration Statement on Form F-1 (File No. 333-173666), initially filed with the Securities and Exchange Commission on April 21, 2011).</w:t>
      </w:r>
    </w:p>
    <w:p>
      <w:pPr>
        <w:spacing w:after="0" w:line="176" w:lineRule="exact"/>
        <w:rPr>
          <w:sz w:val="20"/>
          <w:szCs w:val="20"/>
          <w:color w:val="auto"/>
        </w:rPr>
      </w:pPr>
    </w:p>
    <w:p>
      <w:pPr>
        <w:ind w:left="1500" w:right="680" w:hanging="651"/>
        <w:spacing w:after="0" w:line="266" w:lineRule="auto"/>
        <w:tabs>
          <w:tab w:leader="none" w:pos="1480" w:val="left"/>
        </w:tabs>
        <w:rPr>
          <w:sz w:val="20"/>
          <w:szCs w:val="20"/>
          <w:color w:val="auto"/>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8"/>
          <w:szCs w:val="18"/>
          <w:color w:val="auto"/>
        </w:rPr>
        <w:t>Translation of the Equity Pledge Agreement, dated as of December 31, 2009, between Fenghuang On-line and Yifeng Lianhe (incorporated by reference Exhibit 10.8 to our Registration Statement on Form F-1 (File No. 333-173666), initially filed with the Securities and Exchange Commission on April 21, 2011).</w:t>
      </w:r>
    </w:p>
    <w:p>
      <w:pPr>
        <w:spacing w:after="0" w:line="176" w:lineRule="exact"/>
        <w:rPr>
          <w:sz w:val="20"/>
          <w:szCs w:val="20"/>
          <w:color w:val="auto"/>
        </w:rPr>
      </w:pPr>
    </w:p>
    <w:p>
      <w:pPr>
        <w:ind w:left="1500" w:right="80" w:hanging="645"/>
        <w:spacing w:after="0" w:line="266" w:lineRule="auto"/>
        <w:tabs>
          <w:tab w:leader="none" w:pos="148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color w:val="auto"/>
        </w:rPr>
        <w:t>Translation of the Exclusive Technical Consulting &amp; Service Agreement, dated as of December 31, 2009, between Fenghuang On-line and Tianying Jiuzhou (incorporated by reference Exhibit 10.9 to our Registration Statement on Form F-1 (File No. 333-173666), initially filed with the Securities and Exchange Commission on April 21, 2011).</w:t>
      </w:r>
    </w:p>
    <w:p>
      <w:pPr>
        <w:spacing w:after="0" w:line="176" w:lineRule="exact"/>
        <w:rPr>
          <w:sz w:val="20"/>
          <w:szCs w:val="20"/>
          <w:color w:val="auto"/>
        </w:rPr>
      </w:pPr>
    </w:p>
    <w:p>
      <w:pPr>
        <w:jc w:val="both"/>
        <w:ind w:left="1500" w:right="220" w:hanging="651"/>
        <w:spacing w:after="0" w:line="266" w:lineRule="auto"/>
        <w:tabs>
          <w:tab w:leader="none" w:pos="148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8"/>
          <w:szCs w:val="18"/>
          <w:color w:val="auto"/>
        </w:rPr>
        <w:t>Translation of the Exclusive Technical Consulting &amp; Service Agreement, dated as of December 31, 2009, between Fenghuang On-line and Yifeng Lianhe (incorporated by reference Exhibit 10.10 to our Registration Statement on Form F-1 (File No. 333-173666), initially filed with the Securities and Exchange Commission on April 21, 2011).</w:t>
      </w:r>
    </w:p>
    <w:p>
      <w:pPr>
        <w:spacing w:after="0" w:line="176" w:lineRule="exact"/>
        <w:rPr>
          <w:sz w:val="20"/>
          <w:szCs w:val="20"/>
          <w:color w:val="auto"/>
        </w:rPr>
      </w:pPr>
    </w:p>
    <w:p>
      <w:pPr>
        <w:ind w:left="1500" w:right="220" w:hanging="651"/>
        <w:spacing w:after="0" w:line="266" w:lineRule="auto"/>
        <w:tabs>
          <w:tab w:leader="none" w:pos="1480" w:val="left"/>
        </w:tabs>
        <w:rPr>
          <w:sz w:val="20"/>
          <w:szCs w:val="20"/>
          <w:color w:val="auto"/>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8"/>
          <w:szCs w:val="18"/>
          <w:color w:val="auto"/>
        </w:rPr>
        <w:t>Translation of Loan Agreement, dated as of December 31, 2009, between Fenghuang On-line and the shareholders of Tianying Jiuzhou (incorporated by reference Exhibit 10.11 to our Registration Statement on Form F-1 (File No. 333-173666), initially filed with the Securities and Exchange Commission on April 21, 2011).</w:t>
      </w:r>
    </w:p>
    <w:p>
      <w:pPr>
        <w:spacing w:after="0" w:line="176" w:lineRule="exact"/>
        <w:rPr>
          <w:sz w:val="20"/>
          <w:szCs w:val="20"/>
          <w:color w:val="auto"/>
        </w:rPr>
      </w:pPr>
    </w:p>
    <w:p>
      <w:pPr>
        <w:ind w:left="1500" w:right="180" w:hanging="651"/>
        <w:spacing w:after="0" w:line="266" w:lineRule="auto"/>
        <w:tabs>
          <w:tab w:leader="none" w:pos="1480" w:val="left"/>
        </w:tabs>
        <w:rPr>
          <w:sz w:val="20"/>
          <w:szCs w:val="20"/>
          <w:color w:val="auto"/>
        </w:rPr>
      </w:pPr>
      <w:r>
        <w:rPr>
          <w:rFonts w:ascii="Times New Roman" w:cs="Times New Roman" w:eastAsia="Times New Roman" w:hAnsi="Times New Roman"/>
          <w:sz w:val="18"/>
          <w:szCs w:val="18"/>
          <w:color w:val="auto"/>
        </w:rPr>
        <w:t>4.14</w:t>
      </w:r>
      <w:r>
        <w:rPr>
          <w:sz w:val="20"/>
          <w:szCs w:val="20"/>
          <w:color w:val="auto"/>
        </w:rPr>
        <w:tab/>
      </w:r>
      <w:r>
        <w:rPr>
          <w:rFonts w:ascii="Times New Roman" w:cs="Times New Roman" w:eastAsia="Times New Roman" w:hAnsi="Times New Roman"/>
          <w:sz w:val="18"/>
          <w:szCs w:val="18"/>
          <w:color w:val="auto"/>
        </w:rPr>
        <w:t>Translation of the Loan Agreement, dated as of December 31, 2009, between Fenghuang On-line and the shareholders of Yifeng Lianhe (incorporated by reference Exhibit 10.12 to our Registration Statement on Form F-1 (File No. 333-173666), initially filed with the Securities and Exchange Commission on April 21, 2011).</w:t>
      </w:r>
    </w:p>
    <w:p>
      <w:pPr>
        <w:spacing w:after="0" w:line="176" w:lineRule="exact"/>
        <w:rPr>
          <w:sz w:val="20"/>
          <w:szCs w:val="20"/>
          <w:color w:val="auto"/>
        </w:rPr>
      </w:pPr>
    </w:p>
    <w:p>
      <w:pPr>
        <w:ind w:left="1500" w:right="40" w:hanging="651"/>
        <w:spacing w:after="0" w:line="266" w:lineRule="auto"/>
        <w:tabs>
          <w:tab w:leader="none" w:pos="1480" w:val="left"/>
        </w:tabs>
        <w:rPr>
          <w:sz w:val="20"/>
          <w:szCs w:val="20"/>
          <w:color w:val="auto"/>
        </w:rPr>
      </w:pPr>
      <w:r>
        <w:rPr>
          <w:rFonts w:ascii="Times New Roman" w:cs="Times New Roman" w:eastAsia="Times New Roman" w:hAnsi="Times New Roman"/>
          <w:sz w:val="18"/>
          <w:szCs w:val="18"/>
          <w:color w:val="auto"/>
        </w:rPr>
        <w:t>4.15</w:t>
      </w:r>
      <w:r>
        <w:rPr>
          <w:sz w:val="20"/>
          <w:szCs w:val="20"/>
          <w:color w:val="auto"/>
        </w:rPr>
        <w:tab/>
      </w:r>
      <w:r>
        <w:rPr>
          <w:rFonts w:ascii="Times New Roman" w:cs="Times New Roman" w:eastAsia="Times New Roman" w:hAnsi="Times New Roman"/>
          <w:sz w:val="18"/>
          <w:szCs w:val="18"/>
          <w:color w:val="auto"/>
        </w:rPr>
        <w:t>Translation of the Voting Right Entrustment Agreement, dated as of December 31, 2009, between Fenghuang On-line and shareholders of Tianying Jiuzhou (incorporated by reference Exhibit 10.13 to our Registration Statement on Form F-1 (File No. 333-173666), initially filed with the Securities and Exchange Commission on April 21, 2011).</w:t>
      </w:r>
    </w:p>
    <w:p>
      <w:pPr>
        <w:spacing w:after="0" w:line="176" w:lineRule="exact"/>
        <w:rPr>
          <w:sz w:val="20"/>
          <w:szCs w:val="20"/>
          <w:color w:val="auto"/>
        </w:rPr>
      </w:pPr>
    </w:p>
    <w:p>
      <w:pPr>
        <w:ind w:left="1500" w:right="620" w:hanging="651"/>
        <w:spacing w:after="0" w:line="266" w:lineRule="auto"/>
        <w:tabs>
          <w:tab w:leader="none" w:pos="1480" w:val="left"/>
        </w:tabs>
        <w:rPr>
          <w:sz w:val="20"/>
          <w:szCs w:val="20"/>
          <w:color w:val="auto"/>
        </w:rPr>
      </w:pPr>
      <w:r>
        <w:rPr>
          <w:rFonts w:ascii="Times New Roman" w:cs="Times New Roman" w:eastAsia="Times New Roman" w:hAnsi="Times New Roman"/>
          <w:sz w:val="18"/>
          <w:szCs w:val="18"/>
          <w:color w:val="auto"/>
        </w:rPr>
        <w:t>4.16</w:t>
      </w:r>
      <w:r>
        <w:rPr>
          <w:sz w:val="20"/>
          <w:szCs w:val="20"/>
          <w:color w:val="auto"/>
        </w:rPr>
        <w:tab/>
      </w:r>
      <w:r>
        <w:rPr>
          <w:rFonts w:ascii="Times New Roman" w:cs="Times New Roman" w:eastAsia="Times New Roman" w:hAnsi="Times New Roman"/>
          <w:sz w:val="18"/>
          <w:szCs w:val="18"/>
          <w:color w:val="auto"/>
        </w:rPr>
        <w:t>Translation of the Voting Right Entrustment Agreement, dated as of December 31, 2009, between Fenghuang On-line and the shareholders of Yifeng Lianhe (incorporated by reference Exhibit 10.14 to our Registration Statement on Form F-1 (File No. 333-173666), initially filed with the Securities and Exchange Commission on April 21, 2011).</w:t>
      </w:r>
    </w:p>
    <w:p>
      <w:pPr>
        <w:spacing w:after="0" w:line="176" w:lineRule="exact"/>
        <w:rPr>
          <w:sz w:val="20"/>
          <w:szCs w:val="20"/>
          <w:color w:val="auto"/>
        </w:rPr>
      </w:pPr>
    </w:p>
    <w:p>
      <w:pPr>
        <w:ind w:left="1500" w:right="280" w:hanging="651"/>
        <w:spacing w:after="0" w:line="266" w:lineRule="auto"/>
        <w:tabs>
          <w:tab w:leader="none" w:pos="1480" w:val="left"/>
        </w:tabs>
        <w:rPr>
          <w:sz w:val="20"/>
          <w:szCs w:val="20"/>
          <w:color w:val="auto"/>
        </w:rPr>
      </w:pPr>
      <w:r>
        <w:rPr>
          <w:rFonts w:ascii="Times New Roman" w:cs="Times New Roman" w:eastAsia="Times New Roman" w:hAnsi="Times New Roman"/>
          <w:sz w:val="18"/>
          <w:szCs w:val="18"/>
          <w:color w:val="auto"/>
        </w:rPr>
        <w:t>4.17</w:t>
      </w:r>
      <w:r>
        <w:rPr>
          <w:sz w:val="20"/>
          <w:szCs w:val="20"/>
          <w:color w:val="auto"/>
        </w:rPr>
        <w:tab/>
      </w:r>
      <w:r>
        <w:rPr>
          <w:rFonts w:ascii="Times New Roman" w:cs="Times New Roman" w:eastAsia="Times New Roman" w:hAnsi="Times New Roman"/>
          <w:sz w:val="18"/>
          <w:szCs w:val="18"/>
          <w:color w:val="auto"/>
        </w:rPr>
        <w:t>Translation of the Content, Branding, Promotion and Technology Cooperation Agreement, dated November 24, 2009, between Fenghuang On-line and Phoenix TV (incorporated by reference Exhibit 10.5 to our Registration Statement on Form F-1 (File No. 333-173666), initially filed with the Securities and Exchange Commission on April 21, 2011).</w:t>
      </w:r>
    </w:p>
    <w:p>
      <w:pPr>
        <w:spacing w:after="0" w:line="176"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4.18</w:t>
      </w:r>
      <w:r>
        <w:rPr>
          <w:sz w:val="20"/>
          <w:szCs w:val="20"/>
          <w:color w:val="auto"/>
        </w:rPr>
        <w:tab/>
      </w:r>
      <w:r>
        <w:rPr>
          <w:rFonts w:ascii="Times New Roman" w:cs="Times New Roman" w:eastAsia="Times New Roman" w:hAnsi="Times New Roman"/>
          <w:sz w:val="17"/>
          <w:szCs w:val="17"/>
          <w:color w:val="auto"/>
        </w:rPr>
        <w:t>Translation of the Supplemental Agreement to the Content, Branding, Promotion and Technology Cooperation Agreement, dated</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March 28, 2011, between Fenghuang On-line and Phoenix TV (incorporated by reference Exhibit 10.16 to our Registration Statement on</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Form F-1 (File No. 333-173666), initially filed with the Securities and Exchange Commission on April 21, 2011).</w:t>
      </w:r>
    </w:p>
    <w:p>
      <w:pPr>
        <w:spacing w:after="0" w:line="207" w:lineRule="exact"/>
        <w:rPr>
          <w:sz w:val="20"/>
          <w:szCs w:val="20"/>
          <w:color w:val="auto"/>
        </w:rPr>
      </w:pPr>
    </w:p>
    <w:p>
      <w:pPr>
        <w:ind w:left="1500" w:right="60" w:hanging="651"/>
        <w:spacing w:after="0" w:line="261" w:lineRule="auto"/>
        <w:tabs>
          <w:tab w:leader="none" w:pos="1480" w:val="left"/>
        </w:tabs>
        <w:rPr>
          <w:sz w:val="20"/>
          <w:szCs w:val="20"/>
          <w:color w:val="auto"/>
        </w:rPr>
      </w:pPr>
      <w:r>
        <w:rPr>
          <w:rFonts w:ascii="Times New Roman" w:cs="Times New Roman" w:eastAsia="Times New Roman" w:hAnsi="Times New Roman"/>
          <w:sz w:val="18"/>
          <w:szCs w:val="18"/>
          <w:color w:val="auto"/>
        </w:rPr>
        <w:t>4.19</w:t>
      </w:r>
      <w:r>
        <w:rPr>
          <w:sz w:val="20"/>
          <w:szCs w:val="20"/>
          <w:color w:val="auto"/>
        </w:rPr>
        <w:tab/>
      </w:r>
      <w:r>
        <w:rPr>
          <w:rFonts w:ascii="Times New Roman" w:cs="Times New Roman" w:eastAsia="Times New Roman" w:hAnsi="Times New Roman"/>
          <w:sz w:val="18"/>
          <w:szCs w:val="18"/>
          <w:color w:val="auto"/>
        </w:rPr>
        <w:t>Translation of the Second Supplemental Agreement to the Content, Branding, Promotion and Technology Cooperation Agreement, dated March 24, 2016, between Fenghuang On-line and Phoenix TV (incorporated by reference Exhibit 4.19 to our Annual Report on Form 20-F for the Fiscal Year Ended December 31, 2015 (File No. 001-35158), initially filed with the Securities and Exchange Commission on April 28, 2016).</w:t>
      </w:r>
    </w:p>
    <w:p>
      <w:pPr>
        <w:spacing w:after="0" w:line="180" w:lineRule="exact"/>
        <w:rPr>
          <w:sz w:val="20"/>
          <w:szCs w:val="20"/>
          <w:color w:val="auto"/>
        </w:rPr>
      </w:pPr>
    </w:p>
    <w:p>
      <w:pPr>
        <w:ind w:left="1500" w:right="600" w:hanging="651"/>
        <w:spacing w:after="0" w:line="266" w:lineRule="auto"/>
        <w:tabs>
          <w:tab w:leader="none" w:pos="1480" w:val="left"/>
        </w:tabs>
        <w:rPr>
          <w:sz w:val="20"/>
          <w:szCs w:val="20"/>
          <w:color w:val="auto"/>
        </w:rPr>
      </w:pPr>
      <w:r>
        <w:rPr>
          <w:rFonts w:ascii="Times New Roman" w:cs="Times New Roman" w:eastAsia="Times New Roman" w:hAnsi="Times New Roman"/>
          <w:sz w:val="18"/>
          <w:szCs w:val="18"/>
          <w:color w:val="auto"/>
        </w:rPr>
        <w:t>4.20</w:t>
      </w:r>
      <w:r>
        <w:rPr>
          <w:sz w:val="20"/>
          <w:szCs w:val="20"/>
          <w:color w:val="auto"/>
        </w:rPr>
        <w:tab/>
      </w:r>
      <w:r>
        <w:rPr>
          <w:rFonts w:ascii="Times New Roman" w:cs="Times New Roman" w:eastAsia="Times New Roman" w:hAnsi="Times New Roman"/>
          <w:sz w:val="18"/>
          <w:szCs w:val="18"/>
          <w:color w:val="auto"/>
        </w:rPr>
        <w:t>Translation of the Program Content License Agreement, dated November 24, 2009, between Phoenix TV and Tianying Jiuzhou (incorporated by reference Exhibit 10.17 to our Registration Statement on Form F-1 (File No. 333-173666), initially filed with the Securities and Exchange Commission on April 21, 2011).</w:t>
      </w:r>
    </w:p>
    <w:p>
      <w:pPr>
        <w:spacing w:after="0" w:line="176" w:lineRule="exact"/>
        <w:rPr>
          <w:sz w:val="20"/>
          <w:szCs w:val="20"/>
          <w:color w:val="auto"/>
        </w:rPr>
      </w:pPr>
    </w:p>
    <w:p>
      <w:pPr>
        <w:ind w:left="1500" w:right="200" w:hanging="651"/>
        <w:spacing w:after="0" w:line="266" w:lineRule="auto"/>
        <w:tabs>
          <w:tab w:leader="none" w:pos="1480" w:val="left"/>
        </w:tabs>
        <w:rPr>
          <w:sz w:val="20"/>
          <w:szCs w:val="20"/>
          <w:color w:val="auto"/>
        </w:rPr>
      </w:pPr>
      <w:r>
        <w:rPr>
          <w:rFonts w:ascii="Times New Roman" w:cs="Times New Roman" w:eastAsia="Times New Roman" w:hAnsi="Times New Roman"/>
          <w:sz w:val="18"/>
          <w:szCs w:val="18"/>
          <w:color w:val="auto"/>
        </w:rPr>
        <w:t>4.21</w:t>
      </w:r>
      <w:r>
        <w:rPr>
          <w:sz w:val="20"/>
          <w:szCs w:val="20"/>
          <w:color w:val="auto"/>
        </w:rPr>
        <w:tab/>
      </w:r>
      <w:r>
        <w:rPr>
          <w:rFonts w:ascii="Times New Roman" w:cs="Times New Roman" w:eastAsia="Times New Roman" w:hAnsi="Times New Roman"/>
          <w:sz w:val="18"/>
          <w:szCs w:val="18"/>
          <w:color w:val="auto"/>
        </w:rPr>
        <w:t>Schedule of Material Differences between the Program Content Agreements entered into between Tianying Jiuzhou and Yifeng Lianhe, respectively, and Phoenix TV (incorporated by reference Exhibit 10.18 to our Registration Statement on Form F-1 (File No. 333-173666), initially filed with the Securities and Exchange Commission on April 21, 2011).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20" w:type="dxa"/>
            <w:vAlign w:val="bottom"/>
          </w:tcPr>
          <w:p>
            <w:pPr>
              <w:jc w:val="right"/>
              <w:ind w:right="5499"/>
              <w:spacing w:after="0"/>
              <w:rPr>
                <w:sz w:val="20"/>
                <w:szCs w:val="20"/>
                <w:color w:val="auto"/>
              </w:rPr>
            </w:pPr>
            <w:r>
              <w:rPr>
                <w:rFonts w:ascii="Times New Roman" w:cs="Times New Roman" w:eastAsia="Times New Roman" w:hAnsi="Times New Roman"/>
                <w:sz w:val="18"/>
                <w:szCs w:val="18"/>
                <w:color w:val="auto"/>
              </w:rPr>
              <w:t>131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500" w:type="dxa"/>
            <w:vAlign w:val="bottom"/>
            <w:gridSpan w:val="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9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2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24"/>
                <w:szCs w:val="24"/>
                <w:color w:val="auto"/>
              </w:rPr>
            </w:pPr>
          </w:p>
        </w:tc>
        <w:tc>
          <w:tcPr>
            <w:tcW w:w="9920" w:type="dxa"/>
            <w:vAlign w:val="bottom"/>
            <w:vMerge w:val="restart"/>
          </w:tcPr>
          <w:p>
            <w:pPr>
              <w:jc w:val="right"/>
              <w:ind w:right="4179"/>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gridSpan w:val="2"/>
          </w:tcPr>
          <w:p>
            <w:pPr>
              <w:spacing w:after="0"/>
              <w:rPr>
                <w:sz w:val="15"/>
                <w:szCs w:val="15"/>
                <w:color w:val="auto"/>
              </w:rPr>
            </w:pPr>
          </w:p>
        </w:tc>
        <w:tc>
          <w:tcPr>
            <w:tcW w:w="992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-721995</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-721995</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ind w:left="1500" w:right="240" w:hanging="651"/>
        <w:spacing w:after="0" w:line="266" w:lineRule="auto"/>
        <w:tabs>
          <w:tab w:leader="none" w:pos="1480" w:val="left"/>
        </w:tabs>
        <w:rPr>
          <w:sz w:val="20"/>
          <w:szCs w:val="20"/>
          <w:color w:val="auto"/>
        </w:rPr>
      </w:pPr>
      <w:r>
        <w:rPr>
          <w:rFonts w:ascii="Times New Roman" w:cs="Times New Roman" w:eastAsia="Times New Roman" w:hAnsi="Times New Roman"/>
          <w:sz w:val="18"/>
          <w:szCs w:val="18"/>
          <w:color w:val="auto"/>
        </w:rPr>
        <w:t>4.22</w:t>
      </w:r>
      <w:r>
        <w:rPr>
          <w:sz w:val="20"/>
          <w:szCs w:val="20"/>
          <w:color w:val="auto"/>
        </w:rPr>
        <w:tab/>
      </w:r>
      <w:r>
        <w:rPr>
          <w:rFonts w:ascii="Times New Roman" w:cs="Times New Roman" w:eastAsia="Times New Roman" w:hAnsi="Times New Roman"/>
          <w:sz w:val="18"/>
          <w:szCs w:val="18"/>
          <w:color w:val="auto"/>
        </w:rPr>
        <w:t>Confirmation Letter, dated April 14, 2011, among Tianying Jiuzhou, Yifeng Lianhe and Phoenix Satellite Television Company Limited (incorporated by reference Exhibit 10.19 to our Registration Statement on Form F-1 (File No. 333-173666), initially filed with the Securities and Exchange Commission on April 21, 2011).</w:t>
      </w:r>
    </w:p>
    <w:p>
      <w:pPr>
        <w:spacing w:after="0" w:line="176" w:lineRule="exact"/>
        <w:rPr>
          <w:sz w:val="20"/>
          <w:szCs w:val="20"/>
          <w:color w:val="auto"/>
        </w:rPr>
      </w:pPr>
    </w:p>
    <w:p>
      <w:pPr>
        <w:jc w:val="both"/>
        <w:ind w:left="1500" w:right="60" w:hanging="651"/>
        <w:spacing w:after="0" w:line="289" w:lineRule="auto"/>
        <w:tabs>
          <w:tab w:leader="none" w:pos="1480" w:val="left"/>
        </w:tabs>
        <w:rPr>
          <w:sz w:val="20"/>
          <w:szCs w:val="20"/>
          <w:color w:val="auto"/>
        </w:rPr>
      </w:pPr>
      <w:r>
        <w:rPr>
          <w:rFonts w:ascii="Times New Roman" w:cs="Times New Roman" w:eastAsia="Times New Roman" w:hAnsi="Times New Roman"/>
          <w:sz w:val="18"/>
          <w:szCs w:val="18"/>
          <w:color w:val="auto"/>
        </w:rPr>
        <w:t>4.23</w:t>
      </w:r>
      <w:r>
        <w:rPr>
          <w:sz w:val="20"/>
          <w:szCs w:val="20"/>
          <w:color w:val="auto"/>
        </w:rPr>
        <w:tab/>
      </w:r>
      <w:r>
        <w:rPr>
          <w:rFonts w:ascii="Times New Roman" w:cs="Times New Roman" w:eastAsia="Times New Roman" w:hAnsi="Times New Roman"/>
          <w:sz w:val="17"/>
          <w:szCs w:val="17"/>
          <w:color w:val="auto"/>
        </w:rPr>
        <w:t>Translation of the Second Supplemental Agreement to the Program Content License Agreement, dated March 24, 2016, between Phoenix TV, Tianying Jiuzhou and Yifeng Lianhe (incorporated by reference Exhibit 4.23 to our Annual Report on Form 20-F for the Fiscal Year Ended December 31, 2015 (File No. 001-35158), initially filed with the Securities and Exchange Commission on April 28, 2016).</w:t>
      </w:r>
    </w:p>
    <w:p>
      <w:pPr>
        <w:spacing w:after="0" w:line="158" w:lineRule="exact"/>
        <w:rPr>
          <w:sz w:val="20"/>
          <w:szCs w:val="20"/>
          <w:color w:val="auto"/>
        </w:rPr>
      </w:pPr>
    </w:p>
    <w:p>
      <w:pPr>
        <w:ind w:left="1500" w:right="480" w:hanging="651"/>
        <w:spacing w:after="0" w:line="313" w:lineRule="auto"/>
        <w:tabs>
          <w:tab w:leader="none" w:pos="1480" w:val="left"/>
        </w:tabs>
        <w:rPr>
          <w:sz w:val="20"/>
          <w:szCs w:val="20"/>
          <w:color w:val="auto"/>
        </w:rPr>
      </w:pPr>
      <w:r>
        <w:rPr>
          <w:rFonts w:ascii="Times New Roman" w:cs="Times New Roman" w:eastAsia="Times New Roman" w:hAnsi="Times New Roman"/>
          <w:sz w:val="18"/>
          <w:szCs w:val="18"/>
          <w:color w:val="auto"/>
        </w:rPr>
        <w:t>4.24</w:t>
      </w:r>
      <w:r>
        <w:rPr>
          <w:sz w:val="20"/>
          <w:szCs w:val="20"/>
          <w:color w:val="auto"/>
        </w:rPr>
        <w:tab/>
      </w:r>
      <w:r>
        <w:rPr>
          <w:rFonts w:ascii="Times New Roman" w:cs="Times New Roman" w:eastAsia="Times New Roman" w:hAnsi="Times New Roman"/>
          <w:sz w:val="17"/>
          <w:szCs w:val="17"/>
          <w:color w:val="auto"/>
        </w:rPr>
        <w:t>Translation of the Trademark License Agreement, dated as of November 24, 2009, between Phoenix Satellite Television Trademark Limited and Tianying Jiuzhou (incorporated by reference Exhibit 10.20 to our Registration Statement on Form F-1 (File No. 333-</w:t>
      </w:r>
    </w:p>
    <w:p>
      <w:pPr>
        <w:sectPr>
          <w:pgSz w:w="11900" w:h="16838" w:orient="portrait"/>
          <w:cols w:equalWidth="0" w:num="1">
            <w:col w:w="11460"/>
          </w:cols>
          <w:pgMar w:left="240" w:top="337" w:right="199" w:bottom="0" w:gutter="0" w:footer="0" w:header="0"/>
        </w:sectPr>
      </w:pPr>
    </w:p>
    <w:bookmarkStart w:id="96" w:name="page97"/>
    <w:bookmarkEnd w:id="96"/>
    <w:p>
      <w:pPr>
        <w:ind w:left="660"/>
        <w:spacing w:after="0"/>
        <w:rPr>
          <w:sz w:val="20"/>
          <w:szCs w:val="20"/>
          <w:color w:val="auto"/>
        </w:rPr>
      </w:pPr>
      <w:r>
        <w:rPr>
          <w:rFonts w:ascii="Times New Roman" w:cs="Times New Roman" w:eastAsia="Times New Roman" w:hAnsi="Times New Roman"/>
          <w:sz w:val="18"/>
          <w:szCs w:val="18"/>
          <w:color w:val="auto"/>
        </w:rPr>
        <w:t>173666), initially filed with the Securities and Exchange Commission on April 21, 2011).</w:t>
      </w:r>
    </w:p>
    <w:p>
      <w:pPr>
        <w:spacing w:after="0" w:line="225" w:lineRule="exact"/>
        <w:rPr>
          <w:sz w:val="20"/>
          <w:szCs w:val="20"/>
          <w:color w:val="auto"/>
        </w:rPr>
      </w:pPr>
    </w:p>
    <w:p>
      <w:pPr>
        <w:jc w:val="both"/>
        <w:ind w:left="660" w:right="80" w:hanging="651"/>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4.25</w:t>
      </w:r>
      <w:r>
        <w:rPr>
          <w:sz w:val="20"/>
          <w:szCs w:val="20"/>
          <w:color w:val="auto"/>
        </w:rPr>
        <w:tab/>
      </w:r>
      <w:r>
        <w:rPr>
          <w:rFonts w:ascii="Times New Roman" w:cs="Times New Roman" w:eastAsia="Times New Roman" w:hAnsi="Times New Roman"/>
          <w:sz w:val="18"/>
          <w:szCs w:val="18"/>
          <w:color w:val="auto"/>
        </w:rPr>
        <w:t>Schedule of material differences between the Trademark License Agreements entered into between Tianying Jiuzhou and Yifeng Lianhe, respectively, and Phoenix Satellite Television Trademark Limited (incorporated by reference Exhibit 10.21 to our Registration Statement on Form F-1 (File No. 333-173666), initially filed with the Securities and Exchange Commission on April 21, 2011).</w:t>
      </w:r>
    </w:p>
    <w:p>
      <w:pPr>
        <w:spacing w:after="0" w:line="176" w:lineRule="exact"/>
        <w:rPr>
          <w:sz w:val="20"/>
          <w:szCs w:val="20"/>
          <w:color w:val="auto"/>
        </w:rPr>
      </w:pPr>
    </w:p>
    <w:p>
      <w:pPr>
        <w:ind w:left="660" w:right="100" w:hanging="651"/>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4.26</w:t>
      </w:r>
      <w:r>
        <w:rPr>
          <w:sz w:val="20"/>
          <w:szCs w:val="20"/>
          <w:color w:val="auto"/>
        </w:rPr>
        <w:tab/>
      </w:r>
      <w:r>
        <w:rPr>
          <w:rFonts w:ascii="Times New Roman" w:cs="Times New Roman" w:eastAsia="Times New Roman" w:hAnsi="Times New Roman"/>
          <w:sz w:val="18"/>
          <w:szCs w:val="18"/>
          <w:color w:val="auto"/>
        </w:rPr>
        <w:t>Confirmation Letter, dated April 14, 2011, among Tianying Jiuzhou, Yifeng Lianhe and Phoenix Satellite Television Trademark Limited (incorporated by reference Exhibit 10.22 to our Registration Statement on Form F-1 (File No. 333-173666), initially filed with the Securities and Exchange Commission on April 21, 2011).</w:t>
      </w:r>
    </w:p>
    <w:p>
      <w:pPr>
        <w:spacing w:after="0" w:line="176" w:lineRule="exact"/>
        <w:rPr>
          <w:sz w:val="20"/>
          <w:szCs w:val="20"/>
          <w:color w:val="auto"/>
        </w:rPr>
      </w:pPr>
    </w:p>
    <w:p>
      <w:pPr>
        <w:ind w:left="660" w:right="180" w:hanging="651"/>
        <w:spacing w:after="0" w:line="289" w:lineRule="auto"/>
        <w:tabs>
          <w:tab w:leader="none" w:pos="640" w:val="left"/>
        </w:tabs>
        <w:rPr>
          <w:sz w:val="20"/>
          <w:szCs w:val="20"/>
          <w:color w:val="auto"/>
        </w:rPr>
      </w:pPr>
      <w:r>
        <w:rPr>
          <w:rFonts w:ascii="Times New Roman" w:cs="Times New Roman" w:eastAsia="Times New Roman" w:hAnsi="Times New Roman"/>
          <w:sz w:val="18"/>
          <w:szCs w:val="18"/>
          <w:color w:val="auto"/>
        </w:rPr>
        <w:t>4.27</w:t>
      </w:r>
      <w:r>
        <w:rPr>
          <w:sz w:val="20"/>
          <w:szCs w:val="20"/>
          <w:color w:val="auto"/>
        </w:rPr>
        <w:tab/>
      </w:r>
      <w:r>
        <w:rPr>
          <w:rFonts w:ascii="Times New Roman" w:cs="Times New Roman" w:eastAsia="Times New Roman" w:hAnsi="Times New Roman"/>
          <w:sz w:val="17"/>
          <w:szCs w:val="17"/>
          <w:color w:val="auto"/>
        </w:rPr>
        <w:t>Translation of the Second Supplemental Agreement to the Trademark License Agreement, dated March 24, 2016, between Phoenix TV, Tianying Jiuzhou and Yifeng Lianhe (incorporated by reference Exhibit 4.27 to our Annual Report on Form 20-F for the Fiscal Year Ended December 31, 2015 (File No. 001-35158), initially filed with the Securities and Exchange Commission on April 28, 2016).</w:t>
      </w:r>
    </w:p>
    <w:p>
      <w:pPr>
        <w:spacing w:after="0" w:line="158" w:lineRule="exact"/>
        <w:rPr>
          <w:sz w:val="20"/>
          <w:szCs w:val="20"/>
          <w:color w:val="auto"/>
        </w:rPr>
      </w:pPr>
    </w:p>
    <w:p>
      <w:pPr>
        <w:ind w:left="660" w:right="100" w:hanging="651"/>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4.28</w:t>
      </w:r>
      <w:r>
        <w:rPr>
          <w:sz w:val="20"/>
          <w:szCs w:val="20"/>
          <w:color w:val="auto"/>
        </w:rPr>
        <w:tab/>
      </w:r>
      <w:r>
        <w:rPr>
          <w:rFonts w:ascii="Times New Roman" w:cs="Times New Roman" w:eastAsia="Times New Roman" w:hAnsi="Times New Roman"/>
          <w:sz w:val="18"/>
          <w:szCs w:val="18"/>
          <w:color w:val="auto"/>
        </w:rPr>
        <w:t>Program Resource License Agreement between Phoenix Satellite Television Company Limited and Beijing Tianying Jiuzhou Network Technology Co., Ltd., dated May 27, 2016 (incorporated by reference Exhibit 99.2 to our report on Form 6-K (File No. 001-35158) filed with the Securities and Exchange Commission on May 27, 2016).</w:t>
      </w:r>
    </w:p>
    <w:p>
      <w:pPr>
        <w:spacing w:after="0" w:line="176" w:lineRule="exact"/>
        <w:rPr>
          <w:sz w:val="20"/>
          <w:szCs w:val="20"/>
          <w:color w:val="auto"/>
        </w:rPr>
      </w:pPr>
    </w:p>
    <w:p>
      <w:pPr>
        <w:jc w:val="both"/>
        <w:ind w:left="660" w:right="380" w:hanging="651"/>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4.29</w:t>
      </w:r>
      <w:r>
        <w:rPr>
          <w:sz w:val="20"/>
          <w:szCs w:val="20"/>
          <w:color w:val="auto"/>
        </w:rPr>
        <w:tab/>
      </w:r>
      <w:r>
        <w:rPr>
          <w:rFonts w:ascii="Times New Roman" w:cs="Times New Roman" w:eastAsia="Times New Roman" w:hAnsi="Times New Roman"/>
          <w:sz w:val="18"/>
          <w:szCs w:val="18"/>
          <w:color w:val="auto"/>
        </w:rPr>
        <w:t>Program Text/Graphics Resource License Agreement between Phoenix Satellite Television Company Limited and Beijing Tianying Jiuzhou Network Technology Co., Ltd., dated May 27, 2016 (incorporated by reference Exhibit 99.3 to our report on Form 6-K (File No. 001-35158) filed with the Securities and Exchange Commission on May 27, 2016).</w:t>
      </w:r>
    </w:p>
    <w:p>
      <w:pPr>
        <w:spacing w:after="0" w:line="176" w:lineRule="exact"/>
        <w:rPr>
          <w:sz w:val="20"/>
          <w:szCs w:val="20"/>
          <w:color w:val="auto"/>
        </w:rPr>
      </w:pPr>
    </w:p>
    <w:p>
      <w:pPr>
        <w:ind w:left="660" w:right="100" w:hanging="652"/>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4.30</w:t>
      </w:r>
      <w:r>
        <w:rPr>
          <w:sz w:val="20"/>
          <w:szCs w:val="20"/>
          <w:color w:val="auto"/>
        </w:rPr>
        <w:tab/>
      </w:r>
      <w:r>
        <w:rPr>
          <w:rFonts w:ascii="Times New Roman" w:cs="Times New Roman" w:eastAsia="Times New Roman" w:hAnsi="Times New Roman"/>
          <w:sz w:val="18"/>
          <w:szCs w:val="18"/>
          <w:color w:val="auto"/>
        </w:rPr>
        <w:t>Program Resource License Agreement between Phoenix Satellite Television Company Limited and Yifeng Lianhe (Beijing) Technology Co., Ltd., dated May 27, 2016 (incorporated by reference Exhibit 99.4 to our report on Form 6-K (File No. 001-35158) filed with the Securities and Exchange Commission on May 27, 2016).</w:t>
      </w:r>
    </w:p>
    <w:p>
      <w:pPr>
        <w:spacing w:after="0" w:line="176" w:lineRule="exact"/>
        <w:rPr>
          <w:sz w:val="20"/>
          <w:szCs w:val="20"/>
          <w:color w:val="auto"/>
        </w:rPr>
      </w:pPr>
    </w:p>
    <w:p>
      <w:pPr>
        <w:ind w:left="660" w:right="280" w:hanging="651"/>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4.31</w:t>
      </w:r>
      <w:r>
        <w:rPr>
          <w:sz w:val="20"/>
          <w:szCs w:val="20"/>
          <w:color w:val="auto"/>
        </w:rPr>
        <w:tab/>
      </w:r>
      <w:r>
        <w:rPr>
          <w:rFonts w:ascii="Times New Roman" w:cs="Times New Roman" w:eastAsia="Times New Roman" w:hAnsi="Times New Roman"/>
          <w:sz w:val="18"/>
          <w:szCs w:val="18"/>
          <w:color w:val="auto"/>
        </w:rPr>
        <w:t>Program Text/Graphics Resource License Agreement between Phoenix Satellite Television Company Limited and Yifeng Lianhe (Beijing) Technology Co., Ltd., dated May 27, 2016 (incorporated by reference Exhibit 99.5 to our report on Form 6-K (File No. 001-35158) filed with the Securities and Exchange Commission on May 27, 2016).</w:t>
      </w:r>
    </w:p>
    <w:p>
      <w:pPr>
        <w:spacing w:after="0" w:line="176" w:lineRule="exact"/>
        <w:rPr>
          <w:sz w:val="20"/>
          <w:szCs w:val="20"/>
          <w:color w:val="auto"/>
        </w:rPr>
      </w:pPr>
    </w:p>
    <w:p>
      <w:pPr>
        <w:ind w:left="660" w:right="360" w:hanging="651"/>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4.32</w:t>
      </w:r>
      <w:r>
        <w:rPr>
          <w:sz w:val="20"/>
          <w:szCs w:val="20"/>
          <w:color w:val="auto"/>
        </w:rPr>
        <w:tab/>
      </w:r>
      <w:r>
        <w:rPr>
          <w:rFonts w:ascii="Times New Roman" w:cs="Times New Roman" w:eastAsia="Times New Roman" w:hAnsi="Times New Roman"/>
          <w:sz w:val="18"/>
          <w:szCs w:val="18"/>
          <w:color w:val="auto"/>
        </w:rPr>
        <w:t>Program Resource License Agreement between Phoenix Satellite Television Company Limited and Beijing Fenghuang Interactive Entertainment Network Technology Co., Ltd, dated May 27, 2016 (incorporated by reference Exhibit 99.6 to our report on Form 6-K (File No. 001-35158) filed with the Securities and Exchange Commission on May 27, 2016).</w:t>
      </w:r>
    </w:p>
    <w:p>
      <w:pPr>
        <w:spacing w:after="0" w:line="176" w:lineRule="exact"/>
        <w:rPr>
          <w:sz w:val="20"/>
          <w:szCs w:val="20"/>
          <w:color w:val="auto"/>
        </w:rPr>
      </w:pPr>
    </w:p>
    <w:p>
      <w:pPr>
        <w:jc w:val="both"/>
        <w:ind w:left="660" w:right="280" w:hanging="651"/>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4.33</w:t>
      </w:r>
      <w:r>
        <w:rPr>
          <w:sz w:val="20"/>
          <w:szCs w:val="20"/>
          <w:color w:val="auto"/>
        </w:rPr>
        <w:tab/>
      </w:r>
      <w:r>
        <w:rPr>
          <w:rFonts w:ascii="Times New Roman" w:cs="Times New Roman" w:eastAsia="Times New Roman" w:hAnsi="Times New Roman"/>
          <w:sz w:val="18"/>
          <w:szCs w:val="18"/>
          <w:color w:val="auto"/>
        </w:rPr>
        <w:t>Program Text/Graphics Resource License Agreement between Phoenix Satellite Television Company Limited and Beijing Fenghuang Interactive Entertainment Network Technology Co., Ltd, dated May 27, 2016 (incorporated by reference Exhibit 99.7 to our report on Form 6-K (File No. 001-35158) filed with the Securities and Exchange Commission on May 27, 2016).</w:t>
      </w:r>
    </w:p>
    <w:p>
      <w:pPr>
        <w:spacing w:after="0" w:line="176" w:lineRule="exact"/>
        <w:rPr>
          <w:sz w:val="20"/>
          <w:szCs w:val="20"/>
          <w:color w:val="auto"/>
        </w:rPr>
      </w:pPr>
    </w:p>
    <w:p>
      <w:pPr>
        <w:ind w:left="660" w:hanging="651"/>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4.34</w:t>
      </w:r>
      <w:r>
        <w:rPr>
          <w:sz w:val="20"/>
          <w:szCs w:val="20"/>
          <w:color w:val="auto"/>
        </w:rPr>
        <w:tab/>
      </w:r>
      <w:r>
        <w:rPr>
          <w:rFonts w:ascii="Times New Roman" w:cs="Times New Roman" w:eastAsia="Times New Roman" w:hAnsi="Times New Roman"/>
          <w:sz w:val="18"/>
          <w:szCs w:val="18"/>
          <w:color w:val="auto"/>
        </w:rPr>
        <w:t>The Third Supplemental Agreement to the Trademark License Agreement by and among Phoenix Satellite Television Trademark Limited, Beijing Tianying Jiuzhou Network Technology Co., Ltd. and Yifeng Lianhe (Beijing) Technology Co., Ltd., dated May 27, 2016 (incorporated by reference Exhibit 99.8 to our report on Form 6-K (File No. 001-35158) filed with the Securities and Exchange Commission on May 27, 2016).</w:t>
      </w:r>
    </w:p>
    <w:p>
      <w:pPr>
        <w:spacing w:after="0" w:line="180" w:lineRule="exact"/>
        <w:rPr>
          <w:sz w:val="20"/>
          <w:szCs w:val="20"/>
          <w:color w:val="auto"/>
        </w:rPr>
      </w:pPr>
    </w:p>
    <w:p>
      <w:pPr>
        <w:ind w:left="660" w:right="500" w:hanging="651"/>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4.35</w:t>
      </w:r>
      <w:r>
        <w:rPr>
          <w:sz w:val="20"/>
          <w:szCs w:val="20"/>
          <w:color w:val="auto"/>
        </w:rPr>
        <w:tab/>
      </w:r>
      <w:r>
        <w:rPr>
          <w:rFonts w:ascii="Times New Roman" w:cs="Times New Roman" w:eastAsia="Times New Roman" w:hAnsi="Times New Roman"/>
          <w:sz w:val="18"/>
          <w:szCs w:val="18"/>
          <w:color w:val="auto"/>
        </w:rPr>
        <w:t>Loan Agreement Memorandum, dated as of January 3, 2011, between Phoenix Satellite Television Co., Ltd and Phoenix Satellite Television Information Limited (incorporated by reference Exhibit 10.23 to our Registration Statement on Form F-1 (File No. 333-173666), initially filed with the Securities and Exchange Commission on April 21, 2011).</w:t>
      </w:r>
    </w:p>
    <w:p>
      <w:pPr>
        <w:spacing w:after="0" w:line="176" w:lineRule="exact"/>
        <w:rPr>
          <w:sz w:val="20"/>
          <w:szCs w:val="20"/>
          <w:color w:val="auto"/>
        </w:rPr>
      </w:pPr>
    </w:p>
    <w:p>
      <w:pPr>
        <w:jc w:val="both"/>
        <w:ind w:left="660" w:right="260" w:hanging="651"/>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4.36</w:t>
      </w:r>
      <w:r>
        <w:rPr>
          <w:sz w:val="20"/>
          <w:szCs w:val="20"/>
          <w:color w:val="auto"/>
        </w:rPr>
        <w:tab/>
      </w:r>
      <w:r>
        <w:rPr>
          <w:rFonts w:ascii="Times New Roman" w:cs="Times New Roman" w:eastAsia="Times New Roman" w:hAnsi="Times New Roman"/>
          <w:sz w:val="18"/>
          <w:szCs w:val="18"/>
          <w:color w:val="auto"/>
        </w:rPr>
        <w:t>Translation of the Cooperation Agreement, dated as of December 29, 2009, between China Mobile Communications Corporation and Tianying Jiuzhou (incorporated by reference Exhibit 10.24 to our Registration Statement on Form F-1 (File No. 333-173666), initially filed with the Securities and Exchange Commission on April 21, 2011).</w:t>
      </w:r>
    </w:p>
    <w:p>
      <w:pPr>
        <w:spacing w:after="0" w:line="176" w:lineRule="exact"/>
        <w:rPr>
          <w:sz w:val="20"/>
          <w:szCs w:val="20"/>
          <w:color w:val="auto"/>
        </w:rPr>
      </w:pPr>
    </w:p>
    <w:p>
      <w:pPr>
        <w:ind w:left="660" w:right="260" w:hanging="651"/>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4.37</w:t>
      </w:r>
      <w:r>
        <w:rPr>
          <w:sz w:val="20"/>
          <w:szCs w:val="20"/>
          <w:color w:val="auto"/>
        </w:rPr>
        <w:tab/>
      </w:r>
      <w:r>
        <w:rPr>
          <w:rFonts w:ascii="Times New Roman" w:cs="Times New Roman" w:eastAsia="Times New Roman" w:hAnsi="Times New Roman"/>
          <w:sz w:val="18"/>
          <w:szCs w:val="18"/>
          <w:color w:val="auto"/>
        </w:rPr>
        <w:t>Translation of the Cooperation Agreement, dated as of February 14, 2011, between China Mobile Communications Corporation and Tianying Jiuzhou (incorporated by reference Exhibit 10.25 to our Registration Statement on Form F-1 (File No. 333-173666), initially filed with the Securities and Exchange Commission on April 21, 2011).</w:t>
      </w:r>
    </w:p>
    <w:p>
      <w:pPr>
        <w:spacing w:after="0" w:line="176" w:lineRule="exact"/>
        <w:rPr>
          <w:sz w:val="20"/>
          <w:szCs w:val="20"/>
          <w:color w:val="auto"/>
        </w:rPr>
      </w:pPr>
    </w:p>
    <w:p>
      <w:pPr>
        <w:ind w:left="660" w:right="40" w:hanging="742"/>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*4.38</w:t>
      </w:r>
      <w:r>
        <w:rPr>
          <w:sz w:val="20"/>
          <w:szCs w:val="20"/>
          <w:color w:val="auto"/>
        </w:rPr>
        <w:tab/>
      </w:r>
      <w:r>
        <w:rPr>
          <w:rFonts w:ascii="Times New Roman" w:cs="Times New Roman" w:eastAsia="Times New Roman" w:hAnsi="Times New Roman"/>
          <w:sz w:val="18"/>
          <w:szCs w:val="18"/>
          <w:color w:val="auto"/>
        </w:rPr>
        <w:t>Schedule of Material Differences between the Cooperation Agreement, dated as of February 14, 2011, between China Mobile Communications Corporation and Beijing Tianying Jiuzhou Network Technology Co., Ltd. entered into in 2011, filed as Exhibit 10.25 to the Registration Statement on Form F-1 (File No. 333-173666) (“Cooperation Agreement 2011”), the Cooperation Agreement, dated as of June 20, 2014, between China Mobile Communications Corporation and Beijing Tianying Jiuzhou Network Technology Co., Ltd. entered into in 2014 (“Cooperation Agreement 2014”), the Cooperation Agreement, dated as of September 16, 2015, between China Mobile Communications Corporation and Beijing Tianying Jiuzhou Network Technology Co., Ltd. entered into in 2015 (“Cooperation Agreement 2015”) and the Cooperation Agreement, dated as of January 16, 2017, between China Mobile Communications Corporation and Beijing Tianying Jiuzhou Network Technology Co., Ltd. entered into in 2017 and as to 2016 and 2017 (“Cooperation Agreement 2016”).</w:t>
      </w:r>
    </w:p>
    <w:p>
      <w:pPr>
        <w:spacing w:after="0" w:line="189" w:lineRule="exact"/>
        <w:rPr>
          <w:sz w:val="20"/>
          <w:szCs w:val="20"/>
          <w:color w:val="auto"/>
        </w:rPr>
      </w:pPr>
    </w:p>
    <w:p>
      <w:pPr>
        <w:ind w:left="660" w:right="40" w:hanging="651"/>
        <w:spacing w:after="0" w:line="281" w:lineRule="auto"/>
        <w:tabs>
          <w:tab w:leader="none" w:pos="640" w:val="left"/>
        </w:tabs>
        <w:rPr>
          <w:sz w:val="20"/>
          <w:szCs w:val="20"/>
          <w:color w:val="auto"/>
        </w:rPr>
      </w:pPr>
      <w:r>
        <w:rPr>
          <w:rFonts w:ascii="Times New Roman" w:cs="Times New Roman" w:eastAsia="Times New Roman" w:hAnsi="Times New Roman"/>
          <w:sz w:val="18"/>
          <w:szCs w:val="18"/>
          <w:color w:val="auto"/>
        </w:rPr>
        <w:t>4.39</w:t>
      </w:r>
      <w:r>
        <w:rPr>
          <w:sz w:val="20"/>
          <w:szCs w:val="20"/>
          <w:color w:val="auto"/>
        </w:rPr>
        <w:tab/>
      </w:r>
      <w:r>
        <w:rPr>
          <w:rFonts w:ascii="Times New Roman" w:cs="Times New Roman" w:eastAsia="Times New Roman" w:hAnsi="Times New Roman"/>
          <w:sz w:val="17"/>
          <w:szCs w:val="17"/>
          <w:color w:val="auto"/>
        </w:rPr>
        <w:t>Share Purchase Agreement, dated as of September 10, 2014, among Particle Inc., Particle (HK) Limited, Beijing Particle Information Technology Co., Ltd., Beijing Yidianwangju Technology Co., Ltd., Zhaohui Zheng, Xuyang Ren, Xin Li, Rongqing Lu, Shunwei TMT II Limited, Red Better Limited and our company (incorporated by reference Exhibit 4.29 to our Annual Report on Form 20-F for the Fiscal Year Ended December 31, 2014 (File No. 001-35158), initially filed with the Securities and Exchange Commission on April 30, 2015).</w:t>
      </w:r>
    </w:p>
    <w:p>
      <w:pPr>
        <w:spacing w:after="0" w:line="165" w:lineRule="exact"/>
        <w:rPr>
          <w:sz w:val="20"/>
          <w:szCs w:val="20"/>
          <w:color w:val="auto"/>
        </w:rPr>
      </w:pPr>
    </w:p>
    <w:p>
      <w:pPr>
        <w:jc w:val="both"/>
        <w:ind w:left="660" w:right="140" w:hanging="651"/>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4.40</w:t>
      </w:r>
      <w:r>
        <w:rPr>
          <w:sz w:val="20"/>
          <w:szCs w:val="20"/>
          <w:color w:val="auto"/>
        </w:rPr>
        <w:tab/>
      </w:r>
      <w:r>
        <w:rPr>
          <w:rFonts w:ascii="Times New Roman" w:cs="Times New Roman" w:eastAsia="Times New Roman" w:hAnsi="Times New Roman"/>
          <w:sz w:val="18"/>
          <w:szCs w:val="18"/>
          <w:color w:val="auto"/>
        </w:rPr>
        <w:t>Share Purchase Agreement, dated as of November 7, 2014, among Zhaohui Zheng, Xin Li, Rongqing Lu, Tengteng Kong, Weijian Lin, Kaifeng Xu, Miao Liu, Yuanyuan Wang, Xiaoxi Wu, Fubo Wang, Shi’an Peng, Sha Zhou, Qiyu Tan and our company (incorporated by reference Exhibit 4.30 to our Annual Report on Form 20-F for the Fiscal Year Ended December 31, 2014 (File No. 001-35158), initially filed with the Securities and Exchange Commission on April 30, 2015).</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4.41</w:t>
      </w:r>
      <w:r>
        <w:rPr>
          <w:sz w:val="20"/>
          <w:szCs w:val="20"/>
          <w:color w:val="auto"/>
        </w:rPr>
        <w:tab/>
      </w:r>
      <w:r>
        <w:rPr>
          <w:rFonts w:ascii="Times New Roman" w:cs="Times New Roman" w:eastAsia="Times New Roman" w:hAnsi="Times New Roman"/>
          <w:sz w:val="17"/>
          <w:szCs w:val="17"/>
          <w:color w:val="auto"/>
        </w:rPr>
        <w:t>Share Purchase Agreement, dated as of February 10, 2015, among Particle Inc., Particle (HK) Limited, Beijing Particle Information</w:t>
      </w:r>
    </w:p>
    <w:p>
      <w:pPr>
        <w:sectPr>
          <w:pgSz w:w="11900" w:h="16838" w:orient="portrait"/>
          <w:cols w:equalWidth="0" w:num="1">
            <w:col w:w="10580"/>
          </w:cols>
          <w:pgMar w:left="1080" w:top="121" w:right="239" w:bottom="0" w:gutter="0" w:footer="0" w:header="0"/>
        </w:sectPr>
      </w:pPr>
    </w:p>
    <w:bookmarkStart w:id="97" w:name="page98"/>
    <w:bookmarkEnd w:id="97"/>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 Co., Ltd., Beijing Yidianwangju Technology Co., Ltd., Zhaohui Zheng, Xuyang Ren, Xin Li, Rongqing Lu, Shunwei TMT II</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Limited, Red Better Limited and our company (incorporated by reference Exhibit 4.31 to our Annual Report on Form 20-F for the Fiscal</w:t>
            </w: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Year Ended December 31, 2014 (File No. 001-35158), initially filed with the Securities and Exchange Commission on April 30, 2015).</w:t>
            </w:r>
          </w:p>
        </w:tc>
      </w:tr>
      <w:tr>
        <w:trPr>
          <w:trHeight w:val="432"/>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tcPr>
          <w:p>
            <w:pPr>
              <w:ind w:left="4200"/>
              <w:spacing w:after="0"/>
              <w:rPr>
                <w:sz w:val="20"/>
                <w:szCs w:val="20"/>
                <w:color w:val="auto"/>
              </w:rPr>
            </w:pPr>
            <w:r>
              <w:rPr>
                <w:rFonts w:ascii="Times New Roman" w:cs="Times New Roman" w:eastAsia="Times New Roman" w:hAnsi="Times New Roman"/>
                <w:sz w:val="18"/>
                <w:szCs w:val="18"/>
                <w:color w:val="auto"/>
              </w:rPr>
              <w:t>132</w:t>
            </w:r>
          </w:p>
        </w:tc>
      </w:tr>
      <w:tr>
        <w:trPr>
          <w:trHeight w:val="132"/>
        </w:trPr>
        <w:tc>
          <w:tcPr>
            <w:tcW w:w="12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80" w:type="dxa"/>
            <w:vAlign w:val="bottom"/>
            <w:tcBorders>
              <w:bottom w:val="single" w:sz="8" w:color="808080"/>
            </w:tcBorders>
          </w:tcPr>
          <w:p>
            <w:pPr>
              <w:spacing w:after="0"/>
              <w:rPr>
                <w:sz w:val="11"/>
                <w:szCs w:val="11"/>
                <w:color w:val="auto"/>
              </w:rPr>
            </w:pPr>
          </w:p>
        </w:tc>
      </w:tr>
      <w:tr>
        <w:trPr>
          <w:trHeight w:val="523"/>
        </w:trPr>
        <w:tc>
          <w:tcPr>
            <w:tcW w:w="138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0080" w:type="dxa"/>
            <w:vAlign w:val="bottom"/>
          </w:tcPr>
          <w:p>
            <w:pPr>
              <w:spacing w:after="0"/>
              <w:rPr>
                <w:sz w:val="24"/>
                <w:szCs w:val="24"/>
                <w:color w:val="auto"/>
              </w:rPr>
            </w:pPr>
          </w:p>
        </w:tc>
      </w:tr>
      <w:tr>
        <w:trPr>
          <w:trHeight w:val="434"/>
        </w:trPr>
        <w:tc>
          <w:tcPr>
            <w:tcW w:w="1280" w:type="dxa"/>
            <w:vAlign w:val="bottom"/>
            <w:tcBorders>
              <w:top w:val="single" w:sz="8" w:color="0000EE"/>
            </w:tcBorders>
          </w:tcPr>
          <w:p>
            <w:pPr>
              <w:jc w:val="right"/>
              <w:ind w:right="30"/>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 Purchase Agreement, dated as of February 10, 2015, among IDG Technology Venture Investment V, L.P., Yifang Technology</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Group, Ltd. and our company (incorporated by reference Exhibit 4.32 to our Annual Report on Form 20-F for the Fiscal Year Ended</w:t>
            </w: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2014 (File No. 001-35158), initially filed with the Securities and Exchange Commission on April 30, 2015).</w:t>
            </w:r>
          </w:p>
        </w:tc>
      </w:tr>
      <w:tr>
        <w:trPr>
          <w:trHeight w:val="414"/>
        </w:trPr>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 Agreement, dated as of January 28, 2016, among Particle Inc., Particle (HK) Limited, Beijing Particle Information Technology</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Co., Ltd., Beijing Yidianwangju Technology Co., Ltd., and our company (incorporated by reference Exhibit 4.36 to our Annual Report on</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20-F for the Fiscal Year Ended December 31, 2015 (File No. 001-35158), initially filed with the Securities and Exchange</w:t>
            </w: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Commission on April 28, 2016).</w:t>
            </w:r>
          </w:p>
        </w:tc>
      </w:tr>
      <w:tr>
        <w:trPr>
          <w:trHeight w:val="414"/>
        </w:trPr>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 Agreement, dated as of April 5, 2016, among Particle Inc., Particle (HK) Limited, Beijing Particle Information Technology</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Co., Ltd., Beijing Yidianwangju Technology Co., Ltd., and our company (incorporated by reference Exhibit 4.37 to our Annual Report on</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20-F for the Fiscal Year Ended December 31, 2015 (File No. 001-35158), initially filed with the Securities and Exchange</w:t>
            </w: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Commission on April 28, 2016).</w:t>
            </w:r>
          </w:p>
        </w:tc>
      </w:tr>
      <w:tr>
        <w:trPr>
          <w:trHeight w:val="414"/>
        </w:trPr>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 Agreement, dated as of August 10, 2016, among Particle Inc., Particle (HK) Limited, Beijing Particle Information Technology</w:t>
            </w: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 Ltd., Beijing Yidianwangju Technology Co., Ltd., and our company.</w:t>
            </w:r>
          </w:p>
        </w:tc>
      </w:tr>
      <w:tr>
        <w:trPr>
          <w:trHeight w:val="414"/>
        </w:trPr>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 No. 1 to Loan Agreement Dated as of August 10, 2016, dated as of January 20, 2017, among Particle Inc., Particle (HK)</w:t>
            </w: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Limited, Beijing Particle Information Technology Co., Ltd., Beijing Yidianwangju Technology Co., Ltd., and our company.</w:t>
            </w:r>
          </w:p>
        </w:tc>
      </w:tr>
      <w:tr>
        <w:trPr>
          <w:trHeight w:val="414"/>
        </w:trPr>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 Agreement, dated as of November 2, 2016, among Particle Inc., Particle (HK) Limited, Beijing Particle Information Technology</w:t>
            </w: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 Ltd., Beijing Yidianwangju Technology Co., Ltd., and our company.</w:t>
            </w:r>
          </w:p>
        </w:tc>
      </w:tr>
      <w:tr>
        <w:trPr>
          <w:trHeight w:val="414"/>
        </w:trPr>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 No. 1 to Loan Agreement Dated as of November 2, 2016, dated as of January 20, 2017, among Particle Inc., Particle (HK)</w:t>
            </w: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Limited, Beijing Particle Information Technology Co., Ltd., Beijing Yidianwangju Technology Co., Ltd., and our company.</w:t>
            </w:r>
          </w:p>
        </w:tc>
      </w:tr>
      <w:tr>
        <w:trPr>
          <w:trHeight w:val="414"/>
        </w:trPr>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English Translation of the Loan Agreement, dated as of January 20, 2017, among Particle Inc., Particle (HK) Limited, Beijing Particle</w:t>
            </w: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Information Technology Co., Ltd., Beijing Yidianwangju Technology Co., Ltd., and our company.</w:t>
            </w:r>
          </w:p>
        </w:tc>
      </w:tr>
      <w:tr>
        <w:trPr>
          <w:trHeight w:val="432"/>
        </w:trPr>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List of Subsidiaries</w:t>
            </w:r>
          </w:p>
        </w:tc>
      </w:tr>
      <w:tr>
        <w:trPr>
          <w:trHeight w:val="414"/>
        </w:trPr>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Code of Business conduct and Ethics of the Registrant (incorporated by reference Exhibit 99.1 to our Registration Statement on Form F-1</w:t>
            </w: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(File No. 333-173666), initially filed with the Securities and Exchange Commission on April 21, 2011).</w:t>
            </w:r>
          </w:p>
        </w:tc>
      </w:tr>
      <w:tr>
        <w:trPr>
          <w:trHeight w:val="432"/>
        </w:trPr>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our Chief Executive Officer pursuant to Section 302 of the Sarbanes-Oxley Act of 2002</w:t>
            </w:r>
          </w:p>
        </w:tc>
      </w:tr>
      <w:tr>
        <w:trPr>
          <w:trHeight w:val="432"/>
        </w:trPr>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our Chief Financial Officer pursuant to Section 302 of the Sarbanes-Oxley Act of 2002</w:t>
            </w:r>
          </w:p>
        </w:tc>
      </w:tr>
      <w:tr>
        <w:trPr>
          <w:trHeight w:val="414"/>
        </w:trPr>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our Chief Executive Officer pursuant to 18 U.S.C. Section 1350 as adopted pursuant to Section 906 of the Sarbanes-</w:t>
            </w: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414"/>
        </w:trPr>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our Chief Financial Officer pursuant to 18 U.S.C Section 1350 as adopted pursuant to Section 906 of the Sarbanes-Oxley</w:t>
            </w: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 of 2002</w:t>
            </w:r>
          </w:p>
        </w:tc>
      </w:tr>
      <w:tr>
        <w:trPr>
          <w:trHeight w:val="432"/>
        </w:trPr>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r>
        <w:trPr>
          <w:trHeight w:val="432"/>
        </w:trPr>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Consent of Zhong Lun Law Firm</w:t>
            </w:r>
          </w:p>
        </w:tc>
      </w:tr>
      <w:tr>
        <w:trPr>
          <w:trHeight w:val="432"/>
        </w:trPr>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101.INS</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Instance Document. *</w:t>
            </w:r>
          </w:p>
        </w:tc>
      </w:tr>
      <w:tr>
        <w:trPr>
          <w:trHeight w:val="432"/>
        </w:trPr>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101.SCH</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Schema Document. *</w:t>
            </w:r>
          </w:p>
        </w:tc>
      </w:tr>
      <w:tr>
        <w:trPr>
          <w:trHeight w:val="432"/>
        </w:trPr>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101.CAL</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Calculation Linkbase Document. *</w:t>
            </w:r>
          </w:p>
        </w:tc>
      </w:tr>
      <w:tr>
        <w:trPr>
          <w:trHeight w:val="432"/>
        </w:trPr>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101.DEF</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Definition Linkbase Document. *</w:t>
            </w:r>
          </w:p>
        </w:tc>
      </w:tr>
      <w:tr>
        <w:trPr>
          <w:trHeight w:val="432"/>
        </w:trPr>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101.LAB</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Labels Linkbase Document. *</w:t>
            </w:r>
          </w:p>
        </w:tc>
      </w:tr>
      <w:tr>
        <w:trPr>
          <w:trHeight w:val="432"/>
        </w:trPr>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101.PRE</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-8620125</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-8620125</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40" w:hanging="532"/>
        <w:spacing w:after="0"/>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72" w:orient="portrait"/>
          <w:cols w:equalWidth="0" w:num="1">
            <w:col w:w="11460"/>
          </w:cols>
          <w:pgMar w:left="240" w:top="121" w:right="19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ectPr>
          <w:pgSz w:w="11900" w:h="16872" w:orient="portrait"/>
          <w:cols w:equalWidth="0" w:num="1">
            <w:col w:w="11460"/>
          </w:cols>
          <w:pgMar w:left="240" w:top="121" w:right="199" w:bottom="0" w:gutter="0" w:footer="0" w:header="0"/>
          <w:type w:val="continuous"/>
        </w:sectPr>
      </w:pPr>
    </w:p>
    <w:bookmarkStart w:id="98" w:name="page99"/>
    <w:bookmarkEnd w:id="9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740" w:type="dxa"/>
            <w:vAlign w:val="bottom"/>
            <w:gridSpan w:val="7"/>
          </w:tcPr>
          <w:p>
            <w:pPr>
              <w:ind w:left="1080"/>
              <w:spacing w:after="0"/>
              <w:rPr>
                <w:sz w:val="20"/>
                <w:szCs w:val="20"/>
                <w:color w:val="auto"/>
              </w:rPr>
            </w:pPr>
            <w:r>
              <w:rPr>
                <w:rFonts w:ascii="Times New Roman" w:cs="Times New Roman" w:eastAsia="Times New Roman" w:hAnsi="Times New Roman"/>
                <w:sz w:val="18"/>
                <w:szCs w:val="18"/>
                <w:color w:val="auto"/>
              </w:rPr>
              <w:t>Phoenix New Media Limited</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/s/ Betty Yip Ho</w:t>
            </w:r>
          </w:p>
        </w:tc>
        <w:tc>
          <w:tcPr>
            <w:tcW w:w="10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7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320" w:type="dxa"/>
            <w:vAlign w:val="bottom"/>
            <w:gridSpan w:val="4"/>
          </w:tcPr>
          <w:p>
            <w:pPr>
              <w:ind w:left="100"/>
              <w:spacing w:after="0" w:line="191" w:lineRule="exact"/>
              <w:rPr>
                <w:sz w:val="20"/>
                <w:szCs w:val="20"/>
                <w:color w:val="auto"/>
              </w:rPr>
            </w:pPr>
            <w:r>
              <w:rPr>
                <w:rFonts w:ascii="Times New Roman" w:cs="Times New Roman" w:eastAsia="Times New Roman" w:hAnsi="Times New Roman"/>
                <w:sz w:val="18"/>
                <w:szCs w:val="18"/>
                <w:color w:val="auto"/>
              </w:rPr>
              <w:t>Betty Yip Ho</w:t>
            </w: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3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Date: April 28, 2017</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360" w:type="dxa"/>
            <w:vAlign w:val="bottom"/>
            <w:gridSpan w:val="6"/>
          </w:tcPr>
          <w:p>
            <w:pPr>
              <w:jc w:val="center"/>
              <w:ind w:left="4972"/>
              <w:spacing w:after="0"/>
              <w:rPr>
                <w:sz w:val="20"/>
                <w:szCs w:val="20"/>
                <w:color w:val="auto"/>
              </w:rPr>
            </w:pPr>
            <w:r>
              <w:rPr>
                <w:rFonts w:ascii="Times New Roman" w:cs="Times New Roman" w:eastAsia="Times New Roman" w:hAnsi="Times New Roman"/>
                <w:sz w:val="18"/>
                <w:szCs w:val="18"/>
                <w:color w:val="auto"/>
                <w:w w:val="96"/>
              </w:rPr>
              <w:t>134</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188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2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6360" w:type="dxa"/>
            <w:vAlign w:val="bottom"/>
            <w:gridSpan w:val="6"/>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6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Phoenix New Media Limited</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240" w:type="dxa"/>
            <w:vAlign w:val="bottom"/>
            <w:gridSpan w:val="9"/>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63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Contents</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69"/>
        </w:trPr>
        <w:tc>
          <w:tcPr>
            <w:tcW w:w="20" w:type="dxa"/>
            <w:vAlign w:val="bottom"/>
          </w:tcPr>
          <w:p>
            <w:pPr>
              <w:spacing w:after="0"/>
              <w:rPr>
                <w:sz w:val="14"/>
                <w:szCs w:val="14"/>
                <w:color w:val="auto"/>
              </w:rPr>
            </w:pPr>
          </w:p>
        </w:tc>
        <w:tc>
          <w:tcPr>
            <w:tcW w:w="6340" w:type="dxa"/>
            <w:vAlign w:val="bottom"/>
            <w:tcBorders>
              <w:top w:val="single" w:sz="8" w:color="auto"/>
            </w:tcBorders>
            <w:gridSpan w:val="5"/>
          </w:tcPr>
          <w:p>
            <w:pPr>
              <w:spacing w:after="0" w:line="170" w:lineRule="exact"/>
              <w:rPr>
                <w:rFonts w:ascii="Times New Roman" w:cs="Times New Roman" w:eastAsia="Times New Roman" w:hAnsi="Times New Roman"/>
                <w:sz w:val="18"/>
                <w:szCs w:val="18"/>
                <w:color w:val="0000EE"/>
              </w:rPr>
            </w:pPr>
            <w:hyperlink w:anchor="page99">
              <w:r>
                <w:rPr>
                  <w:rFonts w:ascii="Times New Roman" w:cs="Times New Roman" w:eastAsia="Times New Roman" w:hAnsi="Times New Roman"/>
                  <w:sz w:val="18"/>
                  <w:szCs w:val="18"/>
                  <w:color w:val="0000EE"/>
                </w:rPr>
                <w:t>Report of Independent Registered Public Accounting Firm</w:t>
              </w:r>
            </w:hyperlink>
          </w:p>
        </w:tc>
        <w:tc>
          <w:tcPr>
            <w:tcW w:w="6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2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top w:val="single" w:sz="8" w:color="auto"/>
            </w:tcBorders>
          </w:tcPr>
          <w:p>
            <w:pPr>
              <w:ind w:left="780"/>
              <w:spacing w:after="0" w:line="170" w:lineRule="exact"/>
              <w:rPr>
                <w:sz w:val="20"/>
                <w:szCs w:val="20"/>
                <w:color w:val="auto"/>
              </w:rPr>
            </w:pPr>
            <w:r>
              <w:rPr>
                <w:rFonts w:ascii="Times New Roman" w:cs="Times New Roman" w:eastAsia="Times New Roman" w:hAnsi="Times New Roman"/>
                <w:sz w:val="18"/>
                <w:szCs w:val="18"/>
                <w:color w:val="auto"/>
                <w:w w:val="87"/>
              </w:rPr>
              <w:t>F-2</w:t>
            </w:r>
          </w:p>
        </w:tc>
        <w:tc>
          <w:tcPr>
            <w:tcW w:w="40" w:type="dxa"/>
            <w:vAlign w:val="bottom"/>
          </w:tcPr>
          <w:p>
            <w:pPr>
              <w:spacing w:after="0"/>
              <w:rPr>
                <w:sz w:val="14"/>
                <w:szCs w:val="14"/>
                <w:color w:val="auto"/>
              </w:rPr>
            </w:pPr>
          </w:p>
        </w:tc>
      </w:tr>
      <w:tr>
        <w:trPr>
          <w:trHeight w:val="20"/>
        </w:trPr>
        <w:tc>
          <w:tcPr>
            <w:tcW w:w="3160" w:type="dxa"/>
            <w:vAlign w:val="bottom"/>
            <w:gridSpan w:val="3"/>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46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100">
              <w:r>
                <w:rPr>
                  <w:rFonts w:ascii="Times New Roman" w:cs="Times New Roman" w:eastAsia="Times New Roman" w:hAnsi="Times New Roman"/>
                  <w:sz w:val="18"/>
                  <w:szCs w:val="18"/>
                  <w:color w:val="0000EE"/>
                  <w:w w:val="99"/>
                </w:rPr>
                <w:t>Consolidated Balance Sheets as of December 31, 2015 and 2016</w:t>
              </w:r>
            </w:hyperlink>
          </w:p>
        </w:tc>
        <w:tc>
          <w:tcPr>
            <w:tcW w:w="1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ind w:left="780"/>
              <w:spacing w:after="0" w:line="196" w:lineRule="exact"/>
              <w:rPr>
                <w:sz w:val="20"/>
                <w:szCs w:val="20"/>
                <w:color w:val="auto"/>
              </w:rPr>
            </w:pPr>
            <w:r>
              <w:rPr>
                <w:rFonts w:ascii="Times New Roman" w:cs="Times New Roman" w:eastAsia="Times New Roman" w:hAnsi="Times New Roman"/>
                <w:sz w:val="18"/>
                <w:szCs w:val="18"/>
                <w:color w:val="auto"/>
              </w:rPr>
              <w:t>F-3</w:t>
            </w:r>
          </w:p>
        </w:tc>
      </w:tr>
      <w:tr>
        <w:trPr>
          <w:trHeight w:val="196"/>
        </w:trPr>
        <w:tc>
          <w:tcPr>
            <w:tcW w:w="78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100">
              <w:r>
                <w:rPr>
                  <w:rFonts w:ascii="Times New Roman" w:cs="Times New Roman" w:eastAsia="Times New Roman" w:hAnsi="Times New Roman"/>
                  <w:sz w:val="18"/>
                  <w:szCs w:val="18"/>
                  <w:color w:val="0000EE"/>
                  <w:w w:val="99"/>
                </w:rPr>
                <w:t>Consolidated Statements of Comprehensive Income for the Years Ended December 31, 2014, 2015 and 2016</w:t>
              </w:r>
            </w:hyperlink>
          </w:p>
        </w:tc>
        <w:tc>
          <w:tcPr>
            <w:tcW w:w="2560" w:type="dxa"/>
            <w:vAlign w:val="bottom"/>
            <w:gridSpan w:val="2"/>
          </w:tcPr>
          <w:p>
            <w:pPr>
              <w:spacing w:after="0"/>
              <w:rPr>
                <w:sz w:val="17"/>
                <w:szCs w:val="17"/>
                <w:color w:val="auto"/>
              </w:rPr>
            </w:pPr>
          </w:p>
        </w:tc>
        <w:tc>
          <w:tcPr>
            <w:tcW w:w="1060" w:type="dxa"/>
            <w:vAlign w:val="bottom"/>
            <w:gridSpan w:val="2"/>
          </w:tcPr>
          <w:p>
            <w:pPr>
              <w:ind w:left="780"/>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196"/>
        </w:trPr>
        <w:tc>
          <w:tcPr>
            <w:tcW w:w="10400" w:type="dxa"/>
            <w:vAlign w:val="bottom"/>
            <w:gridSpan w:val="12"/>
          </w:tcPr>
          <w:p>
            <w:pPr>
              <w:spacing w:after="0" w:line="196" w:lineRule="exact"/>
              <w:rPr>
                <w:rFonts w:ascii="Times New Roman" w:cs="Times New Roman" w:eastAsia="Times New Roman" w:hAnsi="Times New Roman"/>
                <w:sz w:val="18"/>
                <w:szCs w:val="18"/>
                <w:color w:val="0000EE"/>
              </w:rPr>
            </w:pPr>
            <w:hyperlink w:anchor="page101">
              <w:r>
                <w:rPr>
                  <w:rFonts w:ascii="Times New Roman" w:cs="Times New Roman" w:eastAsia="Times New Roman" w:hAnsi="Times New Roman"/>
                  <w:sz w:val="18"/>
                  <w:szCs w:val="18"/>
                  <w:color w:val="0000EE"/>
                </w:rPr>
                <w:t>Consolidated Statements of Shareholders’ Equity for the Years Ended December 31, 2014, 2015 and 2016</w:t>
              </w:r>
            </w:hyperlink>
          </w:p>
        </w:tc>
        <w:tc>
          <w:tcPr>
            <w:tcW w:w="1060" w:type="dxa"/>
            <w:vAlign w:val="bottom"/>
            <w:gridSpan w:val="2"/>
          </w:tcPr>
          <w:p>
            <w:pPr>
              <w:ind w:left="780"/>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708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Consolidated Statements of Cash Flows for the Years Ended December 31, 2014, 2015 and 2016</w:t>
              </w:r>
            </w:hyperlink>
          </w:p>
        </w:tc>
        <w:tc>
          <w:tcPr>
            <w:tcW w:w="56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ind w:left="780"/>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196"/>
        </w:trPr>
        <w:tc>
          <w:tcPr>
            <w:tcW w:w="63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103">
              <w:r>
                <w:rPr>
                  <w:rFonts w:ascii="Times New Roman" w:cs="Times New Roman" w:eastAsia="Times New Roman" w:hAnsi="Times New Roman"/>
                  <w:sz w:val="18"/>
                  <w:szCs w:val="18"/>
                  <w:color w:val="0000EE"/>
                </w:rPr>
                <w:t>Notes to Consolidated Financial Statements</w:t>
              </w:r>
            </w:hyperlink>
          </w:p>
        </w:tc>
        <w:tc>
          <w:tcPr>
            <w:tcW w:w="6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ind w:left="780"/>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8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F-1</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188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2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-2370455</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-2370455</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Phoenix New Media Limited:</w:t>
      </w:r>
    </w:p>
    <w:p>
      <w:pPr>
        <w:spacing w:after="0" w:line="225"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 xml:space="preserve">In our opinion, the accompanying consolidated balance sheets and the related consolidated statements of comprehensive income, consolidated statements of shareholders’ equity and consolidated statements of cash flows present fairly, in all material respects, the financial position of Phoenix New Media Limited (the “Company”) and its subsidiaries at December 31, 2016 and December 31, 2015, and the results of their operations and their cash flows for each of the three years in the period ended December 31, 2016 in conformity with accounting principles generally accepted in the United States of America. Also in our opinion, the Company maintained, in all material respects, effective internal control over financial reporting as of December 31, 2016,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15 of the accompanying Form 20-F.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Zhong Tian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2017</w:t>
      </w:r>
    </w:p>
    <w:p>
      <w:pPr>
        <w:sectPr>
          <w:pgSz w:w="11900" w:h="16838" w:orient="portrait"/>
          <w:cols w:equalWidth="0" w:num="1">
            <w:col w:w="11460"/>
          </w:cols>
          <w:pgMar w:left="240" w:top="333" w:right="199" w:bottom="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for number of shares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320" w:type="dxa"/>
            <w:vAlign w:val="bottom"/>
          </w:tcPr>
          <w:p>
            <w:pPr>
              <w:spacing w:after="0"/>
              <w:rPr>
                <w:sz w:val="12"/>
                <w:szCs w:val="12"/>
                <w:color w:val="auto"/>
              </w:rPr>
            </w:pPr>
          </w:p>
        </w:tc>
        <w:tc>
          <w:tcPr>
            <w:tcW w:w="1160" w:type="dxa"/>
            <w:vAlign w:val="bottom"/>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2"/>
                <w:szCs w:val="12"/>
                <w:color w:val="auto"/>
              </w:rPr>
            </w:pPr>
          </w:p>
        </w:tc>
        <w:tc>
          <w:tcPr>
            <w:tcW w:w="1260" w:type="dxa"/>
            <w:vAlign w:val="bottom"/>
            <w:gridSpan w:val="2"/>
          </w:tcPr>
          <w:p>
            <w:pPr>
              <w:jc w:val="center"/>
              <w:ind w:left="3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7320" w:type="dxa"/>
            <w:vAlign w:val="bottom"/>
          </w:tcPr>
          <w:p>
            <w:pPr>
              <w:spacing w:after="0"/>
              <w:rPr>
                <w:sz w:val="10"/>
                <w:szCs w:val="10"/>
                <w:color w:val="auto"/>
              </w:rPr>
            </w:pPr>
          </w:p>
        </w:tc>
        <w:tc>
          <w:tcPr>
            <w:tcW w:w="1160" w:type="dxa"/>
            <w:vAlign w:val="bottom"/>
            <w:tcBorders>
              <w:top w:val="single" w:sz="8" w:color="auto"/>
            </w:tcBorders>
          </w:tcPr>
          <w:p>
            <w:pPr>
              <w:jc w:val="right"/>
              <w:ind w:right="331"/>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8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(Note 2d)</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310,669</w:t>
            </w:r>
          </w:p>
        </w:tc>
        <w:tc>
          <w:tcPr>
            <w:tcW w:w="1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202,694</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29,194</w:t>
            </w:r>
          </w:p>
        </w:tc>
        <w:tc>
          <w:tcPr>
            <w:tcW w:w="0" w:type="dxa"/>
            <w:vAlign w:val="bottom"/>
          </w:tcPr>
          <w:p>
            <w:pPr>
              <w:spacing w:after="0"/>
              <w:rPr>
                <w:sz w:val="1"/>
                <w:szCs w:val="1"/>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 deposits and short term investments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769,681</w:t>
            </w:r>
          </w:p>
        </w:tc>
        <w:tc>
          <w:tcPr>
            <w:tcW w:w="160" w:type="dxa"/>
            <w:vAlign w:val="bottom"/>
          </w:tcPr>
          <w:p>
            <w:pPr>
              <w:spacing w:after="0"/>
              <w:rPr>
                <w:sz w:val="18"/>
                <w:szCs w:val="18"/>
                <w:color w:val="auto"/>
              </w:rPr>
            </w:pPr>
          </w:p>
        </w:tc>
        <w:tc>
          <w:tcPr>
            <w:tcW w:w="15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781,298</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112,530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354,602</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51,073</w:t>
            </w:r>
          </w:p>
        </w:tc>
        <w:tc>
          <w:tcPr>
            <w:tcW w:w="0" w:type="dxa"/>
            <w:vAlign w:val="bottom"/>
          </w:tcPr>
          <w:p>
            <w:pPr>
              <w:spacing w:after="0"/>
              <w:rPr>
                <w:sz w:val="1"/>
                <w:szCs w:val="1"/>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506,351</w:t>
            </w:r>
          </w:p>
        </w:tc>
        <w:tc>
          <w:tcPr>
            <w:tcW w:w="160" w:type="dxa"/>
            <w:vAlign w:val="bottom"/>
          </w:tcPr>
          <w:p>
            <w:pPr>
              <w:spacing w:after="0"/>
              <w:rPr>
                <w:sz w:val="18"/>
                <w:szCs w:val="18"/>
                <w:color w:val="auto"/>
              </w:rPr>
            </w:pPr>
          </w:p>
        </w:tc>
        <w:tc>
          <w:tcPr>
            <w:tcW w:w="15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405,033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58,337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124,677</w:t>
            </w:r>
          </w:p>
        </w:tc>
        <w:tc>
          <w:tcPr>
            <w:tcW w:w="1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156,260</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22,506</w:t>
            </w:r>
          </w:p>
        </w:tc>
        <w:tc>
          <w:tcPr>
            <w:tcW w:w="0" w:type="dxa"/>
            <w:vAlign w:val="bottom"/>
          </w:tcPr>
          <w:p>
            <w:pPr>
              <w:spacing w:after="0"/>
              <w:rPr>
                <w:sz w:val="1"/>
                <w:szCs w:val="1"/>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58,574</w:t>
            </w:r>
          </w:p>
        </w:tc>
        <w:tc>
          <w:tcPr>
            <w:tcW w:w="15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64,069</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9,228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Convertible loans due from a related party (Note 10)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104,429</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15,041</w:t>
            </w:r>
          </w:p>
        </w:tc>
        <w:tc>
          <w:tcPr>
            <w:tcW w:w="0" w:type="dxa"/>
            <w:vAlign w:val="bottom"/>
          </w:tcPr>
          <w:p>
            <w:pPr>
              <w:spacing w:after="0"/>
              <w:rPr>
                <w:sz w:val="1"/>
                <w:szCs w:val="1"/>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tax assets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35,963</w:t>
            </w:r>
          </w:p>
        </w:tc>
        <w:tc>
          <w:tcPr>
            <w:tcW w:w="15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54,307</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7,822</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1,930,915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2,122,692</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3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Non-current assets:</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80,537</w:t>
            </w:r>
          </w:p>
        </w:tc>
        <w:tc>
          <w:tcPr>
            <w:tcW w:w="15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72,087</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10,383</w:t>
            </w:r>
          </w:p>
        </w:tc>
        <w:tc>
          <w:tcPr>
            <w:tcW w:w="0" w:type="dxa"/>
            <w:vAlign w:val="bottom"/>
          </w:tcPr>
          <w:p>
            <w:pPr>
              <w:spacing w:after="0"/>
              <w:rPr>
                <w:sz w:val="1"/>
                <w:szCs w:val="1"/>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12,404</w:t>
            </w:r>
          </w:p>
        </w:tc>
        <w:tc>
          <w:tcPr>
            <w:tcW w:w="15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9,475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513,994</w:t>
            </w:r>
          </w:p>
        </w:tc>
        <w:tc>
          <w:tcPr>
            <w:tcW w:w="1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939,432</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135,306</w:t>
            </w:r>
          </w:p>
        </w:tc>
        <w:tc>
          <w:tcPr>
            <w:tcW w:w="0" w:type="dxa"/>
            <w:vAlign w:val="bottom"/>
          </w:tcPr>
          <w:p>
            <w:pPr>
              <w:spacing w:after="0"/>
              <w:rPr>
                <w:sz w:val="1"/>
                <w:szCs w:val="1"/>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investments, net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11,610</w:t>
            </w:r>
          </w:p>
        </w:tc>
        <w:tc>
          <w:tcPr>
            <w:tcW w:w="160" w:type="dxa"/>
            <w:vAlign w:val="bottom"/>
          </w:tcPr>
          <w:p>
            <w:pPr>
              <w:spacing w:after="0"/>
              <w:rPr>
                <w:sz w:val="18"/>
                <w:szCs w:val="18"/>
                <w:color w:val="auto"/>
              </w:rPr>
            </w:pPr>
          </w:p>
        </w:tc>
        <w:tc>
          <w:tcPr>
            <w:tcW w:w="15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8,809</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17,746</w:t>
            </w:r>
          </w:p>
        </w:tc>
        <w:tc>
          <w:tcPr>
            <w:tcW w:w="15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16,047</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2,311</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636,291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1,045,850</w:t>
            </w:r>
          </w:p>
        </w:tc>
        <w:tc>
          <w:tcPr>
            <w:tcW w:w="2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150,634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2,567,206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3,168,542</w:t>
            </w: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456,365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32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Current liabilities </w:t>
            </w:r>
            <w:r>
              <w:rPr>
                <w:rFonts w:ascii="Times New Roman" w:cs="Times New Roman" w:eastAsia="Times New Roman" w:hAnsi="Times New Roman"/>
                <w:sz w:val="18"/>
                <w:szCs w:val="18"/>
                <w:color w:val="auto"/>
              </w:rPr>
              <w:t>(including amounts of the consolidated VIEs, excluding intercompany</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without recourse to the Company of RMB502,696 and RMB437,969 (US$63,080) as</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December 31, 2015 and 2016, respectively. Note 1)</w:t>
            </w: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bank loans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131,046</w:t>
            </w:r>
          </w:p>
        </w:tc>
        <w:tc>
          <w:tcPr>
            <w:tcW w:w="160" w:type="dxa"/>
            <w:vAlign w:val="bottom"/>
          </w:tcPr>
          <w:p>
            <w:pPr>
              <w:spacing w:after="0"/>
              <w:rPr>
                <w:sz w:val="18"/>
                <w:szCs w:val="18"/>
                <w:color w:val="auto"/>
              </w:rPr>
            </w:pPr>
          </w:p>
        </w:tc>
        <w:tc>
          <w:tcPr>
            <w:tcW w:w="15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358,602</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51,649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289,148</w:t>
            </w:r>
          </w:p>
        </w:tc>
        <w:tc>
          <w:tcPr>
            <w:tcW w:w="1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260,902</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37,578</w:t>
            </w:r>
          </w:p>
        </w:tc>
        <w:tc>
          <w:tcPr>
            <w:tcW w:w="0" w:type="dxa"/>
            <w:vAlign w:val="bottom"/>
          </w:tcPr>
          <w:p>
            <w:pPr>
              <w:spacing w:after="0"/>
              <w:rPr>
                <w:sz w:val="1"/>
                <w:szCs w:val="1"/>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19,368</w:t>
            </w:r>
          </w:p>
        </w:tc>
        <w:tc>
          <w:tcPr>
            <w:tcW w:w="15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18,720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Advances from customers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15,239</w:t>
            </w:r>
          </w:p>
        </w:tc>
        <w:tc>
          <w:tcPr>
            <w:tcW w:w="15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27,825</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4,008</w:t>
            </w:r>
          </w:p>
        </w:tc>
        <w:tc>
          <w:tcPr>
            <w:tcW w:w="0" w:type="dxa"/>
            <w:vAlign w:val="bottom"/>
          </w:tcPr>
          <w:p>
            <w:pPr>
              <w:spacing w:after="0"/>
              <w:rPr>
                <w:sz w:val="1"/>
                <w:szCs w:val="1"/>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 payable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93,120</w:t>
            </w:r>
          </w:p>
        </w:tc>
        <w:tc>
          <w:tcPr>
            <w:tcW w:w="15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75,652</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10,896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Salary and welfare payable</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114,028</w:t>
            </w:r>
          </w:p>
        </w:tc>
        <w:tc>
          <w:tcPr>
            <w:tcW w:w="15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130,329</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18,771</w:t>
            </w:r>
          </w:p>
        </w:tc>
        <w:tc>
          <w:tcPr>
            <w:tcW w:w="0" w:type="dxa"/>
            <w:vAlign w:val="bottom"/>
          </w:tcPr>
          <w:p>
            <w:pPr>
              <w:spacing w:after="0"/>
              <w:rPr>
                <w:sz w:val="1"/>
                <w:szCs w:val="1"/>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80,891</w:t>
            </w:r>
          </w:p>
        </w:tc>
        <w:tc>
          <w:tcPr>
            <w:tcW w:w="15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111,049</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15,994</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742,840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983,079</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7320" w:type="dxa"/>
            <w:vAlign w:val="bottom"/>
          </w:tcPr>
          <w:p>
            <w:pPr>
              <w:spacing w:after="0" w:line="178" w:lineRule="exact"/>
              <w:rPr>
                <w:sz w:val="20"/>
                <w:szCs w:val="20"/>
                <w:color w:val="auto"/>
              </w:rPr>
            </w:pPr>
            <w:r>
              <w:rPr>
                <w:rFonts w:ascii="Times New Roman" w:cs="Times New Roman" w:eastAsia="Times New Roman" w:hAnsi="Times New Roman"/>
                <w:sz w:val="18"/>
                <w:szCs w:val="18"/>
                <w:b w:val="1"/>
                <w:bCs w:val="1"/>
                <w:color w:val="auto"/>
              </w:rPr>
              <w:t>Non-current liabilities (</w:t>
            </w:r>
            <w:r>
              <w:rPr>
                <w:rFonts w:ascii="Times New Roman" w:cs="Times New Roman" w:eastAsia="Times New Roman" w:hAnsi="Times New Roman"/>
                <w:sz w:val="18"/>
                <w:szCs w:val="18"/>
                <w:color w:val="auto"/>
              </w:rPr>
              <w:t>including amounts of the consolidated VIEs, excluding intercompany</w:t>
            </w: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without recourse to the Company of RMB19,680 and RMB20,979 (US$3,022) as of</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2015 and 2016, respectively. Note 1)</w:t>
            </w:r>
            <w:r>
              <w:rPr>
                <w:rFonts w:ascii="Times New Roman" w:cs="Times New Roman" w:eastAsia="Times New Roman" w:hAnsi="Times New Roman"/>
                <w:sz w:val="18"/>
                <w:szCs w:val="18"/>
                <w:b w:val="1"/>
                <w:bCs w:val="1"/>
                <w:color w:val="auto"/>
              </w:rPr>
              <w:t>:</w:t>
            </w: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1,312</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liabilities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18,368</w:t>
            </w:r>
          </w:p>
        </w:tc>
        <w:tc>
          <w:tcPr>
            <w:tcW w:w="15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21,723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3,129</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23,035</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762,520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1,006,114</w:t>
            </w:r>
          </w:p>
        </w:tc>
        <w:tc>
          <w:tcPr>
            <w:tcW w:w="2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144,910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Commitments and contingencies (Note 22)</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Phoenix New Media Limited shareholders’ equity:</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Class A ordinary shares (US$0.01 par value, 680,000,000 shares authorized; 253,250,854 and</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254,909,790 shares issued and outstanding as of December 31, 2015 and 2016, respectively)</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16,733</w:t>
            </w:r>
          </w:p>
        </w:tc>
        <w:tc>
          <w:tcPr>
            <w:tcW w:w="15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16,843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2,426</w:t>
            </w:r>
          </w:p>
        </w:tc>
        <w:tc>
          <w:tcPr>
            <w:tcW w:w="0" w:type="dxa"/>
            <w:vAlign w:val="bottom"/>
          </w:tcPr>
          <w:p>
            <w:pPr>
              <w:spacing w:after="0"/>
              <w:rPr>
                <w:sz w:val="1"/>
                <w:szCs w:val="1"/>
                <w:color w:val="auto"/>
              </w:rPr>
            </w:pPr>
          </w:p>
        </w:tc>
      </w:tr>
      <w:tr>
        <w:trPr>
          <w:trHeight w:val="198"/>
        </w:trPr>
        <w:tc>
          <w:tcPr>
            <w:tcW w:w="732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Class B ordinary shares (US$0.01 par value, 320,000,000 shares authorized; 317,325,360 and</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317,325,360 shares issued and outstanding as of December 31, 2015 and 2016, respectively)</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22,053</w:t>
            </w:r>
          </w:p>
        </w:tc>
        <w:tc>
          <w:tcPr>
            <w:tcW w:w="15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22,053</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3,176</w:t>
            </w:r>
          </w:p>
        </w:tc>
        <w:tc>
          <w:tcPr>
            <w:tcW w:w="0" w:type="dxa"/>
            <w:vAlign w:val="bottom"/>
          </w:tcPr>
          <w:p>
            <w:pPr>
              <w:spacing w:after="0"/>
              <w:rPr>
                <w:sz w:val="1"/>
                <w:szCs w:val="1"/>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1,551,104</w:t>
            </w:r>
          </w:p>
        </w:tc>
        <w:tc>
          <w:tcPr>
            <w:tcW w:w="160" w:type="dxa"/>
            <w:vAlign w:val="bottom"/>
          </w:tcPr>
          <w:p>
            <w:pPr>
              <w:spacing w:after="0"/>
              <w:rPr>
                <w:sz w:val="18"/>
                <w:szCs w:val="18"/>
                <w:color w:val="auto"/>
              </w:rPr>
            </w:pPr>
          </w:p>
        </w:tc>
        <w:tc>
          <w:tcPr>
            <w:tcW w:w="15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1,555,511</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224,040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Statutory reserves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70,311</w:t>
            </w:r>
          </w:p>
        </w:tc>
        <w:tc>
          <w:tcPr>
            <w:tcW w:w="1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77,946</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11,227</w:t>
            </w:r>
          </w:p>
        </w:tc>
        <w:tc>
          <w:tcPr>
            <w:tcW w:w="0" w:type="dxa"/>
            <w:vAlign w:val="bottom"/>
          </w:tcPr>
          <w:p>
            <w:pPr>
              <w:spacing w:after="0"/>
              <w:rPr>
                <w:sz w:val="1"/>
                <w:szCs w:val="1"/>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122,093</w:t>
            </w:r>
          </w:p>
        </w:tc>
        <w:tc>
          <w:tcPr>
            <w:tcW w:w="160" w:type="dxa"/>
            <w:vAlign w:val="bottom"/>
          </w:tcPr>
          <w:p>
            <w:pPr>
              <w:spacing w:after="0"/>
              <w:rPr>
                <w:sz w:val="18"/>
                <w:szCs w:val="18"/>
                <w:color w:val="auto"/>
              </w:rPr>
            </w:pPr>
          </w:p>
        </w:tc>
        <w:tc>
          <w:tcPr>
            <w:tcW w:w="15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195,069</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28,096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23,341</w:t>
            </w:r>
          </w:p>
        </w:tc>
        <w:tc>
          <w:tcPr>
            <w:tcW w:w="15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298,346</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42,971</w:t>
            </w:r>
          </w:p>
        </w:tc>
        <w:tc>
          <w:tcPr>
            <w:tcW w:w="0" w:type="dxa"/>
            <w:vAlign w:val="bottom"/>
          </w:tcPr>
          <w:p>
            <w:pPr>
              <w:spacing w:after="0"/>
              <w:rPr>
                <w:sz w:val="1"/>
                <w:szCs w:val="1"/>
                <w:color w:val="auto"/>
              </w:rPr>
            </w:pP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Phoenix New Media Limited shareholders’ equity</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1,805,635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2,165,768</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(949)</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(3,340)</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1,804,686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2,162,428</w:t>
            </w:r>
          </w:p>
        </w:tc>
        <w:tc>
          <w:tcPr>
            <w:tcW w:w="2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311,455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2,567,206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3,168,542</w:t>
            </w: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456,365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ectPr>
          <w:pgSz w:w="11900" w:h="16838" w:orient="portrait"/>
          <w:cols w:equalWidth="0" w:num="1">
            <w:col w:w="11420"/>
          </w:cols>
          <w:pgMar w:left="240" w:top="121" w:right="239" w:bottom="0" w:gutter="0" w:footer="0" w:header="0"/>
        </w:sectPr>
      </w:pPr>
    </w:p>
    <w:bookmarkStart w:id="100" w:name="page101"/>
    <w:bookmarkEnd w:id="100"/>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for number of shares and per share (or ADS)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36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Pr>
          <w:p>
            <w:pPr>
              <w:spacing w:after="0"/>
              <w:rPr>
                <w:sz w:val="12"/>
                <w:szCs w:val="12"/>
                <w:color w:val="auto"/>
              </w:rPr>
            </w:pPr>
          </w:p>
        </w:tc>
        <w:tc>
          <w:tcPr>
            <w:tcW w:w="136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2"/>
                <w:szCs w:val="12"/>
                <w:color w:val="auto"/>
              </w:rPr>
            </w:pPr>
          </w:p>
        </w:tc>
        <w:tc>
          <w:tcPr>
            <w:tcW w:w="138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0" w:type="dxa"/>
            <w:vAlign w:val="bottom"/>
            <w:vMerge w:val="restart"/>
          </w:tcPr>
          <w:p>
            <w:pPr>
              <w:spacing w:after="0" w:line="358" w:lineRule="exact"/>
              <w:rPr>
                <w:sz w:val="20"/>
                <w:szCs w:val="20"/>
                <w:color w:val="auto"/>
              </w:rPr>
            </w:pPr>
            <w:r>
              <w:rPr>
                <w:rFonts w:ascii="Times New Roman" w:cs="Times New Roman" w:eastAsia="Times New Roman" w:hAnsi="Times New Roman"/>
                <w:sz w:val="18"/>
                <w:szCs w:val="18"/>
                <w:b w:val="1"/>
                <w:bCs w:val="1"/>
                <w:color w:val="auto"/>
              </w:rPr>
              <w:t>Revenues</w:t>
            </w:r>
            <w:r>
              <w:rPr>
                <w:rFonts w:ascii="Times New Roman" w:cs="Times New Roman" w:eastAsia="Times New Roman" w:hAnsi="Times New Roman"/>
                <w:sz w:val="36"/>
                <w:szCs w:val="36"/>
                <w:b w:val="1"/>
                <w:bCs w:val="1"/>
                <w:color w:val="auto"/>
                <w:vertAlign w:val="superscript"/>
              </w:rPr>
              <w:t>(1)</w:t>
            </w:r>
            <w:r>
              <w:rPr>
                <w:rFonts w:ascii="Times New Roman" w:cs="Times New Roman" w:eastAsia="Times New Roman" w:hAnsi="Times New Roman"/>
                <w:sz w:val="18"/>
                <w:szCs w:val="18"/>
                <w:b w:val="1"/>
                <w:bCs w:val="1"/>
                <w:color w:val="auto"/>
              </w:rPr>
              <w:t>:</w:t>
            </w:r>
          </w:p>
        </w:tc>
        <w:tc>
          <w:tcPr>
            <w:tcW w:w="1360" w:type="dxa"/>
            <w:vAlign w:val="bottom"/>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spacing w:after="0"/>
              <w:rPr>
                <w:sz w:val="12"/>
                <w:szCs w:val="12"/>
                <w:color w:val="auto"/>
              </w:rPr>
            </w:pPr>
          </w:p>
        </w:tc>
        <w:tc>
          <w:tcPr>
            <w:tcW w:w="1360" w:type="dxa"/>
            <w:vAlign w:val="bottom"/>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advertising revenues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1,190,158</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1,226,516</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1,232,210</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177,475</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Paid services revenues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447,702</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382,680</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212,697</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30,635</w:t>
            </w:r>
          </w:p>
        </w:tc>
        <w:tc>
          <w:tcPr>
            <w:tcW w:w="0" w:type="dxa"/>
            <w:vAlign w:val="bottom"/>
          </w:tcPr>
          <w:p>
            <w:pPr>
              <w:spacing w:after="0"/>
              <w:rPr>
                <w:sz w:val="1"/>
                <w:szCs w:val="1"/>
                <w:color w:val="auto"/>
              </w:rPr>
            </w:pPr>
          </w:p>
        </w:tc>
      </w:tr>
      <w:tr>
        <w:trPr>
          <w:trHeight w:val="156"/>
        </w:trPr>
        <w:tc>
          <w:tcPr>
            <w:tcW w:w="5000" w:type="dxa"/>
            <w:vAlign w:val="bottom"/>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Total revenues</w:t>
            </w:r>
          </w:p>
        </w:tc>
        <w:tc>
          <w:tcPr>
            <w:tcW w:w="13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1,637,860</w:t>
            </w:r>
          </w:p>
        </w:tc>
        <w:tc>
          <w:tcPr>
            <w:tcW w:w="300" w:type="dxa"/>
            <w:vAlign w:val="bottom"/>
          </w:tcPr>
          <w:p>
            <w:pPr>
              <w:spacing w:after="0"/>
              <w:rPr>
                <w:sz w:val="13"/>
                <w:szCs w:val="13"/>
                <w:color w:val="auto"/>
              </w:rPr>
            </w:pPr>
          </w:p>
        </w:tc>
        <w:tc>
          <w:tcPr>
            <w:tcW w:w="13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1,609,196</w:t>
            </w:r>
          </w:p>
        </w:tc>
        <w:tc>
          <w:tcPr>
            <w:tcW w:w="280" w:type="dxa"/>
            <w:vAlign w:val="bottom"/>
          </w:tcPr>
          <w:p>
            <w:pPr>
              <w:spacing w:after="0"/>
              <w:rPr>
                <w:sz w:val="13"/>
                <w:szCs w:val="13"/>
                <w:color w:val="auto"/>
              </w:rPr>
            </w:pPr>
          </w:p>
        </w:tc>
        <w:tc>
          <w:tcPr>
            <w:tcW w:w="13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1,444,907</w:t>
            </w:r>
          </w:p>
        </w:tc>
        <w:tc>
          <w:tcPr>
            <w:tcW w:w="280" w:type="dxa"/>
            <w:vAlign w:val="bottom"/>
          </w:tcPr>
          <w:p>
            <w:pPr>
              <w:spacing w:after="0"/>
              <w:rPr>
                <w:sz w:val="13"/>
                <w:szCs w:val="13"/>
                <w:color w:val="auto"/>
              </w:rPr>
            </w:pPr>
          </w:p>
        </w:tc>
        <w:tc>
          <w:tcPr>
            <w:tcW w:w="13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208,110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5000" w:type="dxa"/>
            <w:vAlign w:val="bottom"/>
          </w:tcPr>
          <w:p>
            <w:pPr>
              <w:spacing w:after="0" w:line="269" w:lineRule="exact"/>
              <w:rPr>
                <w:sz w:val="20"/>
                <w:szCs w:val="20"/>
                <w:color w:val="auto"/>
              </w:rPr>
            </w:pPr>
            <w:r>
              <w:rPr>
                <w:rFonts w:ascii="Times New Roman" w:cs="Times New Roman" w:eastAsia="Times New Roman" w:hAnsi="Times New Roman"/>
                <w:sz w:val="16"/>
                <w:szCs w:val="16"/>
                <w:b w:val="1"/>
                <w:bCs w:val="1"/>
                <w:color w:val="auto"/>
              </w:rPr>
              <w:t>Cost of revenues</w:t>
            </w:r>
            <w:r>
              <w:rPr>
                <w:rFonts w:ascii="Times New Roman" w:cs="Times New Roman" w:eastAsia="Times New Roman" w:hAnsi="Times New Roman"/>
                <w:sz w:val="31"/>
                <w:szCs w:val="31"/>
                <w:b w:val="1"/>
                <w:bCs w:val="1"/>
                <w:color w:val="auto"/>
                <w:vertAlign w:val="superscript"/>
              </w:rPr>
              <w:t>(1)</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(781,632)</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(829,386)</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(726,807)</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(104,682)</w:t>
            </w:r>
          </w:p>
        </w:tc>
        <w:tc>
          <w:tcPr>
            <w:tcW w:w="0" w:type="dxa"/>
            <w:vAlign w:val="bottom"/>
          </w:tcPr>
          <w:p>
            <w:pPr>
              <w:spacing w:after="0"/>
              <w:rPr>
                <w:sz w:val="1"/>
                <w:szCs w:val="1"/>
                <w:color w:val="auto"/>
              </w:rPr>
            </w:pPr>
          </w:p>
        </w:tc>
      </w:tr>
      <w:tr>
        <w:trPr>
          <w:trHeight w:val="156"/>
        </w:trPr>
        <w:tc>
          <w:tcPr>
            <w:tcW w:w="5000" w:type="dxa"/>
            <w:vAlign w:val="bottom"/>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13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856,228</w:t>
            </w:r>
          </w:p>
        </w:tc>
        <w:tc>
          <w:tcPr>
            <w:tcW w:w="300" w:type="dxa"/>
            <w:vAlign w:val="bottom"/>
          </w:tcPr>
          <w:p>
            <w:pPr>
              <w:spacing w:after="0"/>
              <w:rPr>
                <w:sz w:val="13"/>
                <w:szCs w:val="13"/>
                <w:color w:val="auto"/>
              </w:rPr>
            </w:pPr>
          </w:p>
        </w:tc>
        <w:tc>
          <w:tcPr>
            <w:tcW w:w="13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779,810</w:t>
            </w:r>
          </w:p>
        </w:tc>
        <w:tc>
          <w:tcPr>
            <w:tcW w:w="280" w:type="dxa"/>
            <w:vAlign w:val="bottom"/>
          </w:tcPr>
          <w:p>
            <w:pPr>
              <w:spacing w:after="0"/>
              <w:rPr>
                <w:sz w:val="13"/>
                <w:szCs w:val="13"/>
                <w:color w:val="auto"/>
              </w:rPr>
            </w:pPr>
          </w:p>
        </w:tc>
        <w:tc>
          <w:tcPr>
            <w:tcW w:w="13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718,100</w:t>
            </w:r>
          </w:p>
        </w:tc>
        <w:tc>
          <w:tcPr>
            <w:tcW w:w="280" w:type="dxa"/>
            <w:vAlign w:val="bottom"/>
          </w:tcPr>
          <w:p>
            <w:pPr>
              <w:spacing w:after="0"/>
              <w:rPr>
                <w:sz w:val="13"/>
                <w:szCs w:val="13"/>
                <w:color w:val="auto"/>
              </w:rPr>
            </w:pPr>
          </w:p>
        </w:tc>
        <w:tc>
          <w:tcPr>
            <w:tcW w:w="13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103,428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5000" w:type="dxa"/>
            <w:vAlign w:val="bottom"/>
          </w:tcPr>
          <w:p>
            <w:pPr>
              <w:spacing w:after="0" w:line="269" w:lineRule="exact"/>
              <w:rPr>
                <w:sz w:val="20"/>
                <w:szCs w:val="20"/>
                <w:color w:val="auto"/>
              </w:rPr>
            </w:pPr>
            <w:r>
              <w:rPr>
                <w:rFonts w:ascii="Times New Roman" w:cs="Times New Roman" w:eastAsia="Times New Roman" w:hAnsi="Times New Roman"/>
                <w:sz w:val="16"/>
                <w:szCs w:val="16"/>
                <w:b w:val="1"/>
                <w:bCs w:val="1"/>
                <w:color w:val="auto"/>
              </w:rPr>
              <w:t>Operating expenses</w:t>
            </w:r>
            <w:r>
              <w:rPr>
                <w:rFonts w:ascii="Times New Roman" w:cs="Times New Roman" w:eastAsia="Times New Roman" w:hAnsi="Times New Roman"/>
                <w:sz w:val="31"/>
                <w:szCs w:val="3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(330,777)</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(346,133)</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(339,171)</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(48,851)</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(137,818)</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(183,989)</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(181,677)</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(26,167)</w:t>
            </w:r>
          </w:p>
        </w:tc>
        <w:tc>
          <w:tcPr>
            <w:tcW w:w="0" w:type="dxa"/>
            <w:vAlign w:val="bottom"/>
          </w:tcPr>
          <w:p>
            <w:pPr>
              <w:spacing w:after="0"/>
              <w:rPr>
                <w:sz w:val="1"/>
                <w:szCs w:val="1"/>
                <w:color w:val="auto"/>
              </w:rPr>
            </w:pPr>
          </w:p>
        </w:tc>
      </w:tr>
      <w:tr>
        <w:trPr>
          <w:trHeight w:val="216"/>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Technology and product development expenses</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(149,996)</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(170,714)</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(161,880)</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(23,316)</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(618,591)</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(700,836)</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(682,728)</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237,637</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78,974</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35,372</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46,535</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30,234</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35,113</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5,057</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(2,328)</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(7,061)</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16"/>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exchange (loss)/gain</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(6,059)</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(1,054)</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9,608</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1,384</w:t>
            </w:r>
          </w:p>
        </w:tc>
        <w:tc>
          <w:tcPr>
            <w:tcW w:w="0" w:type="dxa"/>
            <w:vAlign w:val="bottom"/>
          </w:tcPr>
          <w:p>
            <w:pPr>
              <w:spacing w:after="0"/>
              <w:rPr>
                <w:sz w:val="1"/>
                <w:szCs w:val="1"/>
                <w:color w:val="auto"/>
              </w:rPr>
            </w:pPr>
          </w:p>
        </w:tc>
      </w:tr>
      <w:tr>
        <w:trPr>
          <w:trHeight w:val="198"/>
        </w:trPr>
        <w:tc>
          <w:tcPr>
            <w:tcW w:w="500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Gain on disposal of subsidiaries and acquisition of equity</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investments</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29,660</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from equity investments, including impairments</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(18,538)</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(41,861)</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(1,776)</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198"/>
        </w:trPr>
        <w:tc>
          <w:tcPr>
            <w:tcW w:w="500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Gain on disposal of an equity investment and acquisition of</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4,643</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Others, net</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21,261</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29,294</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21,053</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3,032</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310,496</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97,902</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92,309</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(48,377)</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(25,517)</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(14,089)</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262,119</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72,385</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972</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1,199</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2,391</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Phoenix New Media Limited</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263,091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80,611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262,119</w:t>
            </w:r>
          </w:p>
        </w:tc>
        <w:tc>
          <w:tcPr>
            <w:tcW w:w="30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72,385</w:t>
            </w:r>
          </w:p>
        </w:tc>
        <w:tc>
          <w:tcPr>
            <w:tcW w:w="28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78,220</w:t>
            </w:r>
          </w:p>
        </w:tc>
        <w:tc>
          <w:tcPr>
            <w:tcW w:w="28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11,265</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0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Other comprehensive income (net of nil tax for all years ): fair</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value remeasurement for available-for-sale investments</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40,283</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15,869</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247,336</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35,624</w:t>
            </w:r>
          </w:p>
        </w:tc>
        <w:tc>
          <w:tcPr>
            <w:tcW w:w="0" w:type="dxa"/>
            <w:vAlign w:val="bottom"/>
          </w:tcPr>
          <w:p>
            <w:pPr>
              <w:spacing w:after="0"/>
              <w:rPr>
                <w:sz w:val="1"/>
                <w:szCs w:val="1"/>
                <w:color w:val="auto"/>
              </w:rPr>
            </w:pPr>
          </w:p>
        </w:tc>
      </w:tr>
      <w:tr>
        <w:trPr>
          <w:trHeight w:val="198"/>
        </w:trPr>
        <w:tc>
          <w:tcPr>
            <w:tcW w:w="500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Other comprehensive income (net of nil tax for all years):</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30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22,813</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27,669</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3,985</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306,905</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111,067</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353,225</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972</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1,199</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2,391</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0"/>
        </w:trPr>
        <w:tc>
          <w:tcPr>
            <w:tcW w:w="5000" w:type="dxa"/>
            <w:vAlign w:val="bottom"/>
            <w:vMerge w:val="restart"/>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Comprehensive income attributable to Phoenix New Media</w:t>
            </w: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000" w:type="dxa"/>
            <w:vAlign w:val="bottom"/>
            <w:vMerge w:val="continue"/>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307,877</w:t>
            </w:r>
          </w:p>
        </w:tc>
        <w:tc>
          <w:tcPr>
            <w:tcW w:w="3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112,266</w:t>
            </w:r>
          </w:p>
        </w:tc>
        <w:tc>
          <w:tcPr>
            <w:tcW w:w="280" w:type="dxa"/>
            <w:vAlign w:val="bottom"/>
            <w:vMerge w:val="restart"/>
            <w:shd w:val="clear" w:color="auto" w:fill="CCEEFF"/>
          </w:tcPr>
          <w:p>
            <w:pPr>
              <w:spacing w:after="0"/>
              <w:rPr>
                <w:sz w:val="15"/>
                <w:szCs w:val="15"/>
                <w:color w:val="auto"/>
              </w:rPr>
            </w:pPr>
          </w:p>
        </w:tc>
        <w:tc>
          <w:tcPr>
            <w:tcW w:w="16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355,616</w:t>
            </w:r>
          </w:p>
        </w:tc>
        <w:tc>
          <w:tcPr>
            <w:tcW w:w="1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51,218</w:t>
            </w:r>
          </w:p>
        </w:tc>
        <w:tc>
          <w:tcPr>
            <w:tcW w:w="0" w:type="dxa"/>
            <w:vAlign w:val="bottom"/>
          </w:tcPr>
          <w:p>
            <w:pPr>
              <w:spacing w:after="0"/>
              <w:rPr>
                <w:sz w:val="1"/>
                <w:szCs w:val="1"/>
                <w:color w:val="auto"/>
              </w:rPr>
            </w:pPr>
          </w:p>
        </w:tc>
      </w:tr>
      <w:tr>
        <w:trPr>
          <w:trHeight w:val="225"/>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136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640" w:type="dxa"/>
            <w:vAlign w:val="bottom"/>
            <w:gridSpan w:val="2"/>
            <w:vMerge w:val="continue"/>
            <w:shd w:val="clear" w:color="auto" w:fill="CCEEFF"/>
          </w:tcPr>
          <w:p>
            <w:pPr>
              <w:spacing w:after="0"/>
              <w:rPr>
                <w:sz w:val="19"/>
                <w:szCs w:val="19"/>
                <w:color w:val="auto"/>
              </w:rPr>
            </w:pPr>
          </w:p>
        </w:tc>
        <w:tc>
          <w:tcPr>
            <w:tcW w:w="14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Phoenix New Media Limited</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263,091</w:t>
            </w:r>
          </w:p>
        </w:tc>
        <w:tc>
          <w:tcPr>
            <w:tcW w:w="30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73,584</w:t>
            </w:r>
          </w:p>
        </w:tc>
        <w:tc>
          <w:tcPr>
            <w:tcW w:w="28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80,611</w:t>
            </w:r>
          </w:p>
        </w:tc>
        <w:tc>
          <w:tcPr>
            <w:tcW w:w="28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11,609</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Class A and Class B ordinary share:</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0.44</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0.13</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0.14</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0.43</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0.13</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0.14</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198"/>
        </w:trPr>
        <w:tc>
          <w:tcPr>
            <w:tcW w:w="5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per ADS (1 ADS represents 8 Class A ordinary</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3.52</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1.03</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1.12</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16"/>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3.42</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1.12</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198"/>
        </w:trPr>
        <w:tc>
          <w:tcPr>
            <w:tcW w:w="5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Class A and Class B ordinary</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used in computing net income per share:</w:t>
            </w:r>
          </w:p>
        </w:tc>
        <w:tc>
          <w:tcPr>
            <w:tcW w:w="1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597,616,623</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571,247,723</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573,521,536</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573,521,536</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614,620,110</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580,785,256</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577,037,906</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577,037,906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-6697345</wp:posOffset>
            </wp:positionV>
            <wp:extent cx="724662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-6139815</wp:posOffset>
            </wp:positionV>
            <wp:extent cx="724662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-5856605</wp:posOffset>
            </wp:positionV>
            <wp:extent cx="724662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Transactions with related parties included in revenues, cost of revenues and operating expenses are as follows (Note 23):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advertising revenues</w:t>
            </w:r>
          </w:p>
        </w:tc>
        <w:tc>
          <w:tcPr>
            <w:tcW w:w="27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55,565</w:t>
            </w:r>
          </w:p>
        </w:tc>
        <w:tc>
          <w:tcPr>
            <w:tcW w:w="16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71,048</w:t>
            </w:r>
          </w:p>
        </w:tc>
        <w:tc>
          <w:tcPr>
            <w:tcW w:w="170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98,413</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14,174</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Paid services revenues</w:t>
            </w:r>
          </w:p>
        </w:tc>
        <w:tc>
          <w:tcPr>
            <w:tcW w:w="27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291,610</w:t>
            </w:r>
          </w:p>
        </w:tc>
        <w:tc>
          <w:tcPr>
            <w:tcW w:w="16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276,712</w:t>
            </w:r>
          </w:p>
        </w:tc>
        <w:tc>
          <w:tcPr>
            <w:tcW w:w="17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122,844</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17,693</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7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(45,917)</w:t>
            </w:r>
          </w:p>
        </w:tc>
        <w:tc>
          <w:tcPr>
            <w:tcW w:w="16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(49,363)</w:t>
            </w:r>
          </w:p>
        </w:tc>
        <w:tc>
          <w:tcPr>
            <w:tcW w:w="17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(29,057)</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7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(1,246)</w:t>
            </w:r>
          </w:p>
        </w:tc>
        <w:tc>
          <w:tcPr>
            <w:tcW w:w="16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(1,788)</w:t>
            </w:r>
          </w:p>
        </w:tc>
        <w:tc>
          <w:tcPr>
            <w:tcW w:w="17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(1,277)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7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(354)</w:t>
            </w:r>
          </w:p>
        </w:tc>
        <w:tc>
          <w:tcPr>
            <w:tcW w:w="16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(1,812)</w:t>
            </w:r>
          </w:p>
        </w:tc>
        <w:tc>
          <w:tcPr>
            <w:tcW w:w="17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(260)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for number of shares)</w:t>
      </w:r>
    </w:p>
    <w:p>
      <w:pPr>
        <w:spacing w:after="0" w:line="205" w:lineRule="exact"/>
        <w:rPr>
          <w:sz w:val="20"/>
          <w:szCs w:val="20"/>
          <w:color w:val="auto"/>
        </w:rPr>
      </w:pPr>
    </w:p>
    <w:tbl>
      <w:tblPr>
        <w:tblLayout w:type="fixed"/>
        <w:tblInd w:w="1620" w:type="dxa"/>
        <w:tblCellMar>
          <w:top w:w="0" w:type="dxa"/>
          <w:left w:w="0" w:type="dxa"/>
          <w:bottom w:w="0" w:type="dxa"/>
          <w:right w:w="0" w:type="dxa"/>
        </w:tblCellMar>
      </w:tblPr>
      <w:tr>
        <w:trPr>
          <w:trHeight w:val="155"/>
        </w:trPr>
        <w:tc>
          <w:tcPr>
            <w:tcW w:w="5700" w:type="dxa"/>
            <w:vAlign w:val="bottom"/>
            <w:tcBorders>
              <w:bottom w:val="single" w:sz="8" w:color="auto"/>
            </w:tcBorders>
          </w:tcPr>
          <w:p>
            <w:pPr>
              <w:ind w:left="2580"/>
              <w:spacing w:after="0"/>
              <w:rPr>
                <w:sz w:val="20"/>
                <w:szCs w:val="20"/>
                <w:color w:val="auto"/>
              </w:rPr>
            </w:pPr>
            <w:r>
              <w:rPr>
                <w:rFonts w:ascii="Times New Roman" w:cs="Times New Roman" w:eastAsia="Times New Roman" w:hAnsi="Times New Roman"/>
                <w:sz w:val="13"/>
                <w:szCs w:val="13"/>
                <w:b w:val="1"/>
                <w:bCs w:val="1"/>
                <w:color w:val="auto"/>
              </w:rPr>
              <w:t>Phoenix New Media Limited Shareholders’ Equity</w:t>
            </w:r>
          </w:p>
        </w:tc>
        <w:tc>
          <w:tcPr>
            <w:tcW w:w="1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620" w:type="dxa"/>
            <w:vAlign w:val="bottom"/>
          </w:tcPr>
          <w:p>
            <w:pPr>
              <w:spacing w:after="0"/>
              <w:rPr>
                <w:sz w:val="13"/>
                <w:szCs w:val="13"/>
                <w:color w:val="auto"/>
              </w:rPr>
            </w:pPr>
          </w:p>
        </w:tc>
      </w:tr>
      <w:tr>
        <w:trPr>
          <w:trHeight w:val="108"/>
        </w:trPr>
        <w:tc>
          <w:tcPr>
            <w:tcW w:w="5700" w:type="dxa"/>
            <w:vAlign w:val="bottom"/>
          </w:tcPr>
          <w:p>
            <w:pPr>
              <w:spacing w:after="0"/>
              <w:rPr>
                <w:sz w:val="9"/>
                <w:szCs w:val="9"/>
                <w:color w:val="auto"/>
              </w:rPr>
            </w:pPr>
          </w:p>
        </w:tc>
        <w:tc>
          <w:tcPr>
            <w:tcW w:w="1280" w:type="dxa"/>
            <w:vAlign w:val="bottom"/>
          </w:tcPr>
          <w:p>
            <w:pPr>
              <w:jc w:val="center"/>
              <w:ind w:left="26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86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620" w:type="dxa"/>
            <w:vAlign w:val="bottom"/>
          </w:tcPr>
          <w:p>
            <w:pPr>
              <w:spacing w:after="0"/>
              <w:rPr>
                <w:sz w:val="9"/>
                <w:szCs w:val="9"/>
                <w:color w:val="auto"/>
              </w:rPr>
            </w:pPr>
          </w:p>
        </w:tc>
      </w:tr>
      <w:tr>
        <w:trPr>
          <w:trHeight w:val="166"/>
        </w:trPr>
        <w:tc>
          <w:tcPr>
            <w:tcW w:w="5700" w:type="dxa"/>
            <w:vAlign w:val="bottom"/>
          </w:tcPr>
          <w:p>
            <w:pPr>
              <w:ind w:left="46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80" w:type="dxa"/>
            <w:vAlign w:val="bottom"/>
          </w:tcPr>
          <w:p>
            <w:pPr>
              <w:jc w:val="center"/>
              <w:ind w:left="280"/>
              <w:spacing w:after="0"/>
              <w:rPr>
                <w:sz w:val="20"/>
                <w:szCs w:val="20"/>
                <w:color w:val="auto"/>
              </w:rPr>
            </w:pPr>
            <w:r>
              <w:rPr>
                <w:rFonts w:ascii="Times New Roman" w:cs="Times New Roman" w:eastAsia="Times New Roman" w:hAnsi="Times New Roman"/>
                <w:sz w:val="13"/>
                <w:szCs w:val="13"/>
                <w:b w:val="1"/>
                <w:bCs w:val="1"/>
                <w:color w:val="auto"/>
                <w:w w:val="98"/>
              </w:rPr>
              <w:t>deficit)/</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1620" w:type="dxa"/>
            <w:vAlign w:val="bottom"/>
          </w:tcPr>
          <w:p>
            <w:pPr>
              <w:ind w:left="1340"/>
              <w:spacing w:after="0"/>
              <w:rPr>
                <w:sz w:val="20"/>
                <w:szCs w:val="20"/>
                <w:color w:val="auto"/>
              </w:rPr>
            </w:pPr>
            <w:r>
              <w:rPr>
                <w:rFonts w:ascii="Times New Roman" w:cs="Times New Roman" w:eastAsia="Times New Roman" w:hAnsi="Times New Roman"/>
                <w:sz w:val="13"/>
                <w:szCs w:val="13"/>
                <w:b w:val="1"/>
                <w:bCs w:val="1"/>
                <w:color w:val="auto"/>
                <w:w w:val="87"/>
              </w:rPr>
              <w:t>Total</w:t>
            </w:r>
          </w:p>
        </w:tc>
      </w:tr>
    </w:tbl>
    <w:p>
      <w:pPr>
        <w:sectPr>
          <w:pgSz w:w="11900" w:h="16841" w:orient="portrait"/>
          <w:cols w:equalWidth="0" w:num="1">
            <w:col w:w="11420"/>
          </w:cols>
          <w:pgMar w:left="240" w:top="117" w:right="239" w:bottom="0" w:gutter="0" w:footer="0" w:header="0"/>
        </w:sectPr>
      </w:pPr>
    </w:p>
    <w:bookmarkStart w:id="101" w:name="page102"/>
    <w:bookmarkEnd w:id="10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620" w:type="dxa"/>
            <w:vAlign w:val="bottom"/>
          </w:tcPr>
          <w:p>
            <w:pPr>
              <w:spacing w:after="0"/>
              <w:rPr>
                <w:sz w:val="13"/>
                <w:szCs w:val="13"/>
                <w:color w:val="auto"/>
              </w:rPr>
            </w:pPr>
          </w:p>
        </w:tc>
        <w:tc>
          <w:tcPr>
            <w:tcW w:w="156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9"/>
              </w:rPr>
              <w:t>Class A ordinary shares</w:t>
            </w:r>
          </w:p>
        </w:tc>
        <w:tc>
          <w:tcPr>
            <w:tcW w:w="154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9"/>
              </w:rPr>
              <w:t>Class B ordinary shares</w:t>
            </w:r>
          </w:p>
        </w:tc>
        <w:tc>
          <w:tcPr>
            <w:tcW w:w="1520" w:type="dxa"/>
            <w:vAlign w:val="bottom"/>
            <w:gridSpan w:val="4"/>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Statutory</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shareholders’</w:t>
            </w:r>
          </w:p>
        </w:tc>
        <w:tc>
          <w:tcPr>
            <w:tcW w:w="0" w:type="dxa"/>
            <w:vAlign w:val="bottom"/>
          </w:tcPr>
          <w:p>
            <w:pPr>
              <w:spacing w:after="0"/>
              <w:rPr>
                <w:sz w:val="1"/>
                <w:szCs w:val="1"/>
                <w:color w:val="auto"/>
              </w:rPr>
            </w:pPr>
          </w:p>
        </w:tc>
      </w:tr>
      <w:tr>
        <w:trPr>
          <w:trHeight w:val="129"/>
        </w:trPr>
        <w:tc>
          <w:tcPr>
            <w:tcW w:w="1620" w:type="dxa"/>
            <w:vAlign w:val="bottom"/>
          </w:tcPr>
          <w:p>
            <w:pPr>
              <w:spacing w:after="0"/>
              <w:rPr>
                <w:sz w:val="11"/>
                <w:szCs w:val="11"/>
                <w:color w:val="auto"/>
              </w:rPr>
            </w:pPr>
          </w:p>
        </w:tc>
        <w:tc>
          <w:tcPr>
            <w:tcW w:w="800" w:type="dxa"/>
            <w:vAlign w:val="bottom"/>
            <w:tcBorders>
              <w:top w:val="single" w:sz="8" w:color="auto"/>
            </w:tcBorders>
            <w:gridSpan w:val="2"/>
          </w:tcPr>
          <w:p>
            <w:pPr>
              <w:jc w:val="right"/>
              <w:ind w:right="30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620" w:type="dxa"/>
            <w:vAlign w:val="bottom"/>
            <w:tcBorders>
              <w:top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1"/>
                <w:szCs w:val="11"/>
                <w:color w:val="auto"/>
              </w:rPr>
            </w:pPr>
          </w:p>
        </w:tc>
        <w:tc>
          <w:tcPr>
            <w:tcW w:w="800" w:type="dxa"/>
            <w:vAlign w:val="bottom"/>
            <w:tcBorders>
              <w:top w:val="single" w:sz="8" w:color="auto"/>
            </w:tcBorders>
            <w:gridSpan w:val="2"/>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600" w:type="dxa"/>
            <w:vAlign w:val="bottom"/>
            <w:tcBorders>
              <w:top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1"/>
                <w:szCs w:val="11"/>
                <w:color w:val="auto"/>
              </w:rPr>
            </w:pPr>
          </w:p>
        </w:tc>
        <w:tc>
          <w:tcPr>
            <w:tcW w:w="780" w:type="dxa"/>
            <w:vAlign w:val="bottom"/>
            <w:tcBorders>
              <w:top w:val="single" w:sz="8" w:color="auto"/>
            </w:tcBorders>
            <w:gridSpan w:val="2"/>
          </w:tcPr>
          <w:p>
            <w:pPr>
              <w:jc w:val="right"/>
              <w:ind w:right="28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tcBorders>
              <w:top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1"/>
                <w:szCs w:val="11"/>
                <w:color w:val="auto"/>
              </w:rPr>
            </w:pPr>
          </w:p>
        </w:tc>
        <w:tc>
          <w:tcPr>
            <w:tcW w:w="76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3"/>
                <w:szCs w:val="13"/>
                <w:b w:val="1"/>
                <w:bCs w:val="1"/>
                <w:color w:val="auto"/>
                <w:w w:val="95"/>
              </w:rPr>
              <w:t>capital</w:t>
            </w:r>
          </w:p>
        </w:tc>
        <w:tc>
          <w:tcPr>
            <w:tcW w:w="74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3"/>
                <w:szCs w:val="13"/>
                <w:b w:val="1"/>
                <w:bCs w:val="1"/>
                <w:color w:val="auto"/>
                <w:w w:val="96"/>
              </w:rPr>
              <w:t>reserves</w:t>
            </w:r>
          </w:p>
        </w:tc>
        <w:tc>
          <w:tcPr>
            <w:tcW w:w="92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3"/>
                <w:szCs w:val="13"/>
                <w:b w:val="1"/>
                <w:bCs w:val="1"/>
                <w:color w:val="auto"/>
                <w:w w:val="96"/>
              </w:rPr>
              <w:t>earnings</w:t>
            </w:r>
          </w:p>
        </w:tc>
        <w:tc>
          <w:tcPr>
            <w:tcW w:w="96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3"/>
                <w:szCs w:val="13"/>
                <w:b w:val="1"/>
                <w:bCs w:val="1"/>
                <w:color w:val="auto"/>
                <w:w w:val="96"/>
              </w:rPr>
              <w:t>(loss)/income</w:t>
            </w:r>
          </w:p>
        </w:tc>
        <w:tc>
          <w:tcPr>
            <w:tcW w:w="94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3"/>
                <w:szCs w:val="13"/>
                <w:b w:val="1"/>
                <w:bCs w:val="1"/>
                <w:color w:val="auto"/>
                <w:w w:val="97"/>
              </w:rPr>
              <w:t>interests</w:t>
            </w:r>
          </w:p>
        </w:tc>
        <w:tc>
          <w:tcPr>
            <w:tcW w:w="8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3"/>
                <w:szCs w:val="13"/>
                <w:b w:val="1"/>
                <w:bCs w:val="1"/>
                <w:color w:val="auto"/>
                <w:w w:val="92"/>
              </w:rPr>
              <w:t>equity</w:t>
            </w:r>
          </w:p>
        </w:tc>
        <w:tc>
          <w:tcPr>
            <w:tcW w:w="0" w:type="dxa"/>
            <w:vAlign w:val="bottom"/>
          </w:tcPr>
          <w:p>
            <w:pPr>
              <w:spacing w:after="0"/>
              <w:rPr>
                <w:sz w:val="1"/>
                <w:szCs w:val="1"/>
                <w:color w:val="auto"/>
              </w:rPr>
            </w:pPr>
          </w:p>
        </w:tc>
      </w:tr>
      <w:tr>
        <w:trPr>
          <w:trHeight w:val="129"/>
        </w:trPr>
        <w:tc>
          <w:tcPr>
            <w:tcW w:w="16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top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40" w:type="dxa"/>
            <w:vAlign w:val="bottom"/>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20" w:type="dxa"/>
            <w:vAlign w:val="bottom"/>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60" w:type="dxa"/>
            <w:vAlign w:val="bottom"/>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60" w:type="dxa"/>
            <w:vAlign w:val="bottom"/>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40" w:type="dxa"/>
            <w:vAlign w:val="bottom"/>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62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Balance as of December 31,</w:t>
            </w: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2013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282,578,957</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18,530</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5"/>
              </w:rPr>
              <w:t>317,325,360</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22,053</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1,734,993</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50,330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(194,601)</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(60,127)</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3,857</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1,575,035</w:t>
            </w:r>
          </w:p>
        </w:tc>
        <w:tc>
          <w:tcPr>
            <w:tcW w:w="0" w:type="dxa"/>
            <w:vAlign w:val="bottom"/>
          </w:tcPr>
          <w:p>
            <w:pPr>
              <w:spacing w:after="0"/>
              <w:rPr>
                <w:sz w:val="1"/>
                <w:szCs w:val="1"/>
                <w:color w:val="auto"/>
              </w:rPr>
            </w:pPr>
          </w:p>
        </w:tc>
      </w:tr>
      <w:tr>
        <w:trPr>
          <w:trHeight w:val="135"/>
        </w:trPr>
        <w:tc>
          <w:tcPr>
            <w:tcW w:w="1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53,181</w:t>
            </w: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53,181</w:t>
            </w:r>
          </w:p>
        </w:tc>
        <w:tc>
          <w:tcPr>
            <w:tcW w:w="0" w:type="dxa"/>
            <w:vAlign w:val="bottom"/>
          </w:tcPr>
          <w:p>
            <w:pPr>
              <w:spacing w:after="0"/>
              <w:rPr>
                <w:sz w:val="1"/>
                <w:szCs w:val="1"/>
                <w:color w:val="auto"/>
              </w:rPr>
            </w:pPr>
          </w:p>
        </w:tc>
      </w:tr>
      <w:tr>
        <w:trPr>
          <w:trHeight w:val="117"/>
        </w:trPr>
        <w:tc>
          <w:tcPr>
            <w:tcW w:w="16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ordinary shares</w:t>
            </w: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upon settlement of share-</w:t>
            </w: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based awards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6,928,776</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426</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9,217</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9,643</w:t>
            </w:r>
          </w:p>
        </w:tc>
        <w:tc>
          <w:tcPr>
            <w:tcW w:w="0" w:type="dxa"/>
            <w:vAlign w:val="bottom"/>
          </w:tcPr>
          <w:p>
            <w:pPr>
              <w:spacing w:after="0"/>
              <w:rPr>
                <w:sz w:val="1"/>
                <w:szCs w:val="1"/>
                <w:color w:val="auto"/>
              </w:rPr>
            </w:pPr>
          </w:p>
        </w:tc>
      </w:tr>
      <w:tr>
        <w:trPr>
          <w:trHeight w:val="117"/>
        </w:trPr>
        <w:tc>
          <w:tcPr>
            <w:tcW w:w="16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Repurchase of ordinary</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w w:val="95"/>
              </w:rPr>
              <w:t>(32,168,584)</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(241,344)</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(241,344)</w:t>
            </w:r>
          </w:p>
        </w:tc>
        <w:tc>
          <w:tcPr>
            <w:tcW w:w="0" w:type="dxa"/>
            <w:vAlign w:val="bottom"/>
          </w:tcPr>
          <w:p>
            <w:pPr>
              <w:spacing w:after="0"/>
              <w:rPr>
                <w:sz w:val="1"/>
                <w:szCs w:val="1"/>
                <w:color w:val="auto"/>
              </w:rPr>
            </w:pPr>
          </w:p>
        </w:tc>
      </w:tr>
      <w:tr>
        <w:trPr>
          <w:trHeight w:val="117"/>
        </w:trPr>
        <w:tc>
          <w:tcPr>
            <w:tcW w:w="16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Cancellation of repurchased</w:t>
            </w: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ordinary shares</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w w:val="98"/>
              </w:rPr>
              <w:t>(30,128,928)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(1,854)</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30,128,928</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227,965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(227,267)</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(1,156)</w:t>
            </w:r>
          </w:p>
        </w:tc>
        <w:tc>
          <w:tcPr>
            <w:tcW w:w="0" w:type="dxa"/>
            <w:vAlign w:val="bottom"/>
          </w:tcPr>
          <w:p>
            <w:pPr>
              <w:spacing w:after="0"/>
              <w:rPr>
                <w:sz w:val="1"/>
                <w:szCs w:val="1"/>
                <w:color w:val="auto"/>
              </w:rPr>
            </w:pPr>
          </w:p>
        </w:tc>
      </w:tr>
      <w:tr>
        <w:trPr>
          <w:trHeight w:val="117"/>
        </w:trPr>
        <w:tc>
          <w:tcPr>
            <w:tcW w:w="16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Cancellation of restricted</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shares</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(168,752)</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6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Appropriation to statutory</w:t>
            </w: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reserves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15,638</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(15,638)</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6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Fair value changes of</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2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available-for-sale</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investments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40,283</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40,283</w:t>
            </w:r>
          </w:p>
        </w:tc>
        <w:tc>
          <w:tcPr>
            <w:tcW w:w="0" w:type="dxa"/>
            <w:vAlign w:val="bottom"/>
          </w:tcPr>
          <w:p>
            <w:pPr>
              <w:spacing w:after="0"/>
              <w:rPr>
                <w:sz w:val="1"/>
                <w:szCs w:val="1"/>
                <w:color w:val="auto"/>
              </w:rPr>
            </w:pPr>
          </w:p>
        </w:tc>
      </w:tr>
      <w:tr>
        <w:trPr>
          <w:trHeight w:val="117"/>
        </w:trPr>
        <w:tc>
          <w:tcPr>
            <w:tcW w:w="16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adjustment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4,503</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4,503</w:t>
            </w:r>
          </w:p>
        </w:tc>
        <w:tc>
          <w:tcPr>
            <w:tcW w:w="0" w:type="dxa"/>
            <w:vAlign w:val="bottom"/>
          </w:tcPr>
          <w:p>
            <w:pPr>
              <w:spacing w:after="0"/>
              <w:rPr>
                <w:sz w:val="1"/>
                <w:szCs w:val="1"/>
                <w:color w:val="auto"/>
              </w:rPr>
            </w:pPr>
          </w:p>
        </w:tc>
      </w:tr>
      <w:tr>
        <w:trPr>
          <w:trHeight w:val="117"/>
        </w:trPr>
        <w:tc>
          <w:tcPr>
            <w:tcW w:w="16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ordinary shares</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 investment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3,034,245</w:t>
            </w:r>
          </w:p>
        </w:tc>
        <w:tc>
          <w:tcPr>
            <w:tcW w:w="16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186</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17,093</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17,279</w:t>
            </w:r>
          </w:p>
        </w:tc>
        <w:tc>
          <w:tcPr>
            <w:tcW w:w="0" w:type="dxa"/>
            <w:vAlign w:val="bottom"/>
          </w:tcPr>
          <w:p>
            <w:pPr>
              <w:spacing w:after="0"/>
              <w:rPr>
                <w:sz w:val="1"/>
                <w:szCs w:val="1"/>
                <w:color w:val="auto"/>
              </w:rPr>
            </w:pPr>
          </w:p>
        </w:tc>
      </w:tr>
      <w:tr>
        <w:trPr>
          <w:trHeight w:val="117"/>
        </w:trPr>
        <w:tc>
          <w:tcPr>
            <w:tcW w:w="16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Disposal of certain</w:t>
            </w: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investment in a</w:t>
            </w: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subsidiary</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(2,885)</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(2,885)</w:t>
            </w:r>
          </w:p>
        </w:tc>
        <w:tc>
          <w:tcPr>
            <w:tcW w:w="0" w:type="dxa"/>
            <w:vAlign w:val="bottom"/>
          </w:tcPr>
          <w:p>
            <w:pPr>
              <w:spacing w:after="0"/>
              <w:rPr>
                <w:sz w:val="1"/>
                <w:szCs w:val="1"/>
                <w:color w:val="auto"/>
              </w:rPr>
            </w:pPr>
          </w:p>
        </w:tc>
      </w:tr>
      <w:tr>
        <w:trPr>
          <w:trHeight w:val="135"/>
        </w:trPr>
        <w:tc>
          <w:tcPr>
            <w:tcW w:w="1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263,091</w:t>
            </w:r>
          </w:p>
        </w:tc>
        <w:tc>
          <w:tcPr>
            <w:tcW w:w="160" w:type="dxa"/>
            <w:vAlign w:val="bottom"/>
          </w:tcPr>
          <w:p>
            <w:pPr>
              <w:spacing w:after="0"/>
              <w:rPr>
                <w:sz w:val="11"/>
                <w:szCs w:val="11"/>
                <w:color w:val="auto"/>
              </w:rPr>
            </w:pPr>
          </w:p>
        </w:tc>
        <w:tc>
          <w:tcPr>
            <w:tcW w:w="9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(972)</w:t>
            </w: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262,119</w:t>
            </w:r>
          </w:p>
        </w:tc>
        <w:tc>
          <w:tcPr>
            <w:tcW w:w="0" w:type="dxa"/>
            <w:vAlign w:val="bottom"/>
          </w:tcPr>
          <w:p>
            <w:pPr>
              <w:spacing w:after="0"/>
              <w:rPr>
                <w:sz w:val="1"/>
                <w:szCs w:val="1"/>
                <w:color w:val="auto"/>
              </w:rPr>
            </w:pPr>
          </w:p>
        </w:tc>
      </w:tr>
      <w:tr>
        <w:trPr>
          <w:trHeight w:val="95"/>
        </w:trPr>
        <w:tc>
          <w:tcPr>
            <w:tcW w:w="1620" w:type="dxa"/>
            <w:vAlign w:val="bottom"/>
            <w:tcBorders>
              <w:top w:val="single" w:sz="8" w:color="CCEEFF"/>
            </w:tcBorders>
            <w:shd w:val="clear" w:color="auto" w:fill="CCEEFF"/>
          </w:tcPr>
          <w:p>
            <w:pPr>
              <w:spacing w:after="0" w:line="95" w:lineRule="exact"/>
              <w:rPr>
                <w:sz w:val="20"/>
                <w:szCs w:val="20"/>
                <w:color w:val="auto"/>
              </w:rPr>
            </w:pPr>
            <w:r>
              <w:rPr>
                <w:rFonts w:ascii="Times New Roman" w:cs="Times New Roman" w:eastAsia="Times New Roman" w:hAnsi="Times New Roman"/>
                <w:sz w:val="9"/>
                <w:szCs w:val="9"/>
                <w:b w:val="1"/>
                <w:bCs w:val="1"/>
                <w:color w:val="auto"/>
              </w:rPr>
              <w:t>Balance as of December 31,</w:t>
            </w:r>
          </w:p>
        </w:tc>
        <w:tc>
          <w:tcPr>
            <w:tcW w:w="6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2014</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262,244,298</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17,278</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5"/>
              </w:rPr>
              <w:t>317,325,360</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22,053</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(2,039,656)</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(13,379)</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1,587,227</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65,968</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52,852</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(15,341)</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1,716,658</w:t>
            </w:r>
          </w:p>
        </w:tc>
        <w:tc>
          <w:tcPr>
            <w:tcW w:w="0" w:type="dxa"/>
            <w:vAlign w:val="bottom"/>
          </w:tcPr>
          <w:p>
            <w:pPr>
              <w:spacing w:after="0"/>
              <w:rPr>
                <w:sz w:val="1"/>
                <w:szCs w:val="1"/>
                <w:color w:val="auto"/>
              </w:rPr>
            </w:pPr>
          </w:p>
        </w:tc>
      </w:tr>
      <w:tr>
        <w:trPr>
          <w:trHeight w:val="129"/>
        </w:trPr>
        <w:tc>
          <w:tcPr>
            <w:tcW w:w="162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Share-based compensation</w:t>
            </w: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34,354</w:t>
            </w:r>
          </w:p>
        </w:tc>
        <w:tc>
          <w:tcPr>
            <w:tcW w:w="140" w:type="dxa"/>
            <w:vAlign w:val="bottom"/>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34,354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6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ordinary shares</w:t>
            </w: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upon settlement of share-</w:t>
            </w: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based awards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3,822,780</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240</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8,534</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8,774</w:t>
            </w:r>
          </w:p>
        </w:tc>
        <w:tc>
          <w:tcPr>
            <w:tcW w:w="0" w:type="dxa"/>
            <w:vAlign w:val="bottom"/>
          </w:tcPr>
          <w:p>
            <w:pPr>
              <w:spacing w:after="0"/>
              <w:rPr>
                <w:sz w:val="1"/>
                <w:szCs w:val="1"/>
                <w:color w:val="auto"/>
              </w:rPr>
            </w:pPr>
          </w:p>
        </w:tc>
      </w:tr>
      <w:tr>
        <w:trPr>
          <w:trHeight w:val="117"/>
        </w:trPr>
        <w:tc>
          <w:tcPr>
            <w:tcW w:w="16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Repurchase of ordinary</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w w:val="95"/>
              </w:rPr>
              <w:t>(10,776,568)</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(65,910)</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(65,910)</w:t>
            </w:r>
          </w:p>
        </w:tc>
        <w:tc>
          <w:tcPr>
            <w:tcW w:w="0" w:type="dxa"/>
            <w:vAlign w:val="bottom"/>
          </w:tcPr>
          <w:p>
            <w:pPr>
              <w:spacing w:after="0"/>
              <w:rPr>
                <w:sz w:val="1"/>
                <w:szCs w:val="1"/>
                <w:color w:val="auto"/>
              </w:rPr>
            </w:pPr>
          </w:p>
        </w:tc>
      </w:tr>
      <w:tr>
        <w:trPr>
          <w:trHeight w:val="117"/>
        </w:trPr>
        <w:tc>
          <w:tcPr>
            <w:tcW w:w="16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Cancellation of repurchased</w:t>
            </w: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ordinary shares</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w w:val="98"/>
              </w:rPr>
              <w:t>(12,816,224)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(785)</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12,816,224</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79,289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(79,011)</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(507)</w:t>
            </w:r>
          </w:p>
        </w:tc>
        <w:tc>
          <w:tcPr>
            <w:tcW w:w="0" w:type="dxa"/>
            <w:vAlign w:val="bottom"/>
          </w:tcPr>
          <w:p>
            <w:pPr>
              <w:spacing w:after="0"/>
              <w:rPr>
                <w:sz w:val="1"/>
                <w:szCs w:val="1"/>
                <w:color w:val="auto"/>
              </w:rPr>
            </w:pPr>
          </w:p>
        </w:tc>
      </w:tr>
      <w:tr>
        <w:trPr>
          <w:trHeight w:val="117"/>
        </w:trPr>
        <w:tc>
          <w:tcPr>
            <w:tcW w:w="16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Appropriation to statutory</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reserves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4,343</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(4,343)</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6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Fair value changes of</w:t>
            </w: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available-for-sale</w:t>
            </w: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investments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15,869</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15,869</w:t>
            </w:r>
          </w:p>
        </w:tc>
        <w:tc>
          <w:tcPr>
            <w:tcW w:w="0" w:type="dxa"/>
            <w:vAlign w:val="bottom"/>
          </w:tcPr>
          <w:p>
            <w:pPr>
              <w:spacing w:after="0"/>
              <w:rPr>
                <w:sz w:val="1"/>
                <w:szCs w:val="1"/>
                <w:color w:val="auto"/>
              </w:rPr>
            </w:pPr>
          </w:p>
        </w:tc>
      </w:tr>
      <w:tr>
        <w:trPr>
          <w:trHeight w:val="117"/>
        </w:trPr>
        <w:tc>
          <w:tcPr>
            <w:tcW w:w="16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adjustment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22,813</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22,813</w:t>
            </w:r>
          </w:p>
        </w:tc>
        <w:tc>
          <w:tcPr>
            <w:tcW w:w="0" w:type="dxa"/>
            <w:vAlign w:val="bottom"/>
          </w:tcPr>
          <w:p>
            <w:pPr>
              <w:spacing w:after="0"/>
              <w:rPr>
                <w:sz w:val="1"/>
                <w:szCs w:val="1"/>
                <w:color w:val="auto"/>
              </w:rPr>
            </w:pPr>
          </w:p>
        </w:tc>
      </w:tr>
      <w:tr>
        <w:trPr>
          <w:trHeight w:val="117"/>
        </w:trPr>
        <w:tc>
          <w:tcPr>
            <w:tcW w:w="16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Capital contribution received</w:t>
            </w: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from noncontrolling</w:t>
            </w: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shareholders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250</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250</w:t>
            </w:r>
          </w:p>
        </w:tc>
        <w:tc>
          <w:tcPr>
            <w:tcW w:w="0" w:type="dxa"/>
            <w:vAlign w:val="bottom"/>
          </w:tcPr>
          <w:p>
            <w:pPr>
              <w:spacing w:after="0"/>
              <w:rPr>
                <w:sz w:val="1"/>
                <w:szCs w:val="1"/>
                <w:color w:val="auto"/>
              </w:rPr>
            </w:pPr>
          </w:p>
        </w:tc>
      </w:tr>
      <w:tr>
        <w:trPr>
          <w:trHeight w:val="135"/>
        </w:trPr>
        <w:tc>
          <w:tcPr>
            <w:tcW w:w="1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73,584</w:t>
            </w:r>
          </w:p>
        </w:tc>
        <w:tc>
          <w:tcPr>
            <w:tcW w:w="9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(1,199)</w:t>
            </w: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72,385</w:t>
            </w:r>
          </w:p>
        </w:tc>
        <w:tc>
          <w:tcPr>
            <w:tcW w:w="0" w:type="dxa"/>
            <w:vAlign w:val="bottom"/>
          </w:tcPr>
          <w:p>
            <w:pPr>
              <w:spacing w:after="0"/>
              <w:rPr>
                <w:sz w:val="1"/>
                <w:szCs w:val="1"/>
                <w:color w:val="auto"/>
              </w:rPr>
            </w:pPr>
          </w:p>
        </w:tc>
      </w:tr>
      <w:tr>
        <w:trPr>
          <w:trHeight w:val="95"/>
        </w:trPr>
        <w:tc>
          <w:tcPr>
            <w:tcW w:w="1620" w:type="dxa"/>
            <w:vAlign w:val="bottom"/>
            <w:tcBorders>
              <w:top w:val="single" w:sz="8" w:color="CCEEFF"/>
            </w:tcBorders>
            <w:shd w:val="clear" w:color="auto" w:fill="CCEEFF"/>
          </w:tcPr>
          <w:p>
            <w:pPr>
              <w:spacing w:after="0" w:line="95" w:lineRule="exact"/>
              <w:rPr>
                <w:sz w:val="20"/>
                <w:szCs w:val="20"/>
                <w:color w:val="auto"/>
              </w:rPr>
            </w:pPr>
            <w:r>
              <w:rPr>
                <w:rFonts w:ascii="Times New Roman" w:cs="Times New Roman" w:eastAsia="Times New Roman" w:hAnsi="Times New Roman"/>
                <w:sz w:val="9"/>
                <w:szCs w:val="9"/>
                <w:b w:val="1"/>
                <w:bCs w:val="1"/>
                <w:color w:val="auto"/>
              </w:rPr>
              <w:t>Balance as of December 31,</w:t>
            </w:r>
          </w:p>
        </w:tc>
        <w:tc>
          <w:tcPr>
            <w:tcW w:w="6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2015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253,250,854</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16,733</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5"/>
              </w:rPr>
              <w:t>317,325,360</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22,053</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1,551,104</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70,311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122,093</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23,341</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(949)</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1,804,686</w:t>
            </w:r>
          </w:p>
        </w:tc>
        <w:tc>
          <w:tcPr>
            <w:tcW w:w="0" w:type="dxa"/>
            <w:vAlign w:val="bottom"/>
          </w:tcPr>
          <w:p>
            <w:pPr>
              <w:spacing w:after="0"/>
              <w:rPr>
                <w:sz w:val="1"/>
                <w:szCs w:val="1"/>
                <w:color w:val="auto"/>
              </w:rPr>
            </w:pPr>
          </w:p>
        </w:tc>
      </w:tr>
      <w:tr>
        <w:trPr>
          <w:trHeight w:val="129"/>
        </w:trPr>
        <w:tc>
          <w:tcPr>
            <w:tcW w:w="162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Share-based compensation</w:t>
            </w: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1,890</w:t>
            </w:r>
          </w:p>
        </w:tc>
        <w:tc>
          <w:tcPr>
            <w:tcW w:w="140" w:type="dxa"/>
            <w:vAlign w:val="bottom"/>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6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ordinary shares</w:t>
            </w: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upon settlement of share-</w:t>
            </w: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based awards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1,658,936</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2,517</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2,627</w:t>
            </w:r>
          </w:p>
        </w:tc>
        <w:tc>
          <w:tcPr>
            <w:tcW w:w="0" w:type="dxa"/>
            <w:vAlign w:val="bottom"/>
          </w:tcPr>
          <w:p>
            <w:pPr>
              <w:spacing w:after="0"/>
              <w:rPr>
                <w:sz w:val="1"/>
                <w:szCs w:val="1"/>
                <w:color w:val="auto"/>
              </w:rPr>
            </w:pPr>
          </w:p>
        </w:tc>
      </w:tr>
      <w:tr>
        <w:trPr>
          <w:trHeight w:val="117"/>
        </w:trPr>
        <w:tc>
          <w:tcPr>
            <w:tcW w:w="16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Appropriation to statutory</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reserves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7,635</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(7,635)</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6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Fair value changes of</w:t>
            </w: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available-for-sale</w:t>
            </w: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investments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247,336</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247,336</w:t>
            </w:r>
          </w:p>
        </w:tc>
        <w:tc>
          <w:tcPr>
            <w:tcW w:w="0" w:type="dxa"/>
            <w:vAlign w:val="bottom"/>
          </w:tcPr>
          <w:p>
            <w:pPr>
              <w:spacing w:after="0"/>
              <w:rPr>
                <w:sz w:val="1"/>
                <w:szCs w:val="1"/>
                <w:color w:val="auto"/>
              </w:rPr>
            </w:pPr>
          </w:p>
        </w:tc>
      </w:tr>
      <w:tr>
        <w:trPr>
          <w:trHeight w:val="117"/>
        </w:trPr>
        <w:tc>
          <w:tcPr>
            <w:tcW w:w="16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adjustment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27,669</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27,669</w:t>
            </w: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80,611</w:t>
            </w:r>
          </w:p>
        </w:tc>
        <w:tc>
          <w:tcPr>
            <w:tcW w:w="9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(2,391)</w:t>
            </w: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78,220</w:t>
            </w:r>
          </w:p>
        </w:tc>
        <w:tc>
          <w:tcPr>
            <w:tcW w:w="0" w:type="dxa"/>
            <w:vAlign w:val="bottom"/>
          </w:tcPr>
          <w:p>
            <w:pPr>
              <w:spacing w:after="0"/>
              <w:rPr>
                <w:sz w:val="1"/>
                <w:szCs w:val="1"/>
                <w:color w:val="auto"/>
              </w:rPr>
            </w:pPr>
          </w:p>
        </w:tc>
      </w:tr>
      <w:tr>
        <w:trPr>
          <w:trHeight w:val="20"/>
        </w:trPr>
        <w:tc>
          <w:tcPr>
            <w:tcW w:w="1620" w:type="dxa"/>
            <w:vAlign w:val="bottom"/>
            <w:vMerge w:val="restart"/>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Balance as of December 31,</w:t>
            </w: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620" w:type="dxa"/>
            <w:vAlign w:val="bottom"/>
            <w:vMerge w:val="continue"/>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254,909,790</w:t>
            </w:r>
          </w:p>
        </w:tc>
        <w:tc>
          <w:tcPr>
            <w:tcW w:w="16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16,843</w:t>
            </w:r>
          </w:p>
        </w:tc>
        <w:tc>
          <w:tcPr>
            <w:tcW w:w="140" w:type="dxa"/>
            <w:vAlign w:val="bottom"/>
            <w:vMerge w:val="restart"/>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317,325,360</w:t>
            </w:r>
          </w:p>
        </w:tc>
        <w:tc>
          <w:tcPr>
            <w:tcW w:w="160" w:type="dxa"/>
            <w:vAlign w:val="bottom"/>
            <w:vMerge w:val="restart"/>
          </w:tcPr>
          <w:p>
            <w:pPr>
              <w:spacing w:after="0"/>
              <w:rPr>
                <w:sz w:val="8"/>
                <w:szCs w:val="8"/>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22,053</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1,555,511</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77,946</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195,069</w:t>
            </w:r>
          </w:p>
        </w:tc>
        <w:tc>
          <w:tcPr>
            <w:tcW w:w="160" w:type="dxa"/>
            <w:vAlign w:val="bottom"/>
          </w:tcPr>
          <w:p>
            <w:pPr>
              <w:spacing w:after="0"/>
              <w:rPr>
                <w:sz w:val="8"/>
                <w:szCs w:val="8"/>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298,346</w:t>
            </w: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(3,340)</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2,162,428</w:t>
            </w:r>
          </w:p>
        </w:tc>
        <w:tc>
          <w:tcPr>
            <w:tcW w:w="0" w:type="dxa"/>
            <w:vAlign w:val="bottom"/>
          </w:tcPr>
          <w:p>
            <w:pPr>
              <w:spacing w:after="0"/>
              <w:rPr>
                <w:sz w:val="1"/>
                <w:szCs w:val="1"/>
                <w:color w:val="auto"/>
              </w:rPr>
            </w:pPr>
          </w:p>
        </w:tc>
      </w:tr>
      <w:tr>
        <w:trPr>
          <w:trHeight w:val="162"/>
        </w:trPr>
        <w:tc>
          <w:tcPr>
            <w:tcW w:w="162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b w:val="1"/>
                <w:bCs w:val="1"/>
                <w:color w:val="auto"/>
              </w:rPr>
              <w:t>2016</w:t>
            </w: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vMerge w:val="restart"/>
            <w:shd w:val="clear" w:color="auto" w:fill="CCEEFF"/>
          </w:tcPr>
          <w:p>
            <w:pPr>
              <w:spacing w:after="0" w:line="88" w:lineRule="exact"/>
              <w:rPr>
                <w:sz w:val="20"/>
                <w:szCs w:val="20"/>
                <w:color w:val="auto"/>
              </w:rPr>
            </w:pPr>
            <w:r>
              <w:rPr>
                <w:rFonts w:ascii="Times New Roman" w:cs="Times New Roman" w:eastAsia="Times New Roman" w:hAnsi="Times New Roman"/>
                <w:sz w:val="9"/>
                <w:szCs w:val="9"/>
                <w:b w:val="1"/>
                <w:bCs w:val="1"/>
                <w:color w:val="auto"/>
              </w:rPr>
              <w:t>Balance as of December 31,</w:t>
            </w: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620" w:type="dxa"/>
            <w:vAlign w:val="bottom"/>
            <w:vMerge w:val="continue"/>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2,426</w:t>
            </w:r>
          </w:p>
        </w:tc>
        <w:tc>
          <w:tcPr>
            <w:tcW w:w="1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3,176</w:t>
            </w:r>
          </w:p>
        </w:tc>
        <w:tc>
          <w:tcPr>
            <w:tcW w:w="6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224,040</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11,227</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28,096</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42,971</w:t>
            </w:r>
          </w:p>
        </w:tc>
        <w:tc>
          <w:tcPr>
            <w:tcW w:w="940" w:type="dxa"/>
            <w:vAlign w:val="bottom"/>
            <w:gridSpan w:val="2"/>
            <w:vMerge w:val="restart"/>
            <w:shd w:val="clear" w:color="auto" w:fill="CCEEFF"/>
          </w:tcPr>
          <w:p>
            <w:pPr>
              <w:jc w:val="right"/>
              <w:ind w:right="100"/>
              <w:spacing w:after="0" w:line="210" w:lineRule="exact"/>
              <w:rPr>
                <w:sz w:val="20"/>
                <w:szCs w:val="20"/>
                <w:color w:val="auto"/>
              </w:rPr>
            </w:pPr>
            <w:r>
              <w:rPr>
                <w:rFonts w:ascii="Times New Roman" w:cs="Times New Roman" w:eastAsia="Times New Roman" w:hAnsi="Times New Roman"/>
                <w:sz w:val="12"/>
                <w:szCs w:val="12"/>
                <w:b w:val="1"/>
                <w:bCs w:val="1"/>
                <w:color w:val="auto"/>
              </w:rPr>
              <w:t>(481</w:t>
            </w:r>
            <w:r>
              <w:rPr>
                <w:rFonts w:ascii="Times New Roman" w:cs="Times New Roman" w:eastAsia="Times New Roman" w:hAnsi="Times New Roman"/>
                <w:sz w:val="24"/>
                <w:szCs w:val="24"/>
                <w:b w:val="1"/>
                <w:bCs w:val="1"/>
                <w:color w:val="auto"/>
                <w:vertAlign w:val="superscript"/>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311,455</w:t>
            </w:r>
          </w:p>
        </w:tc>
        <w:tc>
          <w:tcPr>
            <w:tcW w:w="0" w:type="dxa"/>
            <w:vAlign w:val="bottom"/>
          </w:tcPr>
          <w:p>
            <w:pPr>
              <w:spacing w:after="0"/>
              <w:rPr>
                <w:sz w:val="1"/>
                <w:szCs w:val="1"/>
                <w:color w:val="auto"/>
              </w:rPr>
            </w:pPr>
          </w:p>
        </w:tc>
      </w:tr>
      <w:tr>
        <w:trPr>
          <w:trHeight w:val="142"/>
        </w:trPr>
        <w:tc>
          <w:tcPr>
            <w:tcW w:w="162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3"/>
                <w:szCs w:val="13"/>
                <w:b w:val="1"/>
                <w:bCs w:val="1"/>
                <w:color w:val="auto"/>
              </w:rPr>
              <w:t>2016 (in US$)</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920" w:type="dxa"/>
            <w:vAlign w:val="bottom"/>
            <w:gridSpan w:val="2"/>
            <w:vMerge w:val="continue"/>
            <w:shd w:val="clear" w:color="auto" w:fill="CCEEFF"/>
          </w:tcPr>
          <w:p>
            <w:pPr>
              <w:spacing w:after="0"/>
              <w:rPr>
                <w:sz w:val="12"/>
                <w:szCs w:val="12"/>
                <w:color w:val="auto"/>
              </w:rPr>
            </w:pPr>
          </w:p>
        </w:tc>
        <w:tc>
          <w:tcPr>
            <w:tcW w:w="960" w:type="dxa"/>
            <w:vAlign w:val="bottom"/>
            <w:gridSpan w:val="2"/>
            <w:vMerge w:val="continue"/>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6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Pr>
          <w:p>
            <w:pPr>
              <w:spacing w:after="0"/>
              <w:rPr>
                <w:sz w:val="12"/>
                <w:szCs w:val="12"/>
                <w:color w:val="auto"/>
              </w:rPr>
            </w:pPr>
          </w:p>
        </w:tc>
        <w:tc>
          <w:tcPr>
            <w:tcW w:w="136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2"/>
                <w:szCs w:val="12"/>
                <w:color w:val="auto"/>
              </w:rPr>
            </w:pPr>
          </w:p>
        </w:tc>
        <w:tc>
          <w:tcPr>
            <w:tcW w:w="138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spacing w:after="0"/>
              <w:rPr>
                <w:sz w:val="15"/>
                <w:szCs w:val="15"/>
                <w:color w:val="auto"/>
              </w:rPr>
            </w:pPr>
          </w:p>
        </w:tc>
        <w:tc>
          <w:tcPr>
            <w:tcW w:w="13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5"/>
                <w:szCs w:val="15"/>
                <w:color w:val="auto"/>
              </w:rPr>
            </w:pPr>
          </w:p>
        </w:tc>
        <w:tc>
          <w:tcPr>
            <w:tcW w:w="13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5"/>
                <w:szCs w:val="15"/>
                <w:color w:val="auto"/>
              </w:rPr>
            </w:pPr>
          </w:p>
        </w:tc>
        <w:tc>
          <w:tcPr>
            <w:tcW w:w="13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49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262,119</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72,385</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78,220</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11,265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1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53,181</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34,354</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1,890</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Provision for allowance for doubtful accounts, including</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related party balances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30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49,320</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48,199</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36,323</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45,473</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41,952</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3,822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equity investments, including impairments</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18,538</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41,861</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1,776</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w:t>
            </w:r>
          </w:p>
        </w:tc>
        <w:tc>
          <w:tcPr>
            <w:tcW w:w="1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(3,226)</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(11,398)</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(18,344)</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589</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749</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Gain on disposal of subsidiaries and acquisition of equity</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investments</w:t>
            </w:r>
          </w:p>
        </w:tc>
        <w:tc>
          <w:tcPr>
            <w:tcW w:w="1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(29,660)</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Gain on disposal of an equity investment and acquisition of</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(4,643)</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exchange loss/(gain)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1,054</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(9,608)</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0" w:right="239" w:bottom="0" w:gutter="0" w:footer="0" w:header="0"/>
        </w:sectPr>
      </w:pPr>
    </w:p>
    <w:bookmarkStart w:id="102" w:name="page103"/>
    <w:bookmarkEnd w:id="10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1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(180,904)</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(59,772)</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55,308</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7,966</w:t>
            </w:r>
          </w:p>
        </w:tc>
        <w:tc>
          <w:tcPr>
            <w:tcW w:w="0" w:type="dxa"/>
            <w:vAlign w:val="bottom"/>
          </w:tcPr>
          <w:p>
            <w:pPr>
              <w:spacing w:after="0"/>
              <w:rPr>
                <w:sz w:val="1"/>
                <w:szCs w:val="1"/>
                <w:color w:val="auto"/>
              </w:rPr>
            </w:pPr>
          </w:p>
        </w:tc>
      </w:tr>
      <w:tr>
        <w:trPr>
          <w:trHeight w:val="216"/>
        </w:trPr>
        <w:tc>
          <w:tcPr>
            <w:tcW w:w="5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(14,320)</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(18,254)</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(18,531)</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(2,669)</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(50,684)</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41,368</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7,878</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r>
        <w:trPr>
          <w:trHeight w:val="216"/>
        </w:trPr>
        <w:tc>
          <w:tcPr>
            <w:tcW w:w="5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(1,076)</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(4,404)</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1,699</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63,419</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24,415</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(31,539)</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(4,543)</w:t>
            </w:r>
          </w:p>
        </w:tc>
        <w:tc>
          <w:tcPr>
            <w:tcW w:w="0" w:type="dxa"/>
            <w:vAlign w:val="bottom"/>
          </w:tcPr>
          <w:p>
            <w:pPr>
              <w:spacing w:after="0"/>
              <w:rPr>
                <w:sz w:val="1"/>
                <w:szCs w:val="1"/>
                <w:color w:val="auto"/>
              </w:rPr>
            </w:pPr>
          </w:p>
        </w:tc>
      </w:tr>
      <w:tr>
        <w:trPr>
          <w:trHeight w:val="216"/>
        </w:trPr>
        <w:tc>
          <w:tcPr>
            <w:tcW w:w="5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Advances from customers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3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(2,348)</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12,586</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1,813</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Salary and welfare payable</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13,023</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8,955</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16,301</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2,348</w:t>
            </w:r>
          </w:p>
        </w:tc>
        <w:tc>
          <w:tcPr>
            <w:tcW w:w="0" w:type="dxa"/>
            <w:vAlign w:val="bottom"/>
          </w:tcPr>
          <w:p>
            <w:pPr>
              <w:spacing w:after="0"/>
              <w:rPr>
                <w:sz w:val="1"/>
                <w:szCs w:val="1"/>
                <w:color w:val="auto"/>
              </w:rPr>
            </w:pPr>
          </w:p>
        </w:tc>
      </w:tr>
      <w:tr>
        <w:trPr>
          <w:trHeight w:val="216"/>
        </w:trPr>
        <w:tc>
          <w:tcPr>
            <w:tcW w:w="5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Taxes payable</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36,432</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4,182</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(17,468)</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(3,980)</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5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41,139</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(3,828)</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30,159</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4,344</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Long-term liabilities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1,501</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3,355</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10"/>
        </w:trPr>
        <w:tc>
          <w:tcPr>
            <w:tcW w:w="50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273,474</w:t>
            </w:r>
          </w:p>
        </w:tc>
        <w:tc>
          <w:tcPr>
            <w:tcW w:w="30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220,812</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203,686</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 of property and equipment and intangible assets</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(35,387)</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(43,457)</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(29,282)</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(4,217)</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Placement of term deposits and short term investments</w:t>
            </w:r>
          </w:p>
        </w:tc>
        <w:tc>
          <w:tcPr>
            <w:tcW w:w="1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(3,565,274)</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(3,288,344)</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(3,199,923)</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(460,885)</w:t>
            </w:r>
          </w:p>
        </w:tc>
        <w:tc>
          <w:tcPr>
            <w:tcW w:w="0" w:type="dxa"/>
            <w:vAlign w:val="bottom"/>
          </w:tcPr>
          <w:p>
            <w:pPr>
              <w:spacing w:after="0"/>
              <w:rPr>
                <w:sz w:val="1"/>
                <w:szCs w:val="1"/>
                <w:color w:val="auto"/>
              </w:rPr>
            </w:pPr>
          </w:p>
        </w:tc>
      </w:tr>
      <w:tr>
        <w:trPr>
          <w:trHeight w:val="216"/>
        </w:trPr>
        <w:tc>
          <w:tcPr>
            <w:tcW w:w="5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Maturity of term deposits and short term investments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4,082,583</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2,562,584</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3,189,803</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459,427</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Investments in available-for-sale investments</w:t>
            </w:r>
          </w:p>
        </w:tc>
        <w:tc>
          <w:tcPr>
            <w:tcW w:w="1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(36,810)</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(352,008)</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Investments in equity investments</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(37,681)</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(10,643)</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Disposal of subsidiaries, net of cash received</w:t>
            </w:r>
          </w:p>
        </w:tc>
        <w:tc>
          <w:tcPr>
            <w:tcW w:w="1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(14,259)</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Loans provided to a related party</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(45,865)</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(6,606)</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convertible loans to a related party</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(228,280)</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(32,879)</w:t>
            </w:r>
          </w:p>
        </w:tc>
        <w:tc>
          <w:tcPr>
            <w:tcW w:w="0" w:type="dxa"/>
            <w:vAlign w:val="bottom"/>
          </w:tcPr>
          <w:p>
            <w:pPr>
              <w:spacing w:after="0"/>
              <w:rPr>
                <w:sz w:val="1"/>
                <w:szCs w:val="1"/>
                <w:color w:val="auto"/>
              </w:rPr>
            </w:pPr>
          </w:p>
        </w:tc>
      </w:tr>
      <w:tr>
        <w:trPr>
          <w:trHeight w:val="216"/>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restricted cash</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(125,000)</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(229,602)</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(33,070)</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393,172</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(1,256,868)</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(543,149)</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8,756</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6,944</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2,436</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5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short-term bank loans</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123,589</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214,712</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30,925</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1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(242,500)</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(66,417)</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000" w:type="dxa"/>
            <w:vAlign w:val="bottom"/>
          </w:tcPr>
          <w:p>
            <w:pPr>
              <w:ind w:left="380"/>
              <w:spacing w:after="0" w:line="198" w:lineRule="exact"/>
              <w:rPr>
                <w:sz w:val="20"/>
                <w:szCs w:val="20"/>
                <w:color w:val="auto"/>
              </w:rPr>
            </w:pPr>
            <w:r>
              <w:rPr>
                <w:rFonts w:ascii="Times New Roman" w:cs="Times New Roman" w:eastAsia="Times New Roman" w:hAnsi="Times New Roman"/>
                <w:sz w:val="18"/>
                <w:szCs w:val="18"/>
                <w:color w:val="auto"/>
              </w:rPr>
              <w:t>Capital contribution received from noncontrolling</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shareholders</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10,000</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250</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cash (used in)/provided by financing activities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(223,744)</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64,366</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217,148</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3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2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14,340</w:t>
            </w:r>
          </w:p>
        </w:tc>
        <w:tc>
          <w:tcPr>
            <w:tcW w:w="2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increase/(decrease) in cash and cash equivalents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440,709</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(975,178)</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(107,975)</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beginning of the year</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845,138</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1,285,847</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310,669</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44,746</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year</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1,285,847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310,669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202,694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00" w:type="dxa"/>
            <w:vAlign w:val="bottom"/>
            <w:vMerge w:val="continue"/>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paid during the period for income taxes</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32,786</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36,044</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46,392</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6,682</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activities: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0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Investments in available-for-sale investments by conversion</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of convertible loans issued to a related party</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143,820</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20,714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Principal Activities</w:t>
      </w:r>
    </w:p>
    <w:p>
      <w:pPr>
        <w:spacing w:after="0" w:line="229" w:lineRule="exact"/>
        <w:rPr>
          <w:sz w:val="20"/>
          <w:szCs w:val="20"/>
          <w:color w:val="auto"/>
        </w:rPr>
      </w:pPr>
    </w:p>
    <w:p>
      <w:pPr>
        <w:ind w:right="60" w:firstLine="567"/>
        <w:spacing w:after="0" w:line="255" w:lineRule="auto"/>
        <w:rPr>
          <w:sz w:val="20"/>
          <w:szCs w:val="20"/>
          <w:color w:val="auto"/>
        </w:rPr>
      </w:pPr>
      <w:r>
        <w:rPr>
          <w:rFonts w:ascii="Times New Roman" w:cs="Times New Roman" w:eastAsia="Times New Roman" w:hAnsi="Times New Roman"/>
          <w:sz w:val="18"/>
          <w:szCs w:val="18"/>
          <w:color w:val="auto"/>
        </w:rPr>
        <w:t>Phoenix New Media Limited (“PNM”, or the “Company”) was incorporated in the Cayman Islands on November 22, 2007 by Phoenix Satellite Television (B.V.I.) Holding Limited (the “Parent”), a subsidiary of Phoenix Satellite Television Holdings Ltd. (the “Phoenix TV”). Phoenix TV, its subsidiaries and variable interest entities (“VIEs”) are collectively referred to as the Phoenix TV Group. As of December 31, 2016, the Company had eleven subsidiaries, four VIEs and eleven subsidiaries of VIEs. The Company, its subsidiaries, VIEs and subsidiaries of the VIEs are hereinafter collectively referred to as the “Group”. The Group generates revenues from providing advertising services and paid services, which include digital entertainment and games and others. While the VIEs hold certain licenses and approvals to operate Internet-related businesses in the People’s Republic of China (“China” or the “PRC”), they are also in the process of applying for licenses for the operations of their businesses, including an Internet audio-visual program transmission license and an Internet news license.</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details of the subsidiaries, VIEs and the subsidiaries of the VIEs as of December 31, 2016 are set out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 Direct or</w:t>
            </w: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Place of</w:t>
            </w:r>
          </w:p>
        </w:tc>
        <w:tc>
          <w:tcPr>
            <w:tcW w:w="280" w:type="dxa"/>
            <w:vAlign w:val="bottom"/>
          </w:tcPr>
          <w:p>
            <w:pPr>
              <w:spacing w:after="0"/>
              <w:rPr>
                <w:sz w:val="12"/>
                <w:szCs w:val="12"/>
                <w:color w:val="auto"/>
              </w:rPr>
            </w:pPr>
          </w:p>
        </w:tc>
        <w:tc>
          <w:tcPr>
            <w:tcW w:w="19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Indirect</w:t>
            </w:r>
          </w:p>
        </w:tc>
        <w:tc>
          <w:tcPr>
            <w:tcW w:w="272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9"/>
        </w:trPr>
        <w:tc>
          <w:tcPr>
            <w:tcW w:w="3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Economic</w:t>
            </w:r>
          </w:p>
        </w:tc>
        <w:tc>
          <w:tcPr>
            <w:tcW w:w="2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280" w:type="dxa"/>
            <w:vAlign w:val="bottom"/>
          </w:tcPr>
          <w:p>
            <w:pPr>
              <w:spacing w:after="0"/>
              <w:rPr>
                <w:sz w:val="15"/>
                <w:szCs w:val="15"/>
                <w:color w:val="auto"/>
              </w:rPr>
            </w:pPr>
          </w:p>
        </w:tc>
        <w:tc>
          <w:tcPr>
            <w:tcW w:w="1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720" w:type="dxa"/>
            <w:vAlign w:val="bottom"/>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Activity</w:t>
            </w:r>
          </w:p>
        </w:tc>
        <w:tc>
          <w:tcPr>
            <w:tcW w:w="0" w:type="dxa"/>
            <w:vAlign w:val="bottom"/>
          </w:tcPr>
          <w:p>
            <w:pPr>
              <w:spacing w:after="0"/>
              <w:rPr>
                <w:sz w:val="1"/>
                <w:szCs w:val="1"/>
                <w:color w:val="auto"/>
              </w:rPr>
            </w:pPr>
          </w:p>
        </w:tc>
      </w:tr>
      <w:tr>
        <w:trPr>
          <w:trHeight w:val="210"/>
        </w:trPr>
        <w:tc>
          <w:tcPr>
            <w:tcW w:w="3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 subsidiaries:</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Phoenix Satellite Television Information</w:t>
            </w:r>
          </w:p>
        </w:tc>
        <w:tc>
          <w:tcPr>
            <w:tcW w:w="1680" w:type="dxa"/>
            <w:vAlign w:val="bottom"/>
            <w:gridSpan w:val="2"/>
          </w:tcPr>
          <w:p>
            <w:pPr>
              <w:ind w:left="300"/>
              <w:spacing w:after="0" w:line="198" w:lineRule="exact"/>
              <w:rPr>
                <w:sz w:val="20"/>
                <w:szCs w:val="20"/>
                <w:color w:val="auto"/>
              </w:rPr>
            </w:pPr>
            <w:r>
              <w:rPr>
                <w:rFonts w:ascii="Times New Roman" w:cs="Times New Roman" w:eastAsia="Times New Roman" w:hAnsi="Times New Roman"/>
                <w:sz w:val="18"/>
                <w:szCs w:val="18"/>
                <w:color w:val="auto"/>
              </w:rPr>
              <w:t>British Virgin</w:t>
            </w:r>
          </w:p>
        </w:tc>
        <w:tc>
          <w:tcPr>
            <w:tcW w:w="2260" w:type="dxa"/>
            <w:vAlign w:val="bottom"/>
            <w:gridSpan w:val="3"/>
          </w:tcPr>
          <w:p>
            <w:pPr>
              <w:ind w:left="280"/>
              <w:spacing w:after="0" w:line="198" w:lineRule="exact"/>
              <w:rPr>
                <w:sz w:val="20"/>
                <w:szCs w:val="20"/>
                <w:color w:val="auto"/>
              </w:rPr>
            </w:pPr>
            <w:r>
              <w:rPr>
                <w:rFonts w:ascii="Times New Roman" w:cs="Times New Roman" w:eastAsia="Times New Roman" w:hAnsi="Times New Roman"/>
                <w:sz w:val="18"/>
                <w:szCs w:val="18"/>
                <w:color w:val="auto"/>
              </w:rPr>
              <w:t>September 1, 1999</w:t>
            </w:r>
          </w:p>
        </w:tc>
        <w:tc>
          <w:tcPr>
            <w:tcW w:w="132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2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Investment holding</w:t>
            </w:r>
          </w:p>
        </w:tc>
        <w:tc>
          <w:tcPr>
            <w:tcW w:w="0" w:type="dxa"/>
            <w:vAlign w:val="bottom"/>
          </w:tcPr>
          <w:p>
            <w:pPr>
              <w:spacing w:after="0"/>
              <w:rPr>
                <w:sz w:val="1"/>
                <w:szCs w:val="1"/>
                <w:color w:val="auto"/>
              </w:rPr>
            </w:pPr>
          </w:p>
        </w:tc>
      </w:tr>
      <w:tr>
        <w:trPr>
          <w:trHeight w:val="234"/>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Limited</w:t>
            </w:r>
          </w:p>
        </w:tc>
        <w:tc>
          <w:tcPr>
            <w:tcW w:w="1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Islands (“BVI”)</w:t>
            </w: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Phoenix New Media (Hong Kong) Company</w:t>
            </w:r>
          </w:p>
        </w:tc>
        <w:tc>
          <w:tcPr>
            <w:tcW w:w="1680" w:type="dxa"/>
            <w:vAlign w:val="bottom"/>
            <w:gridSpan w:val="2"/>
            <w:shd w:val="clear" w:color="auto" w:fill="CCEEFF"/>
          </w:tcPr>
          <w:p>
            <w:pPr>
              <w:ind w:left="300"/>
              <w:spacing w:after="0" w:line="198" w:lineRule="exact"/>
              <w:rPr>
                <w:sz w:val="20"/>
                <w:szCs w:val="20"/>
                <w:color w:val="auto"/>
              </w:rPr>
            </w:pPr>
            <w:r>
              <w:rPr>
                <w:rFonts w:ascii="Times New Roman" w:cs="Times New Roman" w:eastAsia="Times New Roman" w:hAnsi="Times New Roman"/>
                <w:sz w:val="18"/>
                <w:szCs w:val="18"/>
                <w:color w:val="auto"/>
              </w:rPr>
              <w:t>Hong Kong</w:t>
            </w:r>
          </w:p>
        </w:tc>
        <w:tc>
          <w:tcPr>
            <w:tcW w:w="2260" w:type="dxa"/>
            <w:vAlign w:val="bottom"/>
            <w:gridSpan w:val="3"/>
            <w:shd w:val="clear" w:color="auto" w:fill="CCEEFF"/>
          </w:tcPr>
          <w:p>
            <w:pPr>
              <w:ind w:left="280"/>
              <w:spacing w:after="0" w:line="198" w:lineRule="exact"/>
              <w:rPr>
                <w:sz w:val="20"/>
                <w:szCs w:val="20"/>
                <w:color w:val="auto"/>
              </w:rPr>
            </w:pPr>
            <w:r>
              <w:rPr>
                <w:rFonts w:ascii="Times New Roman" w:cs="Times New Roman" w:eastAsia="Times New Roman" w:hAnsi="Times New Roman"/>
                <w:sz w:val="18"/>
                <w:szCs w:val="18"/>
                <w:color w:val="auto"/>
              </w:rPr>
              <w:t>February 24, 2011</w:t>
            </w:r>
          </w:p>
        </w:tc>
        <w:tc>
          <w:tcPr>
            <w:tcW w:w="1320" w:type="dxa"/>
            <w:vAlign w:val="bottom"/>
            <w:gridSpan w:val="2"/>
            <w:shd w:val="clear" w:color="auto" w:fill="CCEEFF"/>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2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Advertising</w:t>
            </w:r>
          </w:p>
        </w:tc>
        <w:tc>
          <w:tcPr>
            <w:tcW w:w="0" w:type="dxa"/>
            <w:vAlign w:val="bottom"/>
          </w:tcPr>
          <w:p>
            <w:pPr>
              <w:spacing w:after="0"/>
              <w:rPr>
                <w:sz w:val="1"/>
                <w:szCs w:val="1"/>
                <w:color w:val="auto"/>
              </w:rPr>
            </w:pPr>
          </w:p>
        </w:tc>
      </w:tr>
      <w:tr>
        <w:trPr>
          <w:trHeight w:val="234"/>
        </w:trPr>
        <w:tc>
          <w:tcPr>
            <w:tcW w:w="3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w:t>
            </w:r>
          </w:p>
        </w:tc>
        <w:tc>
          <w:tcPr>
            <w:tcW w:w="3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Phoenix New Media (Hong Kong) Information</w:t>
            </w:r>
          </w:p>
        </w:tc>
        <w:tc>
          <w:tcPr>
            <w:tcW w:w="1680" w:type="dxa"/>
            <w:vAlign w:val="bottom"/>
            <w:gridSpan w:val="2"/>
          </w:tcPr>
          <w:p>
            <w:pPr>
              <w:ind w:left="300"/>
              <w:spacing w:after="0" w:line="198" w:lineRule="exact"/>
              <w:rPr>
                <w:sz w:val="20"/>
                <w:szCs w:val="20"/>
                <w:color w:val="auto"/>
              </w:rPr>
            </w:pPr>
            <w:r>
              <w:rPr>
                <w:rFonts w:ascii="Times New Roman" w:cs="Times New Roman" w:eastAsia="Times New Roman" w:hAnsi="Times New Roman"/>
                <w:sz w:val="18"/>
                <w:szCs w:val="18"/>
                <w:color w:val="auto"/>
              </w:rPr>
              <w:t>Hong Kong</w:t>
            </w:r>
          </w:p>
        </w:tc>
        <w:tc>
          <w:tcPr>
            <w:tcW w:w="2260" w:type="dxa"/>
            <w:vAlign w:val="bottom"/>
            <w:gridSpan w:val="3"/>
          </w:tcPr>
          <w:p>
            <w:pPr>
              <w:ind w:left="280"/>
              <w:spacing w:after="0" w:line="198" w:lineRule="exact"/>
              <w:rPr>
                <w:sz w:val="20"/>
                <w:szCs w:val="20"/>
                <w:color w:val="auto"/>
              </w:rPr>
            </w:pPr>
            <w:r>
              <w:rPr>
                <w:rFonts w:ascii="Times New Roman" w:cs="Times New Roman" w:eastAsia="Times New Roman" w:hAnsi="Times New Roman"/>
                <w:sz w:val="18"/>
                <w:szCs w:val="18"/>
                <w:color w:val="auto"/>
              </w:rPr>
              <w:t>April 22, 2014</w:t>
            </w:r>
          </w:p>
        </w:tc>
        <w:tc>
          <w:tcPr>
            <w:tcW w:w="132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2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Investment holding</w:t>
            </w:r>
          </w:p>
        </w:tc>
        <w:tc>
          <w:tcPr>
            <w:tcW w:w="0" w:type="dxa"/>
            <w:vAlign w:val="bottom"/>
          </w:tcPr>
          <w:p>
            <w:pPr>
              <w:spacing w:after="0"/>
              <w:rPr>
                <w:sz w:val="1"/>
                <w:szCs w:val="1"/>
                <w:color w:val="auto"/>
              </w:rPr>
            </w:pPr>
          </w:p>
        </w:tc>
      </w:tr>
      <w:tr>
        <w:trPr>
          <w:trHeight w:val="234"/>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Company Limited</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 Game Limited</w:t>
            </w:r>
          </w:p>
        </w:tc>
        <w:tc>
          <w:tcPr>
            <w:tcW w:w="1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Cayman Island</w:t>
            </w:r>
          </w:p>
        </w:tc>
        <w:tc>
          <w:tcPr>
            <w:tcW w:w="22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May 20, 2014</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holding</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Convergence Investment Co. Ltd.</w:t>
            </w:r>
          </w:p>
        </w:tc>
        <w:tc>
          <w:tcPr>
            <w:tcW w:w="1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Cayman Island</w:t>
            </w:r>
          </w:p>
        </w:tc>
        <w:tc>
          <w:tcPr>
            <w:tcW w:w="22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July 17, 2015</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holding</w:t>
            </w:r>
          </w:p>
        </w:tc>
        <w:tc>
          <w:tcPr>
            <w:tcW w:w="0" w:type="dxa"/>
            <w:vAlign w:val="bottom"/>
          </w:tcPr>
          <w:p>
            <w:pPr>
              <w:spacing w:after="0"/>
              <w:rPr>
                <w:sz w:val="1"/>
                <w:szCs w:val="1"/>
                <w:color w:val="auto"/>
              </w:rPr>
            </w:pPr>
          </w:p>
        </w:tc>
      </w:tr>
      <w:tr>
        <w:trPr>
          <w:trHeight w:val="84"/>
        </w:trPr>
        <w:tc>
          <w:tcPr>
            <w:tcW w:w="34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7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Indirect subsidiaries:</w:t>
            </w:r>
          </w:p>
        </w:tc>
        <w:tc>
          <w:tcPr>
            <w:tcW w:w="14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3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Fenghuang On-line (Beijing) Information</w:t>
            </w:r>
          </w:p>
        </w:tc>
        <w:tc>
          <w:tcPr>
            <w:tcW w:w="14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PRC</w:t>
            </w:r>
          </w:p>
        </w:tc>
        <w:tc>
          <w:tcPr>
            <w:tcW w:w="2500" w:type="dxa"/>
            <w:vAlign w:val="bottom"/>
          </w:tcPr>
          <w:p>
            <w:pPr>
              <w:ind w:left="420"/>
              <w:spacing w:after="0" w:line="198" w:lineRule="exact"/>
              <w:rPr>
                <w:sz w:val="20"/>
                <w:szCs w:val="20"/>
                <w:color w:val="auto"/>
              </w:rPr>
            </w:pPr>
            <w:r>
              <w:rPr>
                <w:rFonts w:ascii="Times New Roman" w:cs="Times New Roman" w:eastAsia="Times New Roman" w:hAnsi="Times New Roman"/>
                <w:sz w:val="18"/>
                <w:szCs w:val="18"/>
                <w:color w:val="auto"/>
              </w:rPr>
              <w:t>December 20, 2005</w:t>
            </w:r>
          </w:p>
        </w:tc>
        <w:tc>
          <w:tcPr>
            <w:tcW w:w="11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28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Technical consulting</w:t>
            </w:r>
          </w:p>
        </w:tc>
        <w:tc>
          <w:tcPr>
            <w:tcW w:w="40" w:type="dxa"/>
            <w:vAlign w:val="bottom"/>
          </w:tcPr>
          <w:p>
            <w:pPr>
              <w:spacing w:after="0"/>
              <w:rPr>
                <w:sz w:val="17"/>
                <w:szCs w:val="17"/>
                <w:color w:val="auto"/>
              </w:rPr>
            </w:pPr>
          </w:p>
        </w:tc>
      </w:tr>
      <w:tr>
        <w:trPr>
          <w:trHeight w:val="216"/>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Co., Ltd. (“Fenghuang On-</w:t>
            </w:r>
          </w:p>
        </w:tc>
        <w:tc>
          <w:tcPr>
            <w:tcW w:w="14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line”)</w:t>
            </w:r>
          </w:p>
        </w:tc>
        <w:tc>
          <w:tcPr>
            <w:tcW w:w="14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3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Beijing Fenghuang Yutian Software</w:t>
            </w:r>
          </w:p>
        </w:tc>
        <w:tc>
          <w:tcPr>
            <w:tcW w:w="14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PRC</w:t>
            </w:r>
          </w:p>
        </w:tc>
        <w:tc>
          <w:tcPr>
            <w:tcW w:w="2500" w:type="dxa"/>
            <w:vAlign w:val="bottom"/>
            <w:shd w:val="clear" w:color="auto" w:fill="CCEEFF"/>
          </w:tcPr>
          <w:p>
            <w:pPr>
              <w:ind w:left="420"/>
              <w:spacing w:after="0" w:line="198" w:lineRule="exact"/>
              <w:rPr>
                <w:sz w:val="20"/>
                <w:szCs w:val="20"/>
                <w:color w:val="auto"/>
              </w:rPr>
            </w:pPr>
            <w:r>
              <w:rPr>
                <w:rFonts w:ascii="Times New Roman" w:cs="Times New Roman" w:eastAsia="Times New Roman" w:hAnsi="Times New Roman"/>
                <w:sz w:val="18"/>
                <w:szCs w:val="18"/>
                <w:color w:val="auto"/>
              </w:rPr>
              <w:t>June 15, 2012</w:t>
            </w:r>
          </w:p>
        </w:tc>
        <w:tc>
          <w:tcPr>
            <w:tcW w:w="11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280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Software development</w:t>
            </w:r>
          </w:p>
        </w:tc>
        <w:tc>
          <w:tcPr>
            <w:tcW w:w="40" w:type="dxa"/>
            <w:vAlign w:val="bottom"/>
          </w:tcPr>
          <w:p>
            <w:pPr>
              <w:spacing w:after="0"/>
              <w:rPr>
                <w:sz w:val="17"/>
                <w:szCs w:val="17"/>
                <w:color w:val="auto"/>
              </w:rPr>
            </w:pPr>
          </w:p>
        </w:tc>
      </w:tr>
      <w:tr>
        <w:trPr>
          <w:trHeight w:val="234"/>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 Co., Ltd. (“Fenghuang Yutian”)</w:t>
            </w:r>
          </w:p>
        </w:tc>
        <w:tc>
          <w:tcPr>
            <w:tcW w:w="14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3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Fenghuang Feiyang (Beijing) New Media</w:t>
            </w:r>
          </w:p>
        </w:tc>
        <w:tc>
          <w:tcPr>
            <w:tcW w:w="14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PRC</w:t>
            </w:r>
          </w:p>
        </w:tc>
        <w:tc>
          <w:tcPr>
            <w:tcW w:w="2500" w:type="dxa"/>
            <w:vAlign w:val="bottom"/>
          </w:tcPr>
          <w:p>
            <w:pPr>
              <w:ind w:left="420"/>
              <w:spacing w:after="0" w:line="198" w:lineRule="exact"/>
              <w:rPr>
                <w:sz w:val="20"/>
                <w:szCs w:val="20"/>
                <w:color w:val="auto"/>
              </w:rPr>
            </w:pPr>
            <w:r>
              <w:rPr>
                <w:rFonts w:ascii="Times New Roman" w:cs="Times New Roman" w:eastAsia="Times New Roman" w:hAnsi="Times New Roman"/>
                <w:sz w:val="18"/>
                <w:szCs w:val="18"/>
                <w:color w:val="auto"/>
              </w:rPr>
              <w:t>October 25, 2013</w:t>
            </w:r>
          </w:p>
        </w:tc>
        <w:tc>
          <w:tcPr>
            <w:tcW w:w="11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28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Advertising</w:t>
            </w:r>
          </w:p>
        </w:tc>
        <w:tc>
          <w:tcPr>
            <w:tcW w:w="40" w:type="dxa"/>
            <w:vAlign w:val="bottom"/>
          </w:tcPr>
          <w:p>
            <w:pPr>
              <w:spacing w:after="0"/>
              <w:rPr>
                <w:sz w:val="17"/>
                <w:szCs w:val="17"/>
                <w:color w:val="auto"/>
              </w:rPr>
            </w:pPr>
          </w:p>
        </w:tc>
      </w:tr>
      <w:tr>
        <w:trPr>
          <w:trHeight w:val="216"/>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Information Technology Co., Ltd.</w:t>
            </w:r>
          </w:p>
        </w:tc>
        <w:tc>
          <w:tcPr>
            <w:tcW w:w="14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(“Fenghuang Feiyang”)</w:t>
            </w:r>
          </w:p>
        </w:tc>
        <w:tc>
          <w:tcPr>
            <w:tcW w:w="14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 Game (Hong Kong) Company Limited</w:t>
            </w:r>
          </w:p>
        </w:tc>
        <w:tc>
          <w:tcPr>
            <w:tcW w:w="1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Hong Kong</w:t>
            </w:r>
          </w:p>
        </w:tc>
        <w:tc>
          <w:tcPr>
            <w:tcW w:w="2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June 10, 2014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Game</w:t>
            </w:r>
          </w:p>
        </w:tc>
        <w:tc>
          <w:tcPr>
            <w:tcW w:w="40" w:type="dxa"/>
            <w:vAlign w:val="bottom"/>
          </w:tcPr>
          <w:p>
            <w:pPr>
              <w:spacing w:after="0"/>
              <w:rPr>
                <w:sz w:val="18"/>
                <w:szCs w:val="18"/>
                <w:color w:val="auto"/>
              </w:rPr>
            </w:pPr>
          </w:p>
        </w:tc>
      </w:tr>
      <w:tr>
        <w:trPr>
          <w:trHeight w:val="198"/>
        </w:trPr>
        <w:tc>
          <w:tcPr>
            <w:tcW w:w="3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Beijing Fenghuang Borui Software Technology</w:t>
            </w:r>
          </w:p>
        </w:tc>
        <w:tc>
          <w:tcPr>
            <w:tcW w:w="14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PRC</w:t>
            </w:r>
          </w:p>
        </w:tc>
        <w:tc>
          <w:tcPr>
            <w:tcW w:w="2500" w:type="dxa"/>
            <w:vAlign w:val="bottom"/>
          </w:tcPr>
          <w:p>
            <w:pPr>
              <w:ind w:left="420"/>
              <w:spacing w:after="0" w:line="198" w:lineRule="exact"/>
              <w:rPr>
                <w:sz w:val="20"/>
                <w:szCs w:val="20"/>
                <w:color w:val="auto"/>
              </w:rPr>
            </w:pPr>
            <w:r>
              <w:rPr>
                <w:rFonts w:ascii="Times New Roman" w:cs="Times New Roman" w:eastAsia="Times New Roman" w:hAnsi="Times New Roman"/>
                <w:sz w:val="18"/>
                <w:szCs w:val="18"/>
                <w:color w:val="auto"/>
              </w:rPr>
              <w:t>October 13, 2014</w:t>
            </w:r>
          </w:p>
        </w:tc>
        <w:tc>
          <w:tcPr>
            <w:tcW w:w="11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28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Software development</w:t>
            </w:r>
          </w:p>
        </w:tc>
        <w:tc>
          <w:tcPr>
            <w:tcW w:w="40" w:type="dxa"/>
            <w:vAlign w:val="bottom"/>
          </w:tcPr>
          <w:p>
            <w:pPr>
              <w:spacing w:after="0"/>
              <w:rPr>
                <w:sz w:val="17"/>
                <w:szCs w:val="17"/>
                <w:color w:val="auto"/>
              </w:rPr>
            </w:pPr>
          </w:p>
        </w:tc>
      </w:tr>
      <w:tr>
        <w:trPr>
          <w:trHeight w:val="234"/>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 Ltd. (“Fenghuang Borui”)</w:t>
            </w:r>
          </w:p>
        </w:tc>
        <w:tc>
          <w:tcPr>
            <w:tcW w:w="14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3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Qieyiyou (Beijing) Information Technology</w:t>
            </w:r>
          </w:p>
        </w:tc>
        <w:tc>
          <w:tcPr>
            <w:tcW w:w="14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PRC</w:t>
            </w:r>
          </w:p>
        </w:tc>
        <w:tc>
          <w:tcPr>
            <w:tcW w:w="2500" w:type="dxa"/>
            <w:vAlign w:val="bottom"/>
            <w:shd w:val="clear" w:color="auto" w:fill="CCEEFF"/>
          </w:tcPr>
          <w:p>
            <w:pPr>
              <w:ind w:left="420"/>
              <w:spacing w:after="0" w:line="198" w:lineRule="exact"/>
              <w:rPr>
                <w:sz w:val="20"/>
                <w:szCs w:val="20"/>
                <w:color w:val="auto"/>
              </w:rPr>
            </w:pPr>
            <w:r>
              <w:rPr>
                <w:rFonts w:ascii="Times New Roman" w:cs="Times New Roman" w:eastAsia="Times New Roman" w:hAnsi="Times New Roman"/>
                <w:sz w:val="18"/>
                <w:szCs w:val="18"/>
                <w:color w:val="auto"/>
              </w:rPr>
              <w:t>November 28, 2014</w:t>
            </w:r>
          </w:p>
        </w:tc>
        <w:tc>
          <w:tcPr>
            <w:tcW w:w="11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280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Game</w:t>
            </w:r>
          </w:p>
        </w:tc>
        <w:tc>
          <w:tcPr>
            <w:tcW w:w="40" w:type="dxa"/>
            <w:vAlign w:val="bottom"/>
          </w:tcPr>
          <w:p>
            <w:pPr>
              <w:spacing w:after="0"/>
              <w:rPr>
                <w:sz w:val="17"/>
                <w:szCs w:val="17"/>
                <w:color w:val="auto"/>
              </w:rPr>
            </w:pPr>
          </w:p>
        </w:tc>
      </w:tr>
      <w:tr>
        <w:trPr>
          <w:trHeight w:val="234"/>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 Ltd. (“Qieyiyou”)</w:t>
            </w:r>
          </w:p>
        </w:tc>
        <w:tc>
          <w:tcPr>
            <w:tcW w:w="14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VIEs:</w:t>
            </w:r>
          </w:p>
        </w:tc>
        <w:tc>
          <w:tcPr>
            <w:tcW w:w="14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3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Beijing Tianying Jiuzhou Network</w:t>
            </w:r>
          </w:p>
        </w:tc>
        <w:tc>
          <w:tcPr>
            <w:tcW w:w="14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PRC</w:t>
            </w:r>
          </w:p>
        </w:tc>
        <w:tc>
          <w:tcPr>
            <w:tcW w:w="2500" w:type="dxa"/>
            <w:vAlign w:val="bottom"/>
            <w:shd w:val="clear" w:color="auto" w:fill="CCEEFF"/>
          </w:tcPr>
          <w:p>
            <w:pPr>
              <w:ind w:left="420"/>
              <w:spacing w:after="0" w:line="198" w:lineRule="exact"/>
              <w:rPr>
                <w:sz w:val="20"/>
                <w:szCs w:val="20"/>
                <w:color w:val="auto"/>
              </w:rPr>
            </w:pPr>
            <w:r>
              <w:rPr>
                <w:rFonts w:ascii="Times New Roman" w:cs="Times New Roman" w:eastAsia="Times New Roman" w:hAnsi="Times New Roman"/>
                <w:sz w:val="18"/>
                <w:szCs w:val="18"/>
                <w:color w:val="auto"/>
              </w:rPr>
              <w:t>April 18, 2000</w:t>
            </w:r>
          </w:p>
        </w:tc>
        <w:tc>
          <w:tcPr>
            <w:tcW w:w="11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280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Advertising and paid services</w:t>
            </w:r>
          </w:p>
        </w:tc>
        <w:tc>
          <w:tcPr>
            <w:tcW w:w="40" w:type="dxa"/>
            <w:vAlign w:val="bottom"/>
          </w:tcPr>
          <w:p>
            <w:pPr>
              <w:spacing w:after="0"/>
              <w:rPr>
                <w:sz w:val="17"/>
                <w:szCs w:val="17"/>
                <w:color w:val="auto"/>
              </w:rPr>
            </w:pPr>
          </w:p>
        </w:tc>
      </w:tr>
      <w:tr>
        <w:trPr>
          <w:trHeight w:val="234"/>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 Co., Ltd. (“Tianying Jiuzhou”)</w:t>
            </w:r>
          </w:p>
        </w:tc>
        <w:tc>
          <w:tcPr>
            <w:tcW w:w="14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3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Yifeng Lianhe (Beijing) Technology Co., Ltd.</w:t>
            </w:r>
          </w:p>
        </w:tc>
        <w:tc>
          <w:tcPr>
            <w:tcW w:w="14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PRC</w:t>
            </w:r>
          </w:p>
        </w:tc>
        <w:tc>
          <w:tcPr>
            <w:tcW w:w="2500" w:type="dxa"/>
            <w:vAlign w:val="bottom"/>
          </w:tcPr>
          <w:p>
            <w:pPr>
              <w:ind w:left="420"/>
              <w:spacing w:after="0" w:line="198" w:lineRule="exact"/>
              <w:rPr>
                <w:sz w:val="20"/>
                <w:szCs w:val="20"/>
                <w:color w:val="auto"/>
              </w:rPr>
            </w:pPr>
            <w:r>
              <w:rPr>
                <w:rFonts w:ascii="Times New Roman" w:cs="Times New Roman" w:eastAsia="Times New Roman" w:hAnsi="Times New Roman"/>
                <w:sz w:val="18"/>
                <w:szCs w:val="18"/>
                <w:color w:val="auto"/>
              </w:rPr>
              <w:t>June 16, 2006</w:t>
            </w:r>
          </w:p>
        </w:tc>
        <w:tc>
          <w:tcPr>
            <w:tcW w:w="11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28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Mobile value-added services</w:t>
            </w:r>
          </w:p>
        </w:tc>
        <w:tc>
          <w:tcPr>
            <w:tcW w:w="40" w:type="dxa"/>
            <w:vAlign w:val="bottom"/>
          </w:tcPr>
          <w:p>
            <w:pPr>
              <w:spacing w:after="0"/>
              <w:rPr>
                <w:sz w:val="17"/>
                <w:szCs w:val="17"/>
                <w:color w:val="auto"/>
              </w:rPr>
            </w:pPr>
          </w:p>
        </w:tc>
      </w:tr>
      <w:tr>
        <w:trPr>
          <w:trHeight w:val="234"/>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(“Yifeng Lianhe”)</w:t>
            </w:r>
          </w:p>
        </w:tc>
        <w:tc>
          <w:tcPr>
            <w:tcW w:w="14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3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Beijing Chenhuan Technology Co., Ltd.</w:t>
            </w:r>
          </w:p>
        </w:tc>
        <w:tc>
          <w:tcPr>
            <w:tcW w:w="14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PRC</w:t>
            </w:r>
          </w:p>
        </w:tc>
        <w:tc>
          <w:tcPr>
            <w:tcW w:w="2500" w:type="dxa"/>
            <w:vAlign w:val="bottom"/>
            <w:shd w:val="clear" w:color="auto" w:fill="CCEEFF"/>
          </w:tcPr>
          <w:p>
            <w:pPr>
              <w:ind w:left="420"/>
              <w:spacing w:after="0" w:line="198" w:lineRule="exact"/>
              <w:rPr>
                <w:sz w:val="20"/>
                <w:szCs w:val="20"/>
                <w:color w:val="auto"/>
              </w:rPr>
            </w:pPr>
            <w:r>
              <w:rPr>
                <w:rFonts w:ascii="Times New Roman" w:cs="Times New Roman" w:eastAsia="Times New Roman" w:hAnsi="Times New Roman"/>
                <w:sz w:val="18"/>
                <w:szCs w:val="18"/>
                <w:color w:val="auto"/>
              </w:rPr>
              <w:t>June 10, 2014</w:t>
            </w:r>
          </w:p>
        </w:tc>
        <w:tc>
          <w:tcPr>
            <w:tcW w:w="11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280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Game</w:t>
            </w:r>
          </w:p>
        </w:tc>
        <w:tc>
          <w:tcPr>
            <w:tcW w:w="40" w:type="dxa"/>
            <w:vAlign w:val="bottom"/>
          </w:tcPr>
          <w:p>
            <w:pPr>
              <w:spacing w:after="0"/>
              <w:rPr>
                <w:sz w:val="17"/>
                <w:szCs w:val="17"/>
                <w:color w:val="auto"/>
              </w:rPr>
            </w:pPr>
          </w:p>
        </w:tc>
      </w:tr>
      <w:tr>
        <w:trPr>
          <w:trHeight w:val="234"/>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(“Chenhuan”)</w:t>
            </w:r>
          </w:p>
        </w:tc>
        <w:tc>
          <w:tcPr>
            <w:tcW w:w="14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3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Shanghai Meowpaw Information Technology</w:t>
            </w:r>
          </w:p>
        </w:tc>
        <w:tc>
          <w:tcPr>
            <w:tcW w:w="14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PRC</w:t>
            </w:r>
          </w:p>
        </w:tc>
        <w:tc>
          <w:tcPr>
            <w:tcW w:w="2500" w:type="dxa"/>
            <w:vAlign w:val="bottom"/>
          </w:tcPr>
          <w:p>
            <w:pPr>
              <w:ind w:left="420"/>
              <w:spacing w:after="0" w:line="198" w:lineRule="exact"/>
              <w:rPr>
                <w:sz w:val="20"/>
                <w:szCs w:val="20"/>
                <w:color w:val="auto"/>
              </w:rPr>
            </w:pPr>
            <w:r>
              <w:rPr>
                <w:rFonts w:ascii="Times New Roman" w:cs="Times New Roman" w:eastAsia="Times New Roman" w:hAnsi="Times New Roman"/>
                <w:sz w:val="18"/>
                <w:szCs w:val="18"/>
                <w:color w:val="auto"/>
              </w:rPr>
              <w:t>January 14, 2015</w:t>
            </w:r>
          </w:p>
        </w:tc>
        <w:tc>
          <w:tcPr>
            <w:tcW w:w="11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75%</w:t>
            </w:r>
          </w:p>
        </w:tc>
        <w:tc>
          <w:tcPr>
            <w:tcW w:w="28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Game</w:t>
            </w:r>
          </w:p>
        </w:tc>
        <w:tc>
          <w:tcPr>
            <w:tcW w:w="40" w:type="dxa"/>
            <w:vAlign w:val="bottom"/>
          </w:tcPr>
          <w:p>
            <w:pPr>
              <w:spacing w:after="0"/>
              <w:rPr>
                <w:sz w:val="17"/>
                <w:szCs w:val="17"/>
                <w:color w:val="auto"/>
              </w:rPr>
            </w:pPr>
          </w:p>
        </w:tc>
      </w:tr>
      <w:tr>
        <w:trPr>
          <w:trHeight w:val="234"/>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 Ltd. (“Meowpaw”)</w:t>
            </w:r>
          </w:p>
        </w:tc>
        <w:tc>
          <w:tcPr>
            <w:tcW w:w="14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Subsidiaries of VIEs:</w:t>
            </w:r>
          </w:p>
        </w:tc>
        <w:tc>
          <w:tcPr>
            <w:tcW w:w="14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3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Beijing Tianying Chuangzhi</w:t>
            </w:r>
          </w:p>
        </w:tc>
        <w:tc>
          <w:tcPr>
            <w:tcW w:w="14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PRC</w:t>
            </w:r>
          </w:p>
        </w:tc>
        <w:tc>
          <w:tcPr>
            <w:tcW w:w="2500" w:type="dxa"/>
            <w:vAlign w:val="bottom"/>
          </w:tcPr>
          <w:p>
            <w:pPr>
              <w:ind w:left="420"/>
              <w:spacing w:after="0" w:line="198" w:lineRule="exact"/>
              <w:rPr>
                <w:sz w:val="20"/>
                <w:szCs w:val="20"/>
                <w:color w:val="auto"/>
              </w:rPr>
            </w:pPr>
            <w:r>
              <w:rPr>
                <w:rFonts w:ascii="Times New Roman" w:cs="Times New Roman" w:eastAsia="Times New Roman" w:hAnsi="Times New Roman"/>
                <w:sz w:val="18"/>
                <w:szCs w:val="18"/>
                <w:color w:val="auto"/>
              </w:rPr>
              <w:t>February 8, 2010</w:t>
            </w:r>
          </w:p>
        </w:tc>
        <w:tc>
          <w:tcPr>
            <w:tcW w:w="11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28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Advertising</w:t>
            </w:r>
          </w:p>
        </w:tc>
        <w:tc>
          <w:tcPr>
            <w:tcW w:w="40" w:type="dxa"/>
            <w:vAlign w:val="bottom"/>
          </w:tcPr>
          <w:p>
            <w:pPr>
              <w:spacing w:after="0"/>
              <w:rPr>
                <w:sz w:val="17"/>
                <w:szCs w:val="17"/>
                <w:color w:val="auto"/>
              </w:rPr>
            </w:pPr>
          </w:p>
        </w:tc>
      </w:tr>
      <w:tr>
        <w:trPr>
          <w:trHeight w:val="216"/>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 Co., Ltd. (“Tianying</w:t>
            </w:r>
          </w:p>
        </w:tc>
        <w:tc>
          <w:tcPr>
            <w:tcW w:w="14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Chuangzhi”)</w:t>
            </w:r>
          </w:p>
        </w:tc>
        <w:tc>
          <w:tcPr>
            <w:tcW w:w="14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3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Beijing Fenghuang Interactive Entertainment</w:t>
            </w:r>
          </w:p>
        </w:tc>
        <w:tc>
          <w:tcPr>
            <w:tcW w:w="14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PRC</w:t>
            </w:r>
          </w:p>
        </w:tc>
        <w:tc>
          <w:tcPr>
            <w:tcW w:w="2500" w:type="dxa"/>
            <w:vAlign w:val="bottom"/>
            <w:shd w:val="clear" w:color="auto" w:fill="CCEEFF"/>
          </w:tcPr>
          <w:p>
            <w:pPr>
              <w:ind w:left="420"/>
              <w:spacing w:after="0" w:line="198" w:lineRule="exact"/>
              <w:rPr>
                <w:sz w:val="20"/>
                <w:szCs w:val="20"/>
                <w:color w:val="auto"/>
              </w:rPr>
            </w:pPr>
            <w:r>
              <w:rPr>
                <w:rFonts w:ascii="Times New Roman" w:cs="Times New Roman" w:eastAsia="Times New Roman" w:hAnsi="Times New Roman"/>
                <w:sz w:val="18"/>
                <w:szCs w:val="18"/>
                <w:color w:val="auto"/>
              </w:rPr>
              <w:t>June 1, 2012</w:t>
            </w:r>
          </w:p>
        </w:tc>
        <w:tc>
          <w:tcPr>
            <w:tcW w:w="11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280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Paid services</w:t>
            </w:r>
          </w:p>
        </w:tc>
        <w:tc>
          <w:tcPr>
            <w:tcW w:w="40" w:type="dxa"/>
            <w:vAlign w:val="bottom"/>
          </w:tcPr>
          <w:p>
            <w:pPr>
              <w:spacing w:after="0"/>
              <w:rPr>
                <w:sz w:val="17"/>
                <w:szCs w:val="17"/>
                <w:color w:val="auto"/>
              </w:rPr>
            </w:pPr>
          </w:p>
        </w:tc>
      </w:tr>
      <w:tr>
        <w:trPr>
          <w:trHeight w:val="216"/>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Network Technology Co., Ltd. (“Fenghuang</w:t>
            </w:r>
          </w:p>
        </w:tc>
        <w:tc>
          <w:tcPr>
            <w:tcW w:w="14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Interactive Entertainment “)</w:t>
            </w:r>
          </w:p>
        </w:tc>
        <w:tc>
          <w:tcPr>
            <w:tcW w:w="14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3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Tianjin Fenghuang Mingdao Culture</w:t>
            </w:r>
          </w:p>
        </w:tc>
        <w:tc>
          <w:tcPr>
            <w:tcW w:w="14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PRC</w:t>
            </w:r>
          </w:p>
        </w:tc>
        <w:tc>
          <w:tcPr>
            <w:tcW w:w="2500" w:type="dxa"/>
            <w:vAlign w:val="bottom"/>
          </w:tcPr>
          <w:p>
            <w:pPr>
              <w:ind w:left="420"/>
              <w:spacing w:after="0" w:line="198" w:lineRule="exact"/>
              <w:rPr>
                <w:sz w:val="20"/>
                <w:szCs w:val="20"/>
                <w:color w:val="auto"/>
              </w:rPr>
            </w:pPr>
            <w:r>
              <w:rPr>
                <w:rFonts w:ascii="Times New Roman" w:cs="Times New Roman" w:eastAsia="Times New Roman" w:hAnsi="Times New Roman"/>
                <w:sz w:val="18"/>
                <w:szCs w:val="18"/>
                <w:color w:val="auto"/>
              </w:rPr>
              <w:t>May 24, 2013</w:t>
            </w:r>
          </w:p>
        </w:tc>
        <w:tc>
          <w:tcPr>
            <w:tcW w:w="11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28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Advertising</w:t>
            </w:r>
          </w:p>
        </w:tc>
        <w:tc>
          <w:tcPr>
            <w:tcW w:w="40" w:type="dxa"/>
            <w:vAlign w:val="bottom"/>
          </w:tcPr>
          <w:p>
            <w:pPr>
              <w:spacing w:after="0"/>
              <w:rPr>
                <w:sz w:val="17"/>
                <w:szCs w:val="17"/>
                <w:color w:val="auto"/>
              </w:rPr>
            </w:pPr>
          </w:p>
        </w:tc>
      </w:tr>
      <w:tr>
        <w:trPr>
          <w:trHeight w:val="216"/>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Communication Co., Ltd. (“Fenghuang</w:t>
            </w:r>
          </w:p>
        </w:tc>
        <w:tc>
          <w:tcPr>
            <w:tcW w:w="14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Mingdao”)</w:t>
            </w:r>
          </w:p>
        </w:tc>
        <w:tc>
          <w:tcPr>
            <w:tcW w:w="14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3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Beijing Youjiuzhou Technology Co., Ltd.</w:t>
            </w:r>
          </w:p>
        </w:tc>
        <w:tc>
          <w:tcPr>
            <w:tcW w:w="14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PRC</w:t>
            </w:r>
          </w:p>
        </w:tc>
        <w:tc>
          <w:tcPr>
            <w:tcW w:w="2500" w:type="dxa"/>
            <w:vAlign w:val="bottom"/>
            <w:shd w:val="clear" w:color="auto" w:fill="CCEEFF"/>
          </w:tcPr>
          <w:p>
            <w:pPr>
              <w:ind w:left="420"/>
              <w:spacing w:after="0" w:line="198" w:lineRule="exact"/>
              <w:rPr>
                <w:sz w:val="20"/>
                <w:szCs w:val="20"/>
                <w:color w:val="auto"/>
              </w:rPr>
            </w:pPr>
            <w:r>
              <w:rPr>
                <w:rFonts w:ascii="Times New Roman" w:cs="Times New Roman" w:eastAsia="Times New Roman" w:hAnsi="Times New Roman"/>
                <w:sz w:val="18"/>
                <w:szCs w:val="18"/>
                <w:color w:val="auto"/>
              </w:rPr>
              <w:t>June 10, 2014</w:t>
            </w:r>
          </w:p>
        </w:tc>
        <w:tc>
          <w:tcPr>
            <w:tcW w:w="11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280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Game</w:t>
            </w:r>
          </w:p>
        </w:tc>
        <w:tc>
          <w:tcPr>
            <w:tcW w:w="40" w:type="dxa"/>
            <w:vAlign w:val="bottom"/>
          </w:tcPr>
          <w:p>
            <w:pPr>
              <w:spacing w:after="0"/>
              <w:rPr>
                <w:sz w:val="17"/>
                <w:szCs w:val="17"/>
                <w:color w:val="auto"/>
              </w:rPr>
            </w:pPr>
          </w:p>
        </w:tc>
      </w:tr>
      <w:tr>
        <w:trPr>
          <w:trHeight w:val="234"/>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(“Youjiuzhou”)</w:t>
            </w:r>
          </w:p>
        </w:tc>
        <w:tc>
          <w:tcPr>
            <w:tcW w:w="14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3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Beijing Huanyou Tianxia Technology Co., Ltd.</w:t>
            </w:r>
          </w:p>
        </w:tc>
        <w:tc>
          <w:tcPr>
            <w:tcW w:w="14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PRC</w:t>
            </w:r>
          </w:p>
        </w:tc>
        <w:tc>
          <w:tcPr>
            <w:tcW w:w="2500" w:type="dxa"/>
            <w:vAlign w:val="bottom"/>
          </w:tcPr>
          <w:p>
            <w:pPr>
              <w:ind w:left="420"/>
              <w:spacing w:after="0" w:line="198" w:lineRule="exact"/>
              <w:rPr>
                <w:sz w:val="20"/>
                <w:szCs w:val="20"/>
                <w:color w:val="auto"/>
              </w:rPr>
            </w:pPr>
            <w:r>
              <w:rPr>
                <w:rFonts w:ascii="Times New Roman" w:cs="Times New Roman" w:eastAsia="Times New Roman" w:hAnsi="Times New Roman"/>
                <w:sz w:val="18"/>
                <w:szCs w:val="18"/>
                <w:color w:val="auto"/>
              </w:rPr>
              <w:t>June 16, 2014</w:t>
            </w:r>
          </w:p>
        </w:tc>
        <w:tc>
          <w:tcPr>
            <w:tcW w:w="11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28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Game</w:t>
            </w:r>
          </w:p>
        </w:tc>
        <w:tc>
          <w:tcPr>
            <w:tcW w:w="40" w:type="dxa"/>
            <w:vAlign w:val="bottom"/>
          </w:tcPr>
          <w:p>
            <w:pPr>
              <w:spacing w:after="0"/>
              <w:rPr>
                <w:sz w:val="17"/>
                <w:szCs w:val="17"/>
                <w:color w:val="auto"/>
              </w:rPr>
            </w:pPr>
          </w:p>
        </w:tc>
      </w:tr>
      <w:tr>
        <w:trPr>
          <w:trHeight w:val="234"/>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(“Huanyou Tianxia”)</w:t>
            </w:r>
          </w:p>
        </w:tc>
        <w:tc>
          <w:tcPr>
            <w:tcW w:w="14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3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Chengdu Huanyou Tianxia Network</w:t>
            </w:r>
          </w:p>
        </w:tc>
        <w:tc>
          <w:tcPr>
            <w:tcW w:w="14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PRC</w:t>
            </w:r>
          </w:p>
        </w:tc>
        <w:tc>
          <w:tcPr>
            <w:tcW w:w="2500" w:type="dxa"/>
            <w:vAlign w:val="bottom"/>
            <w:shd w:val="clear" w:color="auto" w:fill="CCEEFF"/>
          </w:tcPr>
          <w:p>
            <w:pPr>
              <w:ind w:left="420"/>
              <w:spacing w:after="0" w:line="198" w:lineRule="exact"/>
              <w:rPr>
                <w:sz w:val="20"/>
                <w:szCs w:val="20"/>
                <w:color w:val="auto"/>
              </w:rPr>
            </w:pPr>
            <w:r>
              <w:rPr>
                <w:rFonts w:ascii="Times New Roman" w:cs="Times New Roman" w:eastAsia="Times New Roman" w:hAnsi="Times New Roman"/>
                <w:sz w:val="18"/>
                <w:szCs w:val="18"/>
                <w:color w:val="auto"/>
              </w:rPr>
              <w:t>January 20, 2015</w:t>
            </w:r>
          </w:p>
        </w:tc>
        <w:tc>
          <w:tcPr>
            <w:tcW w:w="11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280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Game</w:t>
            </w:r>
          </w:p>
        </w:tc>
        <w:tc>
          <w:tcPr>
            <w:tcW w:w="40" w:type="dxa"/>
            <w:vAlign w:val="bottom"/>
          </w:tcPr>
          <w:p>
            <w:pPr>
              <w:spacing w:after="0"/>
              <w:rPr>
                <w:sz w:val="17"/>
                <w:szCs w:val="17"/>
                <w:color w:val="auto"/>
              </w:rPr>
            </w:pPr>
          </w:p>
        </w:tc>
      </w:tr>
      <w:tr>
        <w:trPr>
          <w:trHeight w:val="234"/>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 Co., Ltd. (“Chengdu Huanyou”)</w:t>
            </w:r>
          </w:p>
        </w:tc>
        <w:tc>
          <w:tcPr>
            <w:tcW w:w="14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3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Shanghai Yixi Network Technology Co., Ltd.</w:t>
            </w:r>
          </w:p>
        </w:tc>
        <w:tc>
          <w:tcPr>
            <w:tcW w:w="14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PRC</w:t>
            </w:r>
          </w:p>
        </w:tc>
        <w:tc>
          <w:tcPr>
            <w:tcW w:w="2500" w:type="dxa"/>
            <w:vAlign w:val="bottom"/>
          </w:tcPr>
          <w:p>
            <w:pPr>
              <w:ind w:left="420"/>
              <w:spacing w:after="0" w:line="198" w:lineRule="exact"/>
              <w:rPr>
                <w:sz w:val="20"/>
                <w:szCs w:val="20"/>
                <w:color w:val="auto"/>
              </w:rPr>
            </w:pPr>
            <w:r>
              <w:rPr>
                <w:rFonts w:ascii="Times New Roman" w:cs="Times New Roman" w:eastAsia="Times New Roman" w:hAnsi="Times New Roman"/>
                <w:sz w:val="18"/>
                <w:szCs w:val="18"/>
                <w:color w:val="auto"/>
              </w:rPr>
              <w:t>March 26, 2015</w:t>
            </w:r>
          </w:p>
        </w:tc>
        <w:tc>
          <w:tcPr>
            <w:tcW w:w="11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28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Software development</w:t>
            </w:r>
          </w:p>
        </w:tc>
        <w:tc>
          <w:tcPr>
            <w:tcW w:w="40" w:type="dxa"/>
            <w:vAlign w:val="bottom"/>
          </w:tcPr>
          <w:p>
            <w:pPr>
              <w:spacing w:after="0"/>
              <w:rPr>
                <w:sz w:val="17"/>
                <w:szCs w:val="17"/>
                <w:color w:val="auto"/>
              </w:rPr>
            </w:pPr>
          </w:p>
        </w:tc>
      </w:tr>
      <w:tr>
        <w:trPr>
          <w:trHeight w:val="234"/>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Yixi”)</w:t>
            </w:r>
          </w:p>
        </w:tc>
        <w:tc>
          <w:tcPr>
            <w:tcW w:w="14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3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Beijing Fenghuang Convergence Investment</w:t>
            </w:r>
          </w:p>
        </w:tc>
        <w:tc>
          <w:tcPr>
            <w:tcW w:w="14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PRC</w:t>
            </w:r>
          </w:p>
        </w:tc>
        <w:tc>
          <w:tcPr>
            <w:tcW w:w="2500" w:type="dxa"/>
            <w:vAlign w:val="bottom"/>
            <w:shd w:val="clear" w:color="auto" w:fill="CCEEFF"/>
          </w:tcPr>
          <w:p>
            <w:pPr>
              <w:ind w:left="420"/>
              <w:spacing w:after="0" w:line="198" w:lineRule="exact"/>
              <w:rPr>
                <w:sz w:val="20"/>
                <w:szCs w:val="20"/>
                <w:color w:val="auto"/>
              </w:rPr>
            </w:pPr>
            <w:r>
              <w:rPr>
                <w:rFonts w:ascii="Times New Roman" w:cs="Times New Roman" w:eastAsia="Times New Roman" w:hAnsi="Times New Roman"/>
                <w:sz w:val="18"/>
                <w:szCs w:val="18"/>
                <w:color w:val="auto"/>
              </w:rPr>
              <w:t>September 18, 2015</w:t>
            </w:r>
          </w:p>
        </w:tc>
        <w:tc>
          <w:tcPr>
            <w:tcW w:w="11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280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Investment holding</w:t>
            </w:r>
          </w:p>
        </w:tc>
        <w:tc>
          <w:tcPr>
            <w:tcW w:w="40" w:type="dxa"/>
            <w:vAlign w:val="bottom"/>
          </w:tcPr>
          <w:p>
            <w:pPr>
              <w:spacing w:after="0"/>
              <w:rPr>
                <w:sz w:val="17"/>
                <w:szCs w:val="17"/>
                <w:color w:val="auto"/>
              </w:rPr>
            </w:pPr>
          </w:p>
        </w:tc>
      </w:tr>
      <w:tr>
        <w:trPr>
          <w:trHeight w:val="234"/>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 Ltd. (“Fenghuang Convergence”)</w:t>
            </w:r>
          </w:p>
        </w:tc>
        <w:tc>
          <w:tcPr>
            <w:tcW w:w="14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3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Beijing Fenghuang Yunfu Information</w:t>
            </w:r>
          </w:p>
        </w:tc>
        <w:tc>
          <w:tcPr>
            <w:tcW w:w="14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PRC</w:t>
            </w:r>
          </w:p>
        </w:tc>
        <w:tc>
          <w:tcPr>
            <w:tcW w:w="2500" w:type="dxa"/>
            <w:vAlign w:val="bottom"/>
          </w:tcPr>
          <w:p>
            <w:pPr>
              <w:ind w:left="420"/>
              <w:spacing w:after="0" w:line="198" w:lineRule="exact"/>
              <w:rPr>
                <w:sz w:val="20"/>
                <w:szCs w:val="20"/>
                <w:color w:val="auto"/>
              </w:rPr>
            </w:pPr>
            <w:r>
              <w:rPr>
                <w:rFonts w:ascii="Times New Roman" w:cs="Times New Roman" w:eastAsia="Times New Roman" w:hAnsi="Times New Roman"/>
                <w:sz w:val="18"/>
                <w:szCs w:val="18"/>
                <w:color w:val="auto"/>
              </w:rPr>
              <w:t>April 12, 2016</w:t>
            </w:r>
          </w:p>
        </w:tc>
        <w:tc>
          <w:tcPr>
            <w:tcW w:w="11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28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Software development</w:t>
            </w:r>
          </w:p>
        </w:tc>
        <w:tc>
          <w:tcPr>
            <w:tcW w:w="40" w:type="dxa"/>
            <w:vAlign w:val="bottom"/>
          </w:tcPr>
          <w:p>
            <w:pPr>
              <w:spacing w:after="0"/>
              <w:rPr>
                <w:sz w:val="17"/>
                <w:szCs w:val="17"/>
                <w:color w:val="auto"/>
              </w:rPr>
            </w:pPr>
          </w:p>
        </w:tc>
      </w:tr>
      <w:tr>
        <w:trPr>
          <w:trHeight w:val="234"/>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Co., Ltd. (“Fenghuang Yunfu “)</w:t>
            </w:r>
          </w:p>
        </w:tc>
        <w:tc>
          <w:tcPr>
            <w:tcW w:w="14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3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Beijing Kanpanbao Technology Co., Ltd.</w:t>
            </w:r>
          </w:p>
        </w:tc>
        <w:tc>
          <w:tcPr>
            <w:tcW w:w="14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PRC</w:t>
            </w:r>
          </w:p>
        </w:tc>
        <w:tc>
          <w:tcPr>
            <w:tcW w:w="2500" w:type="dxa"/>
            <w:vAlign w:val="bottom"/>
            <w:shd w:val="clear" w:color="auto" w:fill="CCEEFF"/>
          </w:tcPr>
          <w:p>
            <w:pPr>
              <w:ind w:left="420"/>
              <w:spacing w:after="0" w:line="198" w:lineRule="exact"/>
              <w:rPr>
                <w:sz w:val="20"/>
                <w:szCs w:val="20"/>
                <w:color w:val="auto"/>
              </w:rPr>
            </w:pPr>
            <w:r>
              <w:rPr>
                <w:rFonts w:ascii="Times New Roman" w:cs="Times New Roman" w:eastAsia="Times New Roman" w:hAnsi="Times New Roman"/>
                <w:sz w:val="18"/>
                <w:szCs w:val="18"/>
                <w:color w:val="auto"/>
              </w:rPr>
              <w:t>April 15, 2016</w:t>
            </w:r>
          </w:p>
        </w:tc>
        <w:tc>
          <w:tcPr>
            <w:tcW w:w="11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70%</w:t>
            </w:r>
          </w:p>
        </w:tc>
        <w:tc>
          <w:tcPr>
            <w:tcW w:w="280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Software development</w:t>
            </w:r>
          </w:p>
        </w:tc>
        <w:tc>
          <w:tcPr>
            <w:tcW w:w="40" w:type="dxa"/>
            <w:vAlign w:val="bottom"/>
          </w:tcPr>
          <w:p>
            <w:pPr>
              <w:spacing w:after="0"/>
              <w:rPr>
                <w:sz w:val="17"/>
                <w:szCs w:val="17"/>
                <w:color w:val="auto"/>
              </w:rPr>
            </w:pPr>
          </w:p>
        </w:tc>
      </w:tr>
      <w:tr>
        <w:trPr>
          <w:trHeight w:val="234"/>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(“Kanpanbao “)</w:t>
            </w:r>
          </w:p>
        </w:tc>
        <w:tc>
          <w:tcPr>
            <w:tcW w:w="14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3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Shanghai Fengyu Shixun Technology Co., Ltd</w:t>
            </w:r>
          </w:p>
        </w:tc>
        <w:tc>
          <w:tcPr>
            <w:tcW w:w="14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PRC</w:t>
            </w:r>
          </w:p>
        </w:tc>
        <w:tc>
          <w:tcPr>
            <w:tcW w:w="2500" w:type="dxa"/>
            <w:vAlign w:val="bottom"/>
          </w:tcPr>
          <w:p>
            <w:pPr>
              <w:ind w:left="420"/>
              <w:spacing w:after="0" w:line="198" w:lineRule="exact"/>
              <w:rPr>
                <w:sz w:val="20"/>
                <w:szCs w:val="20"/>
                <w:color w:val="auto"/>
              </w:rPr>
            </w:pPr>
            <w:r>
              <w:rPr>
                <w:rFonts w:ascii="Times New Roman" w:cs="Times New Roman" w:eastAsia="Times New Roman" w:hAnsi="Times New Roman"/>
                <w:sz w:val="18"/>
                <w:szCs w:val="18"/>
                <w:color w:val="auto"/>
              </w:rPr>
              <w:t>December 21, 2016</w:t>
            </w:r>
          </w:p>
        </w:tc>
        <w:tc>
          <w:tcPr>
            <w:tcW w:w="11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28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Mobile value-added services</w:t>
            </w:r>
          </w:p>
        </w:tc>
        <w:tc>
          <w:tcPr>
            <w:tcW w:w="40" w:type="dxa"/>
            <w:vAlign w:val="bottom"/>
          </w:tcPr>
          <w:p>
            <w:pPr>
              <w:spacing w:after="0"/>
              <w:rPr>
                <w:sz w:val="17"/>
                <w:szCs w:val="17"/>
                <w:color w:val="auto"/>
              </w:rPr>
            </w:pPr>
          </w:p>
        </w:tc>
      </w:tr>
      <w:tr>
        <w:trPr>
          <w:trHeight w:val="234"/>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(“Fengyu Shixun”)</w:t>
            </w:r>
          </w:p>
        </w:tc>
        <w:tc>
          <w:tcPr>
            <w:tcW w:w="14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3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5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F-7</w:t>
            </w:r>
          </w:p>
        </w:tc>
        <w:tc>
          <w:tcPr>
            <w:tcW w:w="1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80" w:type="dxa"/>
            <w:vAlign w:val="bottom"/>
            <w:tcBorders>
              <w:bottom w:val="single" w:sz="8" w:color="808080"/>
            </w:tcBorders>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c>
          <w:tcPr>
            <w:tcW w:w="25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Principal Activities (Continued)</w:t>
      </w:r>
    </w:p>
    <w:p>
      <w:pPr>
        <w:spacing w:after="0" w:line="229" w:lineRule="exact"/>
        <w:rPr>
          <w:sz w:val="20"/>
          <w:szCs w:val="20"/>
          <w:color w:val="auto"/>
        </w:rPr>
      </w:pPr>
    </w:p>
    <w:p>
      <w:pPr>
        <w:ind w:right="100" w:firstLine="566"/>
        <w:spacing w:after="0" w:line="256" w:lineRule="auto"/>
        <w:rPr>
          <w:sz w:val="20"/>
          <w:szCs w:val="20"/>
          <w:color w:val="auto"/>
        </w:rPr>
      </w:pPr>
      <w:r>
        <w:rPr>
          <w:rFonts w:ascii="Times New Roman" w:cs="Times New Roman" w:eastAsia="Times New Roman" w:hAnsi="Times New Roman"/>
          <w:sz w:val="18"/>
          <w:szCs w:val="18"/>
          <w:color w:val="auto"/>
        </w:rPr>
        <w:t>In order to comply with Chinese laws and regulations that prohibit or restrict foreign ownership of companies that operate Internet content, advertising and game businesses, a series of agreements (the “Contractual Agreements”) were entered into among Fenghuang On-line, Tianying Jiuzhou, Yifeng Lianhe and their legal shareholders in 2009, and among Qieyiyou, Chenhuan,and their legal shareholders in 2015. Through the aforementioned activities, Tianying Jiuzhou, Yifeng Lianhe and Chenhuan, are considered as VIEs in accordance with accounting principles generally accepted in the United States (“U.S. GAAP”). Fenghuang On-line and Qieyiyou are entitled to substantially all the economic risks and rewards associated with the VIEs, and are the primary beneficiaries of the VIEs,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 Entrustment Agreements</w:t>
      </w:r>
    </w:p>
    <w:p>
      <w:pPr>
        <w:spacing w:after="0" w:line="229" w:lineRule="exact"/>
        <w:rPr>
          <w:sz w:val="20"/>
          <w:szCs w:val="20"/>
          <w:color w:val="auto"/>
        </w:rPr>
      </w:pPr>
    </w:p>
    <w:p>
      <w:pPr>
        <w:ind w:right="140" w:firstLine="567"/>
        <w:spacing w:after="0" w:line="258" w:lineRule="auto"/>
        <w:rPr>
          <w:sz w:val="20"/>
          <w:szCs w:val="20"/>
          <w:color w:val="auto"/>
        </w:rPr>
      </w:pPr>
      <w:r>
        <w:rPr>
          <w:rFonts w:ascii="Times New Roman" w:cs="Times New Roman" w:eastAsia="Times New Roman" w:hAnsi="Times New Roman"/>
          <w:sz w:val="18"/>
          <w:szCs w:val="18"/>
          <w:color w:val="auto"/>
        </w:rPr>
        <w:t>Pursuant to the voting right entrustment agreements among the VIEs, their legal shareholders and Fenghuang On-line or Qieyiyou, each legal shareholder of the VIEs agreed to grant a person designated by Fenghuang On-line or Qieyiyou the right to exercise their rights as shareholders, including all voting rights, as well as rights to attend and propose the convening of shareholder meetings. Unless otherwise required by law, the voting right entrustment agreements will remain in effect indefinitely unless both parties agree to terminate the agreement in writing, or unless the Fenghuang On-line or Qieyiyou decide in their discretion to terminate the relevant agreements.</w:t>
      </w:r>
    </w:p>
    <w:p>
      <w:pPr>
        <w:sectPr>
          <w:pgSz w:w="11900" w:h="16838" w:orient="portrait"/>
          <w:cols w:equalWidth="0" w:num="1">
            <w:col w:w="11460"/>
          </w:cols>
          <w:pgMar w:left="240" w:top="140" w:right="199" w:bottom="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Equity Option Agreements</w:t>
      </w:r>
    </w:p>
    <w:p>
      <w:pPr>
        <w:sectPr>
          <w:pgSz w:w="11900" w:h="16838" w:orient="portrait"/>
          <w:cols w:equalWidth="0" w:num="1">
            <w:col w:w="11460"/>
          </w:cols>
          <w:pgMar w:left="240" w:top="140" w:right="199" w:bottom="0" w:gutter="0" w:footer="0" w:header="0"/>
          <w:type w:val="continuous"/>
        </w:sectPr>
      </w:pPr>
    </w:p>
    <w:bookmarkStart w:id="104" w:name="page105"/>
    <w:bookmarkEnd w:id="104"/>
    <w:p>
      <w:pPr>
        <w:spacing w:after="0" w:line="50" w:lineRule="exact"/>
        <w:rPr>
          <w:sz w:val="20"/>
          <w:szCs w:val="20"/>
          <w:color w:val="auto"/>
        </w:rPr>
      </w:pPr>
    </w:p>
    <w:p>
      <w:pPr>
        <w:ind w:right="20" w:firstLine="567"/>
        <w:spacing w:after="0" w:line="256" w:lineRule="auto"/>
        <w:rPr>
          <w:sz w:val="20"/>
          <w:szCs w:val="20"/>
          <w:color w:val="auto"/>
        </w:rPr>
      </w:pPr>
      <w:r>
        <w:rPr>
          <w:rFonts w:ascii="Times New Roman" w:cs="Times New Roman" w:eastAsia="Times New Roman" w:hAnsi="Times New Roman"/>
          <w:sz w:val="18"/>
          <w:szCs w:val="18"/>
          <w:color w:val="auto"/>
        </w:rPr>
        <w:t>Under the exclusive equity option agreements among the VIEs, their legal shareholders and Fenghuang On-line or Qieyiyou, legal shareholders of the VIEs irrevocably granted Fenghuang On-line or Qieyiyou or their designated person an irrevocable, unconditional and exclusive option to purchase, to the extent permitted by applicable PRC laws, all of the equity interest in the VIEs from the legal shareholders. The purchase price for the entire equity interest is to be calculated based on the paid-up amount of the relevant equity interest or the minimum price permitted by applicable PRC laws. The exclusive equity option agreement will remain in effect until all of the equity interest in the VIEs has been duly transferred to Fenghuang On-line or Qieyiyou or their designated representatives.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Agreements</w:t>
      </w:r>
    </w:p>
    <w:p>
      <w:pPr>
        <w:spacing w:after="0" w:line="229" w:lineRule="exact"/>
        <w:rPr>
          <w:sz w:val="20"/>
          <w:szCs w:val="20"/>
          <w:color w:val="auto"/>
        </w:rPr>
      </w:pPr>
    </w:p>
    <w:p>
      <w:pPr>
        <w:ind w:firstLine="540"/>
        <w:spacing w:after="0" w:line="258" w:lineRule="auto"/>
        <w:rPr>
          <w:sz w:val="20"/>
          <w:szCs w:val="20"/>
          <w:color w:val="auto"/>
        </w:rPr>
      </w:pPr>
      <w:r>
        <w:rPr>
          <w:rFonts w:ascii="Times New Roman" w:cs="Times New Roman" w:eastAsia="Times New Roman" w:hAnsi="Times New Roman"/>
          <w:sz w:val="18"/>
          <w:szCs w:val="18"/>
          <w:color w:val="auto"/>
        </w:rPr>
        <w:t>Pursuant to the loan agreements among Fenghuang On-line or Qieyiyou, and legal shareholders of their VIEs, Fenghuang On-line or Qieyiyou granted interest-free loans to the legal shareholders of the VIEs for an amount that is equal to their respective capital contribution in the VIEs. The loans can be repaid only with proceeds from the sale of all of the respective shareholder’s equity interest in the applicable VIE to Fenghuang On-line or Qieyiyou, or their designated representatives pursuant to the applicable exclusive equity option agreement. The term of each loan is ten years, and may be extended upon mutual agreement of the parties.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Pledge Agreements</w:t>
      </w:r>
    </w:p>
    <w:p>
      <w:pPr>
        <w:spacing w:after="0" w:line="229" w:lineRule="exact"/>
        <w:rPr>
          <w:sz w:val="20"/>
          <w:szCs w:val="20"/>
          <w:color w:val="auto"/>
        </w:rPr>
      </w:pPr>
    </w:p>
    <w:p>
      <w:pPr>
        <w:ind w:right="120" w:firstLine="567"/>
        <w:spacing w:after="0" w:line="258" w:lineRule="auto"/>
        <w:rPr>
          <w:sz w:val="20"/>
          <w:szCs w:val="20"/>
          <w:color w:val="auto"/>
        </w:rPr>
      </w:pPr>
      <w:r>
        <w:rPr>
          <w:rFonts w:ascii="Times New Roman" w:cs="Times New Roman" w:eastAsia="Times New Roman" w:hAnsi="Times New Roman"/>
          <w:sz w:val="18"/>
          <w:szCs w:val="18"/>
          <w:color w:val="auto"/>
        </w:rPr>
        <w:t>Under the equity pledge agreement among the VIEs, their legal shareholders and Fenghuang On-line or Qieyiyou, the legal shareholders of the VIEs have pledged their equity interests in the VIEs to Fenghuang On-line or Qieyiyou to secure the performance of the obligations of the VIEs and their legal shareholders under the applicable exclusive technical licensing and services agreement, voting right entrustment agreement, exclusive equity option agreement and loan agreement. The equity pledge agreements will remain in effect until the secured obligations have been fully performed by the VIEs or released by Fenghuang On-line or Qieyiyou.</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Principal Activities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Technical Licensing and Service Agreements</w:t>
      </w:r>
    </w:p>
    <w:p>
      <w:pPr>
        <w:spacing w:after="0" w:line="229" w:lineRule="exact"/>
        <w:rPr>
          <w:sz w:val="20"/>
          <w:szCs w:val="20"/>
          <w:color w:val="auto"/>
        </w:rPr>
      </w:pPr>
    </w:p>
    <w:p>
      <w:pPr>
        <w:ind w:firstLine="571"/>
        <w:spacing w:after="0" w:line="256" w:lineRule="auto"/>
        <w:rPr>
          <w:sz w:val="20"/>
          <w:szCs w:val="20"/>
          <w:color w:val="auto"/>
        </w:rPr>
      </w:pPr>
      <w:r>
        <w:rPr>
          <w:rFonts w:ascii="Times New Roman" w:cs="Times New Roman" w:eastAsia="Times New Roman" w:hAnsi="Times New Roman"/>
          <w:sz w:val="18"/>
          <w:szCs w:val="18"/>
          <w:color w:val="auto"/>
        </w:rPr>
        <w:t>Under the exclusive technical licensing and service agreements between Fenghuang On-line or Qieyiyou and each of the VIEs, Fenghuang On-line or Qieyiyou has the exclusive right to provide technical and consulting services to their respective VIEs. The VIEs have agreed to pay a service fee to Fenghuang On-line or Qieyiyou equal to a certain percentage of their respective annual revenues plus a special service fee for certain services rendered by Fenghuang On-line or Qieyiyou at the request of the VIEs. The technical service agreements also transfer all of the economic benefit of intellectual property created by the VIEs to Fenghuang On-line or Qieyiyou. Each exclusive technical services agreement will remain in effect indefinitely and can be terminated only by Fenghuang On-line or Qieyiyou unless otherwise required by law.</w:t>
      </w:r>
    </w:p>
    <w:p>
      <w:pPr>
        <w:spacing w:after="0" w:line="188" w:lineRule="exact"/>
        <w:rPr>
          <w:sz w:val="20"/>
          <w:szCs w:val="20"/>
          <w:color w:val="auto"/>
        </w:rPr>
      </w:pPr>
    </w:p>
    <w:p>
      <w:pPr>
        <w:ind w:right="40" w:firstLine="571"/>
        <w:spacing w:after="0" w:line="255" w:lineRule="auto"/>
        <w:rPr>
          <w:sz w:val="20"/>
          <w:szCs w:val="20"/>
          <w:color w:val="auto"/>
        </w:rPr>
      </w:pPr>
      <w:r>
        <w:rPr>
          <w:rFonts w:ascii="Times New Roman" w:cs="Times New Roman" w:eastAsia="Times New Roman" w:hAnsi="Times New Roman"/>
          <w:sz w:val="18"/>
          <w:szCs w:val="18"/>
          <w:color w:val="auto"/>
        </w:rPr>
        <w:t>The Group has evaluated the relationship among the Company, Fenghuang On-line or Qieyiyou and the VIEs in accordance with U.S. GAAP. Pursuant to the voting right entrustment agreements, the Company has obtained power, as granted to the legal shareholders by the applicable PRC law and under the articles of association of the VIEs, to direct all significant activities of the VIEs, which include but are not limited to budgeting, financing, and making other strategic and operational decisions, and will significantly impact the VIEs’ economic performance. Pursuant to the exclusive technical licensing and service agreements and other agreements, the Company has the right to receive benefits of the VIEs in the form of technical service fees, which could potentially be significant to the VIEs’ net income. In addition, the Company has the right to receive all the residual assets of the VIEs through exercise of the exclusive equity option agreements. As a result, the Company, through Fenghuang On-line and Qieyiyou, is considered the primary beneficiary of the VIEs and therefore includes the VIEs’ assets, liabilities and operating results in its consolidated financial statements.</w:t>
      </w:r>
    </w:p>
    <w:p>
      <w:pPr>
        <w:spacing w:after="0" w:line="185" w:lineRule="exact"/>
        <w:rPr>
          <w:sz w:val="20"/>
          <w:szCs w:val="20"/>
          <w:color w:val="auto"/>
        </w:rPr>
      </w:pPr>
    </w:p>
    <w:p>
      <w:pPr>
        <w:ind w:firstLine="567"/>
        <w:spacing w:after="0" w:line="254" w:lineRule="auto"/>
        <w:rPr>
          <w:sz w:val="20"/>
          <w:szCs w:val="20"/>
          <w:color w:val="auto"/>
        </w:rPr>
      </w:pPr>
      <w:r>
        <w:rPr>
          <w:rFonts w:ascii="Times New Roman" w:cs="Times New Roman" w:eastAsia="Times New Roman" w:hAnsi="Times New Roman"/>
          <w:sz w:val="18"/>
          <w:szCs w:val="18"/>
          <w:color w:val="auto"/>
        </w:rPr>
        <w:t xml:space="preserve">In January 2015, in order to leverage the Group’s brand, content platform and large user base to expand into more entertainment related businesses, the Group established a new subsidiary Meowpaw with share capital of RMB1.0 million (US$0.2 million). Meowpaw is </w:t>
      </w:r>
      <w:r>
        <w:rPr>
          <w:rFonts w:ascii="Times New Roman" w:cs="Times New Roman" w:eastAsia="Times New Roman" w:hAnsi="Times New Roman"/>
          <w:sz w:val="17"/>
          <w:szCs w:val="17"/>
          <w:color w:val="auto"/>
        </w:rPr>
        <w:t>engaged in creating 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 xml:space="preserve">properties, related games, books, movies and animations, etc. </w:t>
      </w:r>
      <w:r>
        <w:rPr>
          <w:rFonts w:ascii="Times New Roman" w:cs="Times New Roman" w:eastAsia="Times New Roman" w:hAnsi="Times New Roman"/>
          <w:sz w:val="18"/>
          <w:szCs w:val="18"/>
          <w:color w:val="auto"/>
        </w:rPr>
        <w:t>The Group held 75% of the shares, and the noncontrolling shareholder, who was an individual,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8"/>
          <w:szCs w:val="18"/>
          <w:color w:val="auto"/>
        </w:rPr>
        <w:t xml:space="preserve">held the rest of 25%. Meowpaw’s share capital was not sufficient to support its operations. In addition to the capital injection, as of December 31, 2016, the Group has provided a long-term financing of RMB79.0 million (US$11.4 million) to support its operations. In accordance with ASC810-10, </w:t>
      </w:r>
      <w:r>
        <w:rPr>
          <w:rFonts w:ascii="Times New Roman" w:cs="Times New Roman" w:eastAsia="Times New Roman" w:hAnsi="Times New Roman"/>
          <w:sz w:val="18"/>
          <w:szCs w:val="18"/>
          <w:i w:val="1"/>
          <w:iCs w:val="1"/>
          <w:color w:val="auto"/>
        </w:rPr>
        <w:t>Variable 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Entities</w:t>
      </w:r>
      <w:r>
        <w:rPr>
          <w:rFonts w:ascii="Times New Roman" w:cs="Times New Roman" w:eastAsia="Times New Roman" w:hAnsi="Times New Roman"/>
          <w:sz w:val="18"/>
          <w:szCs w:val="18"/>
          <w:color w:val="auto"/>
        </w:rPr>
        <w:t>, Meowpaw is thinly capitalized and consolidated as a variable interest entity. Meowpaw may not pay any dividend to shareholders until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accumulated retained earnings is over RMB35.0 million (US$5.4 million). The Group owns 75% equity interest of Meowpaw, it can absorb a majority of Meowpaw’s expected loss, owns the power to direct Meowpaw’s activities and most significantly impacted Meowpaw’s economic performance, therefore, the Group is the primary beneficiary of Meowpaw and consolidated Meowpaw under VIE model.</w:t>
      </w:r>
    </w:p>
    <w:p>
      <w:pPr>
        <w:spacing w:after="0" w:line="189" w:lineRule="exact"/>
        <w:rPr>
          <w:sz w:val="20"/>
          <w:szCs w:val="20"/>
          <w:color w:val="auto"/>
        </w:rPr>
      </w:pPr>
    </w:p>
    <w:p>
      <w:pPr>
        <w:ind w:firstLine="567"/>
        <w:spacing w:after="0" w:line="256" w:lineRule="auto"/>
        <w:rPr>
          <w:sz w:val="20"/>
          <w:szCs w:val="20"/>
          <w:color w:val="auto"/>
        </w:rPr>
      </w:pPr>
      <w:r>
        <w:rPr>
          <w:rFonts w:ascii="Times New Roman" w:cs="Times New Roman" w:eastAsia="Times New Roman" w:hAnsi="Times New Roman"/>
          <w:sz w:val="18"/>
          <w:szCs w:val="18"/>
          <w:color w:val="auto"/>
        </w:rPr>
        <w:t>The Company has the power to direct the activities of all the VIEs, including the VIEs aforementioned in the Contractual Agreements and Meowpaw, and can freely have assets transferred out of all the VIEs without any restrictions. Only the registered capital and PRC statutory reserves of the consolidated VIEs amounted to RMB29.3 million (US$4.2 million) as of December 31, 2016 can be used to solely settle obligations of the VIEs and subsidiaries of the VIEs. As all the VIEs and subsidiaries of the VIEs are incorporated as limited liability companies under the PRC Company Law, the creditors of the VIEs and subsidiaries of the VIEs do not have recourse to the general credit of the Company. The amounts of the consolidated VIEs’ current liabilities without recourse to the Company disclosed on the face of the consolidated balance sheets have excluded the amounts due to inter-company entities.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ectPr>
          <w:pgSz w:w="11900" w:h="16888" w:orient="portrait"/>
          <w:cols w:equalWidth="0" w:num="1">
            <w:col w:w="11400"/>
          </w:cols>
          <w:pgMar w:left="240" w:top="337" w:right="259" w:bottom="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1. Organization and Principal Activities (Continued)</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The following tables set forth the summarized assets, liabilities, results of operations and cash flows of the consolidated VIEs </w:t>
      </w:r>
      <w:r>
        <w:rPr>
          <w:rFonts w:ascii="Times New Roman" w:cs="Times New Roman" w:eastAsia="Times New Roman" w:hAnsi="Times New Roman"/>
          <w:sz w:val="17"/>
          <w:szCs w:val="17"/>
          <w:color w:val="auto"/>
        </w:rPr>
        <w:t>(in thousands)</w:t>
      </w:r>
      <w:r>
        <w:rPr>
          <w:rFonts w:ascii="Times New Roman" w:cs="Times New Roman" w:eastAsia="Times New Roman" w:hAnsi="Times New Roman"/>
          <w:sz w:val="18"/>
          <w:szCs w:val="18"/>
          <w:color w:val="auto"/>
        </w:rPr>
        <w: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280" w:type="dxa"/>
            <w:vAlign w:val="bottom"/>
          </w:tcPr>
          <w:p>
            <w:pPr>
              <w:spacing w:after="0"/>
              <w:rPr>
                <w:sz w:val="12"/>
                <w:szCs w:val="12"/>
                <w:color w:val="auto"/>
              </w:rPr>
            </w:pPr>
          </w:p>
        </w:tc>
        <w:tc>
          <w:tcPr>
            <w:tcW w:w="1380" w:type="dxa"/>
            <w:vAlign w:val="bottom"/>
            <w:tcBorders>
              <w:bottom w:val="single" w:sz="8" w:color="auto"/>
            </w:tcBorders>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1,075,360</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965,552</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139,068</w:t>
            </w:r>
          </w:p>
        </w:tc>
        <w:tc>
          <w:tcPr>
            <w:tcW w:w="0" w:type="dxa"/>
            <w:vAlign w:val="bottom"/>
          </w:tcPr>
          <w:p>
            <w:pPr>
              <w:spacing w:after="0"/>
              <w:rPr>
                <w:sz w:val="1"/>
                <w:szCs w:val="1"/>
                <w:color w:val="auto"/>
              </w:rPr>
            </w:pPr>
          </w:p>
        </w:tc>
      </w:tr>
      <w:tr>
        <w:trPr>
          <w:trHeight w:val="216"/>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Non-current assets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79,211</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72,379</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10,425</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1,154,571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1,037,931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Short-term bank loans</w:t>
            </w: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2,000</w:t>
            </w:r>
          </w:p>
        </w:tc>
        <w:tc>
          <w:tcPr>
            <w:tcW w:w="28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288</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282,509</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216,978</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31,251</w:t>
            </w:r>
          </w:p>
        </w:tc>
        <w:tc>
          <w:tcPr>
            <w:tcW w:w="0" w:type="dxa"/>
            <w:vAlign w:val="bottom"/>
          </w:tcPr>
          <w:p>
            <w:pPr>
              <w:spacing w:after="0"/>
              <w:rPr>
                <w:sz w:val="1"/>
                <w:szCs w:val="1"/>
                <w:color w:val="auto"/>
              </w:rPr>
            </w:pPr>
          </w:p>
        </w:tc>
      </w:tr>
      <w:tr>
        <w:trPr>
          <w:trHeight w:val="216"/>
        </w:trPr>
        <w:tc>
          <w:tcPr>
            <w:tcW w:w="5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2,694</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1,447</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Amounts due to inter-company entities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406,538</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386,969</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55,735</w:t>
            </w:r>
          </w:p>
        </w:tc>
        <w:tc>
          <w:tcPr>
            <w:tcW w:w="0" w:type="dxa"/>
            <w:vAlign w:val="bottom"/>
          </w:tcPr>
          <w:p>
            <w:pPr>
              <w:spacing w:after="0"/>
              <w:rPr>
                <w:sz w:val="1"/>
                <w:szCs w:val="1"/>
                <w:color w:val="auto"/>
              </w:rPr>
            </w:pPr>
          </w:p>
        </w:tc>
      </w:tr>
      <w:tr>
        <w:trPr>
          <w:trHeight w:val="216"/>
        </w:trPr>
        <w:tc>
          <w:tcPr>
            <w:tcW w:w="5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Advances from customers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13,745</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18,420</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2,653</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Taxes payable</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56,034</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51,850</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7,468</w:t>
            </w:r>
          </w:p>
        </w:tc>
        <w:tc>
          <w:tcPr>
            <w:tcW w:w="0" w:type="dxa"/>
            <w:vAlign w:val="bottom"/>
          </w:tcPr>
          <w:p>
            <w:pPr>
              <w:spacing w:after="0"/>
              <w:rPr>
                <w:sz w:val="1"/>
                <w:szCs w:val="1"/>
                <w:color w:val="auto"/>
              </w:rPr>
            </w:pPr>
          </w:p>
        </w:tc>
      </w:tr>
      <w:tr>
        <w:trPr>
          <w:trHeight w:val="216"/>
        </w:trPr>
        <w:tc>
          <w:tcPr>
            <w:tcW w:w="5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Salary and welfare payable</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85,019</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60,010</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8,643</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62,695</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87,264</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12,569</w:t>
            </w:r>
          </w:p>
        </w:tc>
        <w:tc>
          <w:tcPr>
            <w:tcW w:w="0" w:type="dxa"/>
            <w:vAlign w:val="bottom"/>
          </w:tcPr>
          <w:p>
            <w:pPr>
              <w:spacing w:after="0"/>
              <w:rPr>
                <w:sz w:val="1"/>
                <w:szCs w:val="1"/>
                <w:color w:val="auto"/>
              </w:rPr>
            </w:pPr>
          </w:p>
        </w:tc>
      </w:tr>
      <w:tr>
        <w:trPr>
          <w:trHeight w:val="210"/>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909,234</w:t>
            </w:r>
          </w:p>
        </w:tc>
        <w:tc>
          <w:tcPr>
            <w:tcW w:w="28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824,938</w:t>
            </w:r>
          </w:p>
        </w:tc>
        <w:tc>
          <w:tcPr>
            <w:tcW w:w="2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Non-current liabilities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19,680</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20,979</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3,022</w:t>
            </w:r>
          </w:p>
        </w:tc>
        <w:tc>
          <w:tcPr>
            <w:tcW w:w="0" w:type="dxa"/>
            <w:vAlign w:val="bottom"/>
          </w:tcPr>
          <w:p>
            <w:pPr>
              <w:spacing w:after="0"/>
              <w:rPr>
                <w:sz w:val="1"/>
                <w:szCs w:val="1"/>
                <w:color w:val="auto"/>
              </w:rPr>
            </w:pP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928,914</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845,917</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280" w:type="dxa"/>
            <w:vAlign w:val="bottom"/>
          </w:tcPr>
          <w:p>
            <w:pPr>
              <w:spacing w:after="0"/>
              <w:rPr>
                <w:sz w:val="12"/>
                <w:szCs w:val="12"/>
                <w:color w:val="auto"/>
              </w:rPr>
            </w:pPr>
          </w:p>
        </w:tc>
        <w:tc>
          <w:tcPr>
            <w:tcW w:w="13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280" w:type="dxa"/>
            <w:vAlign w:val="bottom"/>
          </w:tcPr>
          <w:p>
            <w:pPr>
              <w:spacing w:after="0"/>
              <w:rPr>
                <w:sz w:val="12"/>
                <w:szCs w:val="12"/>
                <w:color w:val="auto"/>
              </w:rPr>
            </w:pPr>
          </w:p>
        </w:tc>
        <w:tc>
          <w:tcPr>
            <w:tcW w:w="1380" w:type="dxa"/>
            <w:vAlign w:val="bottom"/>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80" w:type="dxa"/>
            <w:vAlign w:val="bottom"/>
            <w:tcBorders>
              <w:top w:val="single" w:sz="8" w:color="auto"/>
            </w:tcBorders>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1,632,827</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1,504,370</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1,140,954</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164,332</w:t>
            </w: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53,141</w:t>
            </w:r>
          </w:p>
        </w:tc>
        <w:tc>
          <w:tcPr>
            <w:tcW w:w="16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22,329</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(30,641)</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(4,413)</w:t>
            </w:r>
          </w:p>
        </w:tc>
        <w:tc>
          <w:tcPr>
            <w:tcW w:w="0" w:type="dxa"/>
            <w:vAlign w:val="bottom"/>
          </w:tcPr>
          <w:p>
            <w:pPr>
              <w:spacing w:after="0"/>
              <w:rPr>
                <w:sz w:val="1"/>
                <w:szCs w:val="1"/>
                <w:color w:val="auto"/>
              </w:rPr>
            </w:pPr>
          </w:p>
        </w:tc>
      </w:tr>
      <w:tr>
        <w:trPr>
          <w:trHeight w:val="346"/>
        </w:trPr>
        <w:tc>
          <w:tcPr>
            <w:tcW w:w="50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280" w:type="dxa"/>
            <w:vAlign w:val="bottom"/>
          </w:tcPr>
          <w:p>
            <w:pPr>
              <w:spacing w:after="0"/>
              <w:rPr>
                <w:sz w:val="12"/>
                <w:szCs w:val="12"/>
                <w:color w:val="auto"/>
              </w:rPr>
            </w:pPr>
          </w:p>
        </w:tc>
        <w:tc>
          <w:tcPr>
            <w:tcW w:w="13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280" w:type="dxa"/>
            <w:vAlign w:val="bottom"/>
          </w:tcPr>
          <w:p>
            <w:pPr>
              <w:spacing w:after="0"/>
              <w:rPr>
                <w:sz w:val="12"/>
                <w:szCs w:val="12"/>
                <w:color w:val="auto"/>
              </w:rPr>
            </w:pPr>
          </w:p>
        </w:tc>
        <w:tc>
          <w:tcPr>
            <w:tcW w:w="1380" w:type="dxa"/>
            <w:vAlign w:val="bottom"/>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80" w:type="dxa"/>
            <w:vAlign w:val="bottom"/>
            <w:tcBorders>
              <w:top w:val="single" w:sz="8" w:color="auto"/>
            </w:tcBorders>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 operating activities</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(110,741)</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(91,907)</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34,079</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4,908</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403,635</w:t>
            </w:r>
          </w:p>
        </w:tc>
        <w:tc>
          <w:tcPr>
            <w:tcW w:w="280" w:type="dxa"/>
            <w:vAlign w:val="bottom"/>
          </w:tcPr>
          <w:p>
            <w:pPr>
              <w:spacing w:after="0"/>
              <w:rPr>
                <w:sz w:val="18"/>
                <w:szCs w:val="18"/>
                <w:color w:val="auto"/>
              </w:rPr>
            </w:pP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(197,307)</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(124,610)</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(17,948)</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10,000</w:t>
            </w:r>
          </w:p>
        </w:tc>
        <w:tc>
          <w:tcPr>
            <w:tcW w:w="16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250</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2,000</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540"/>
        <w:spacing w:after="0" w:line="253" w:lineRule="auto"/>
        <w:rPr>
          <w:sz w:val="20"/>
          <w:szCs w:val="20"/>
          <w:color w:val="auto"/>
        </w:rPr>
      </w:pPr>
      <w:r>
        <w:rPr>
          <w:rFonts w:ascii="Times New Roman" w:cs="Times New Roman" w:eastAsia="Times New Roman" w:hAnsi="Times New Roman"/>
          <w:sz w:val="18"/>
          <w:szCs w:val="18"/>
          <w:color w:val="auto"/>
        </w:rPr>
        <w:t>As of December 31, 2016, the total assets for the consolidated VIEs mainly comprised of cash and cash equivalents, term deposits and short term investments, accounts receivable, prepayments and other current assets, amounts due from related parties and property and equipment. There was no pledge or collateralization of these assets. Unrecognized revenue-producing assets that are held by the VIEs and subsidiaries of the VIEs comprise the Internet Content Provision License, the Online Culture Operating Permit, the Internet Publication License, the Permit for Production and Operation of Radio and TV Programs, the Value-added Telecommunications Business Operating License, trademark, and domain name. Recognized revenue-producing assets that are held by the VIEs and subsidiaries of the VIEs comprise property and equipment and operating rights for licensed games. As of December 31, 2016, the total liabilities for the consolidated VIEs mainly comprised short-term bank loans, accounts payable, amounts due to related parties, amounts due to inter-company entities, advances from customers, salary and welfare payable, taxes payable, accrued expenses and other current liabilities and non-current liabilities. After netting off the amount of inter-company transactions between the consolidated VIEs and other subsidiaries within the Group, the net fee paid or payable to other subsidiaries of the Group by the consolidated VIEs were RMB414.4 million, RMB242.4 million and RMB54.8 million (US$7.9 million) for the years ended December 31, 2014, 2015 and 2016, respectively. The balances and transactions of the consolidated VIEs were reflected in the Company’s consolidated financial statements with inter-company transactions eliminated.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Principal Activities (Continued)</w:t>
      </w:r>
    </w:p>
    <w:p>
      <w:pPr>
        <w:spacing w:after="0" w:line="229" w:lineRule="exact"/>
        <w:rPr>
          <w:sz w:val="20"/>
          <w:szCs w:val="20"/>
          <w:color w:val="auto"/>
        </w:rPr>
      </w:pPr>
    </w:p>
    <w:p>
      <w:pPr>
        <w:ind w:firstLine="540"/>
        <w:spacing w:after="0" w:line="252" w:lineRule="auto"/>
        <w:rPr>
          <w:sz w:val="20"/>
          <w:szCs w:val="20"/>
          <w:color w:val="auto"/>
        </w:rPr>
      </w:pPr>
      <w:r>
        <w:rPr>
          <w:rFonts w:ascii="Times New Roman" w:cs="Times New Roman" w:eastAsia="Times New Roman" w:hAnsi="Times New Roman"/>
          <w:sz w:val="18"/>
          <w:szCs w:val="18"/>
          <w:color w:val="auto"/>
        </w:rPr>
        <w:t>It is possible that the Group’s operation of certain of its operations and businesses through VIEs could be found by PRC authorities to be in violation of PRC law and regulations prohibiting or restricting foreign ownership of companies that engage in such operations and businesses. While the Group’s management considers the possibility of such a finding by PRC regulatory authorities under current law and regulations to be remote, on January 19, 2015, the Ministry of Commerce of the PRC, or (the “MOFCOM”) released on its Website for public comment a proposed PRC law (the “Draft FIE Law”) that appears to include VIEs within the scope of entities that could be considered to be foreign invested enterprises (or “FIEs”) that would be subject to restrictions under existing PRC law on foreign investment in certain categories of industry. Specifically, the Draft FIE Law introduces the concept of “actual control” for determining whether an entity is considered to be an FIE. In addition to control through direct or indirect ownership or equity, the Draft FIE Law includes control through Contractual Arrangements within the definition of “actual control”. If the Draft FIE Law is passed by the People’s Congress of the PRC and goes into effect in its current form, these provisions regarding control through Contractual Arrangements could be construed to reach the Group’s VIE arrangements, and as a result the Group’s VIEs could become explicitly subject to the current restrictions on foreign investment in certain categories of industry. The Draft FIE Law includes provisions that would exempt from the definition of foreign invested enterprises entities where the ultimate controlling shareholders are either entities organized under PRC law or individuals who are PRC citizens. The Draft FIE Law does not make clear how “control” would be determined for such purpose, and is silent as to what type of enforcement action might be taken against existing VIEs that operate in restricted industries and are not controlled by entities organized under PRC law or individuals who are PRC citizens. If a finding were made by PRC authorities, under existing law and regulations or under the Draft FIE Law if it becomes effective, that the Group’s operation of certain of its operations and businesses through VIEs, regulatory authorities with jurisdiction over the licensing and operation of such operations and businesses would have broad discretion in dealing with such a violation, including levying fines, confiscating the Group’s income, revoking the business or operating licenses of the affected businesses, requiring the Group to restructure its ownership structure or operations, or requiring the Group to discontinue all or any portion of its operations. Any of these actions</w:t>
      </w:r>
    </w:p>
    <w:p>
      <w:pPr>
        <w:sectPr>
          <w:pgSz w:w="11900" w:h="16838" w:orient="portrait"/>
          <w:cols w:equalWidth="0" w:num="1">
            <w:col w:w="11420"/>
          </w:cols>
          <w:pgMar w:left="240" w:top="333" w:right="239" w:bottom="0" w:gutter="0" w:footer="0" w:header="0"/>
        </w:sectPr>
      </w:pPr>
    </w:p>
    <w:bookmarkStart w:id="106" w:name="page107"/>
    <w:bookmarkEnd w:id="106"/>
    <w:p>
      <w:pPr>
        <w:ind w:right="380"/>
        <w:spacing w:after="0" w:line="282" w:lineRule="auto"/>
        <w:rPr>
          <w:sz w:val="20"/>
          <w:szCs w:val="20"/>
          <w:color w:val="auto"/>
        </w:rPr>
      </w:pPr>
      <w:r>
        <w:rPr>
          <w:rFonts w:ascii="Times New Roman" w:cs="Times New Roman" w:eastAsia="Times New Roman" w:hAnsi="Times New Roman"/>
          <w:sz w:val="18"/>
          <w:szCs w:val="18"/>
          <w:color w:val="auto"/>
        </w:rPr>
        <w:t>could cause significant disruption to the Group’s business operations, and have a severe adverse impact on the Group’s cash flows, financial position and operating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Principal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Basis of presentation, principles of consolidation, recognition of noncontrolling interests and cost allocations</w:t>
      </w:r>
    </w:p>
    <w:p>
      <w:pPr>
        <w:spacing w:after="0" w:line="229" w:lineRule="exact"/>
        <w:rPr>
          <w:sz w:val="20"/>
          <w:szCs w:val="20"/>
          <w:color w:val="auto"/>
        </w:rPr>
      </w:pPr>
    </w:p>
    <w:p>
      <w:pPr>
        <w:ind w:right="20" w:firstLine="555"/>
        <w:spacing w:after="0" w:line="258" w:lineRule="auto"/>
        <w:rPr>
          <w:sz w:val="20"/>
          <w:szCs w:val="20"/>
          <w:color w:val="auto"/>
        </w:rPr>
      </w:pPr>
      <w:r>
        <w:rPr>
          <w:rFonts w:ascii="Times New Roman" w:cs="Times New Roman" w:eastAsia="Times New Roman" w:hAnsi="Times New Roman"/>
          <w:sz w:val="18"/>
          <w:szCs w:val="18"/>
          <w:color w:val="auto"/>
        </w:rPr>
        <w:t xml:space="preserve">The consolidated financial statements include the financial statements of the Company, its subsidiaries, its VIEs and the subsidiaries of the VIEs. The consolidated financial statements have been prepared in accordance with U.S. GAAP and on a going concern basis. All significant transactions and balances among the Company, its subsidiaries, its VIEs and the subsidiaries of the VIEs have been eliminated upon consolidation. The Company consolidates the VIEs as required by Accounting Standards Codification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because Fenghuang On-line and Qieyiyou hold all the variable interests of the VIEs and have been determined to be the primary beneficiaries of the VIEs (see Note 1).</w:t>
      </w:r>
    </w:p>
    <w:p>
      <w:pPr>
        <w:spacing w:after="0" w:line="184" w:lineRule="exact"/>
        <w:rPr>
          <w:sz w:val="20"/>
          <w:szCs w:val="20"/>
          <w:color w:val="auto"/>
        </w:rPr>
      </w:pPr>
    </w:p>
    <w:p>
      <w:pPr>
        <w:ind w:right="80" w:firstLine="567"/>
        <w:spacing w:after="0" w:line="253" w:lineRule="auto"/>
        <w:rPr>
          <w:sz w:val="20"/>
          <w:szCs w:val="20"/>
          <w:color w:val="auto"/>
        </w:rPr>
      </w:pPr>
      <w:r>
        <w:rPr>
          <w:rFonts w:ascii="Times New Roman" w:cs="Times New Roman" w:eastAsia="Times New Roman" w:hAnsi="Times New Roman"/>
          <w:sz w:val="18"/>
          <w:szCs w:val="18"/>
          <w:color w:val="auto"/>
        </w:rPr>
        <w:t>The Group and Phoenix TV Group have engaged in various mutual cooperation activities in content, branding, promotions, technical support and corporate management. The Group entered into a cooperation agreement (“Agreement”) with Phoenix TV which stipulates the costs and expenses charged to the Group related to content and other services provided by Phoenix TV Group. Based on the Agreement, the Group paid to Phoenix TV Group 50% of the after-tax revenues earned from sublicensing Phoenix TV Group’s video content to third parties, plus a fixed amount of payment to cover other services provided by Phoenix TV Group. The fixed amount was RMB1.6 million for the first year of the Agreement, and increased by 25% annually. The Agreement was effective as of January 1, 2010 and expired on May 27, 2016. The Group and Phoenix TV Group entered into a new set of agreements (“New Agreements”), effective as of May 27, 2016 and will expire on May 26, 2019, to amend and replace the previous Agreement and provide the terms of continued cooperation. The fees payable to Phoenix TV Group by the Group are RMB10.0 million for the first year of the New Agreements, which will incrementally increase by 15% for each subsequent year of the New Agreements. Unlike the Agreement, the New Agreements do not grant the Group the right to sublicense Phoenix TV Group's copyrighted content to third parties. As such, the Group does not incur such revenue sharing fee to Phoenix TV Group accordingly.</w:t>
      </w:r>
    </w:p>
    <w:p>
      <w:pPr>
        <w:spacing w:after="0" w:line="193" w:lineRule="exact"/>
        <w:rPr>
          <w:sz w:val="20"/>
          <w:szCs w:val="20"/>
          <w:color w:val="auto"/>
        </w:rPr>
      </w:pPr>
    </w:p>
    <w:p>
      <w:pPr>
        <w:ind w:right="60" w:firstLine="567"/>
        <w:spacing w:after="0" w:line="266" w:lineRule="auto"/>
        <w:rPr>
          <w:sz w:val="20"/>
          <w:szCs w:val="20"/>
          <w:color w:val="auto"/>
        </w:rPr>
      </w:pPr>
      <w:r>
        <w:rPr>
          <w:rFonts w:ascii="Times New Roman" w:cs="Times New Roman" w:eastAsia="Times New Roman" w:hAnsi="Times New Roman"/>
          <w:sz w:val="18"/>
          <w:szCs w:val="18"/>
          <w:color w:val="auto"/>
        </w:rPr>
        <w:t>Apart from the above cooperation agreement, Phoenix TV Group also paid certain expenses on behalf of the Group, such as data line usage and other general and administrative expenses, which the Group needed to settle with Phoenix TV Group based on the actual amount, and were recorded in the consolidated statements of comprehensive income.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240" w:hanging="232"/>
        <w:spacing w:after="0"/>
        <w:tabs>
          <w:tab w:leader="none" w:pos="2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 Use of estimates</w:t>
      </w:r>
    </w:p>
    <w:p>
      <w:pPr>
        <w:spacing w:after="0" w:line="229" w:lineRule="exact"/>
        <w:rPr>
          <w:sz w:val="20"/>
          <w:szCs w:val="20"/>
          <w:color w:val="auto"/>
        </w:rPr>
      </w:pPr>
    </w:p>
    <w:p>
      <w:pPr>
        <w:ind w:right="200" w:firstLine="540"/>
        <w:spacing w:after="0" w:line="255" w:lineRule="auto"/>
        <w:rPr>
          <w:sz w:val="20"/>
          <w:szCs w:val="20"/>
          <w:color w:val="auto"/>
        </w:rPr>
      </w:pPr>
      <w:r>
        <w:rPr>
          <w:rFonts w:ascii="Times New Roman" w:cs="Times New Roman" w:eastAsia="Times New Roman" w:hAnsi="Times New Roman"/>
          <w:sz w:val="18"/>
          <w:szCs w:val="18"/>
          <w:color w:val="auto"/>
        </w:rPr>
        <w:t>The preparation of the Group’s consolidated financial statements in conformity with the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such estimates. These estimates and assumptions include, but are not limited to, the accounting for advertising and paid services revenues, the determination of estimated selling prices of multiple elements revenues contract, accounting for income taxes and uncertain tax positions, allowance for doubtful accounts, share-based compensation, consolidation, foreign currency translation, determination of the estimated useful lives of property and equipment and intangible assets, assessment of impairment of long-lived assets and equity investments, determination of the fair value of financial instruments, and determination of the fair value of retained equity interest in deconsolidation.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Foreign currency translation</w:t>
      </w:r>
    </w:p>
    <w:p>
      <w:pPr>
        <w:spacing w:after="0" w:line="229" w:lineRule="exact"/>
        <w:rPr>
          <w:sz w:val="20"/>
          <w:szCs w:val="20"/>
          <w:color w:val="auto"/>
        </w:rPr>
      </w:pPr>
    </w:p>
    <w:p>
      <w:pPr>
        <w:ind w:firstLine="576"/>
        <w:spacing w:after="0" w:line="255" w:lineRule="auto"/>
        <w:rPr>
          <w:sz w:val="20"/>
          <w:szCs w:val="20"/>
          <w:color w:val="auto"/>
        </w:rPr>
      </w:pPr>
      <w:r>
        <w:rPr>
          <w:rFonts w:ascii="Times New Roman" w:cs="Times New Roman" w:eastAsia="Times New Roman" w:hAnsi="Times New Roman"/>
          <w:sz w:val="18"/>
          <w:szCs w:val="18"/>
          <w:color w:val="auto"/>
        </w:rPr>
        <w:t>The Group uses Renminbi (“RMB”) as its reporting currency. The Company’s operations in the PRC and in international regions use their respective currencies as their functional currencies. In the consolidated financial statements, the financial information of the Company and its subsidiaries, which use US$ or HK$ as their functional currency, have been translated into RMB at the exchange rates quoted by the People’s Bank of China (the “PBOC”). Assets and liabilities are translated at the exchange rates on the balance sheet date, equity amounts are translated at historical exchange rates, and revenues, expenses, gains, and losses are translated using the average rate for the period. Translation adjustments arising from these are reported as foreign currency translation adjustments and have been shown as a component of other comprehensive loss or income in the consolidated statements of shareholders’ equity and the consolidated statements of comprehensive income.</w:t>
      </w:r>
    </w:p>
    <w:p>
      <w:pPr>
        <w:spacing w:after="0" w:line="189" w:lineRule="exact"/>
        <w:rPr>
          <w:sz w:val="20"/>
          <w:szCs w:val="20"/>
          <w:color w:val="auto"/>
        </w:rPr>
      </w:pPr>
    </w:p>
    <w:p>
      <w:pPr>
        <w:ind w:right="40" w:firstLine="567"/>
        <w:spacing w:after="0" w:line="261" w:lineRule="auto"/>
        <w:rPr>
          <w:sz w:val="20"/>
          <w:szCs w:val="20"/>
          <w:color w:val="auto"/>
        </w:rPr>
      </w:pPr>
      <w:r>
        <w:rPr>
          <w:rFonts w:ascii="Times New Roman" w:cs="Times New Roman" w:eastAsia="Times New Roman" w:hAnsi="Times New Roman"/>
          <w:sz w:val="18"/>
          <w:szCs w:val="18"/>
          <w:color w:val="auto"/>
        </w:rPr>
        <w:t>Foreign currency transactions denominated in currencies other than functional currency are translated into the functional currency using the exchange rates prevailing at the dates of the transactions. Monetary assets and liabilities denominated in foreign currencies at the balance sheet date are remeasured at the applicable rates of exchange in effect at that date. Foreign currency exchange gain or loss resulting from the settlement of such transactions and from remeasurement at period-end is recognized in foreign currency exchange gain or loss in the consolidated statements of comprehensive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Convenience translation</w:t>
      </w:r>
    </w:p>
    <w:p>
      <w:pPr>
        <w:spacing w:after="0" w:line="229" w:lineRule="exact"/>
        <w:rPr>
          <w:sz w:val="20"/>
          <w:szCs w:val="20"/>
          <w:color w:val="auto"/>
        </w:rPr>
      </w:pPr>
    </w:p>
    <w:p>
      <w:pPr>
        <w:jc w:val="both"/>
        <w:ind w:right="20" w:firstLine="567"/>
        <w:spacing w:after="0" w:line="266" w:lineRule="auto"/>
        <w:rPr>
          <w:sz w:val="20"/>
          <w:szCs w:val="20"/>
          <w:color w:val="auto"/>
        </w:rPr>
      </w:pPr>
      <w:r>
        <w:rPr>
          <w:rFonts w:ascii="Times New Roman" w:cs="Times New Roman" w:eastAsia="Times New Roman" w:hAnsi="Times New Roman"/>
          <w:sz w:val="18"/>
          <w:szCs w:val="18"/>
          <w:color w:val="auto"/>
        </w:rPr>
        <w:t>Translations of amounts from RMB into US$ for the convenience of the reader were calculated at the noon buying rate of US$1.00 = RMB6.9430 on December 30, 2016 as set forth in the H.10 statistical release of the U.S. Federal Reserve Board. No representation is made that the RMB amounts could have been, or could be, converted into US$ at such rate.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400"/>
          </w:cols>
          <w:pgMar w:left="240" w:top="121" w:right="259" w:bottom="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240" w:hanging="232"/>
        <w:spacing w:after="0"/>
        <w:tabs>
          <w:tab w:leader="none" w:pos="2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 Fair value of financial instruments</w:t>
      </w:r>
    </w:p>
    <w:p>
      <w:pPr>
        <w:spacing w:after="0" w:line="229" w:lineRule="exact"/>
        <w:rPr>
          <w:sz w:val="20"/>
          <w:szCs w:val="20"/>
          <w:color w:val="auto"/>
        </w:rPr>
      </w:pPr>
    </w:p>
    <w:p>
      <w:pPr>
        <w:ind w:right="20" w:firstLine="567"/>
        <w:spacing w:after="0" w:line="266" w:lineRule="auto"/>
        <w:rPr>
          <w:sz w:val="20"/>
          <w:szCs w:val="20"/>
          <w:color w:val="auto"/>
        </w:rPr>
      </w:pPr>
      <w:r>
        <w:rPr>
          <w:rFonts w:ascii="Times New Roman" w:cs="Times New Roman" w:eastAsia="Times New Roman" w:hAnsi="Times New Roman"/>
          <w:sz w:val="18"/>
          <w:szCs w:val="18"/>
          <w:color w:val="auto"/>
        </w:rPr>
        <w:t>U.S. GAAP establishes a three-tier hierarchy to prioritize the inputs used in the valuation methodologies in measuring the fair value of financial instruments. This hierarchy also requires an entity to maximize the use of observable inputs and minimize the use of unobservable inputs when measuring fair value. The three-tier fair value hierarchy is:</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Level 1—Observable inputs that reflect quoted prices (unadjusted) for identical assets or liabilities in active markets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Level 2— Include other inputs that are directly or indirectly observable in the marketplace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Level 3—Unobservable inputs which are supported by little or no market activity</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U.S. GAAP describes three main approaches to measuring the fair value of assets and liabilities: (1) market approach; (2) income approach and</w:t>
      </w:r>
    </w:p>
    <w:p>
      <w:pPr>
        <w:spacing w:after="0" w:line="27" w:lineRule="exact"/>
        <w:rPr>
          <w:sz w:val="20"/>
          <w:szCs w:val="20"/>
          <w:color w:val="auto"/>
        </w:rPr>
      </w:pPr>
    </w:p>
    <w:p>
      <w:pPr>
        <w:ind w:right="60" w:firstLine="8"/>
        <w:spacing w:after="0" w:line="252" w:lineRule="auto"/>
        <w:tabs>
          <w:tab w:leader="none" w:pos="25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 When available, the Group uses quoted market prices to determine the fair value of an asset or liability. If quoted market prices are not available, the Group will measure fair value using valuation techniques that use, when possible, current market-based or independently sourced market parameters, such as interest rates and currency rates. All financial assets and liabilities are recognized or disclosed at fair value in the consolidated financial statements on a recurring basis.</w:t>
      </w:r>
    </w:p>
    <w:p>
      <w:pPr>
        <w:spacing w:after="0" w:line="189" w:lineRule="exact"/>
        <w:rPr>
          <w:sz w:val="20"/>
          <w:szCs w:val="20"/>
          <w:color w:val="auto"/>
        </w:rPr>
      </w:pPr>
    </w:p>
    <w:p>
      <w:pPr>
        <w:ind w:right="100" w:firstLine="567"/>
        <w:spacing w:after="0" w:line="261" w:lineRule="auto"/>
        <w:rPr>
          <w:sz w:val="20"/>
          <w:szCs w:val="20"/>
          <w:color w:val="auto"/>
        </w:rPr>
      </w:pPr>
      <w:r>
        <w:rPr>
          <w:rFonts w:ascii="Times New Roman" w:cs="Times New Roman" w:eastAsia="Times New Roman" w:hAnsi="Times New Roman"/>
          <w:sz w:val="18"/>
          <w:szCs w:val="18"/>
          <w:color w:val="auto"/>
        </w:rPr>
        <w:t>The Group’s financial instruments include cash equivalents, term deposits, short term investments, restricted cash, accounts receivable, amounts due from related parties, prepayments and other current assets, convertible loans due from a related party, available-for-sale investments, accounts payable, amounts due to related parties, advances from customers, salary and welfare payable, accrued expense, short-term bank loans and other current liabilities and other non-current assets. Refer to Note 19 for details.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Cash and cash equivalents</w:t>
      </w:r>
    </w:p>
    <w:p>
      <w:pPr>
        <w:spacing w:after="0" w:line="229" w:lineRule="exact"/>
        <w:rPr>
          <w:sz w:val="20"/>
          <w:szCs w:val="20"/>
          <w:color w:val="auto"/>
        </w:rPr>
      </w:pPr>
    </w:p>
    <w:p>
      <w:pPr>
        <w:ind w:right="120" w:firstLine="566"/>
        <w:spacing w:after="0" w:line="282" w:lineRule="auto"/>
        <w:rPr>
          <w:sz w:val="20"/>
          <w:szCs w:val="20"/>
          <w:color w:val="auto"/>
        </w:rPr>
      </w:pPr>
      <w:r>
        <w:rPr>
          <w:rFonts w:ascii="Times New Roman" w:cs="Times New Roman" w:eastAsia="Times New Roman" w:hAnsi="Times New Roman"/>
          <w:sz w:val="18"/>
          <w:szCs w:val="18"/>
          <w:color w:val="auto"/>
        </w:rPr>
        <w:t>Cash and cash equivalents represent cash on hand, demand deposits, time deposits and highly liquid investments placed with banks or other financial institutions, which are unrestricted to withdrawal or use, and which have original maturities of three months or less.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Term deposits, short term investments</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Term deposits represent term deposits placed with banks with original maturities of more than three months and up to one year.</w:t>
      </w:r>
    </w:p>
    <w:p>
      <w:pPr>
        <w:spacing w:after="0" w:line="225" w:lineRule="exact"/>
        <w:rPr>
          <w:sz w:val="20"/>
          <w:szCs w:val="20"/>
          <w:color w:val="auto"/>
        </w:rPr>
      </w:pPr>
    </w:p>
    <w:p>
      <w:pPr>
        <w:ind w:right="20" w:firstLine="567"/>
        <w:spacing w:after="0" w:line="266" w:lineRule="auto"/>
        <w:rPr>
          <w:sz w:val="20"/>
          <w:szCs w:val="20"/>
          <w:color w:val="auto"/>
        </w:rPr>
      </w:pPr>
      <w:r>
        <w:rPr>
          <w:rFonts w:ascii="Times New Roman" w:cs="Times New Roman" w:eastAsia="Times New Roman" w:hAnsi="Times New Roman"/>
          <w:sz w:val="18"/>
          <w:szCs w:val="18"/>
          <w:color w:val="auto"/>
        </w:rPr>
        <w:t>Short term investments represent interest-bearing deposits placed with financial institutions which are restricted to withdrawal and use. The investments are issued by commercial bank in the PRC with a variable interest rate indexed to performance of underlying assets. All investments are expected to be realized in cash during the next 12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Restricted cash</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Restricted cash represents deposits placed as guarantee of banking facility which are restricted to withdrawal or usage.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Accounts receivable, net</w:t>
      </w:r>
    </w:p>
    <w:p>
      <w:pPr>
        <w:spacing w:after="0" w:line="229" w:lineRule="exact"/>
        <w:rPr>
          <w:sz w:val="20"/>
          <w:szCs w:val="20"/>
          <w:color w:val="auto"/>
        </w:rPr>
      </w:pPr>
    </w:p>
    <w:p>
      <w:pPr>
        <w:ind w:right="100" w:firstLine="567"/>
        <w:spacing w:after="0" w:line="258" w:lineRule="auto"/>
        <w:rPr>
          <w:sz w:val="20"/>
          <w:szCs w:val="20"/>
          <w:color w:val="auto"/>
        </w:rPr>
      </w:pPr>
      <w:r>
        <w:rPr>
          <w:rFonts w:ascii="Times New Roman" w:cs="Times New Roman" w:eastAsia="Times New Roman" w:hAnsi="Times New Roman"/>
          <w:sz w:val="18"/>
          <w:szCs w:val="18"/>
          <w:color w:val="auto"/>
        </w:rPr>
        <w:t>The carrying value of accounts receivable is reduced by an allowance that reflects the Group’s best estimate of the amounts that will not be collected. Many factors are considered in estimating the general allowance, including but not limited to reviewing accounts receivable balances, historical bad debt rates, aging analysis, customer credit worthiness and industry trend analysis. The Group also makes the specific allowance if there is evidence showing that the receivable is unlikely to be collected. Accounts receivable balances are written off against the allowance when they are determined to be uncollectible. Refer to Note 4 for details.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240" w:hanging="232"/>
        <w:spacing w:after="0"/>
        <w:tabs>
          <w:tab w:leader="none" w:pos="2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 Convertible loans due from a related party</w:t>
      </w:r>
    </w:p>
    <w:p>
      <w:pPr>
        <w:spacing w:after="0" w:line="229" w:lineRule="exact"/>
        <w:rPr>
          <w:sz w:val="20"/>
          <w:szCs w:val="20"/>
          <w:color w:val="auto"/>
        </w:rPr>
      </w:pPr>
    </w:p>
    <w:p>
      <w:pPr>
        <w:ind w:firstLine="566"/>
        <w:spacing w:after="0" w:line="256" w:lineRule="auto"/>
        <w:rPr>
          <w:sz w:val="20"/>
          <w:szCs w:val="20"/>
          <w:color w:val="auto"/>
        </w:rPr>
      </w:pPr>
      <w:r>
        <w:rPr>
          <w:rFonts w:ascii="Times New Roman" w:cs="Times New Roman" w:eastAsia="Times New Roman" w:hAnsi="Times New Roman"/>
          <w:sz w:val="18"/>
          <w:szCs w:val="18"/>
          <w:color w:val="auto"/>
        </w:rPr>
        <w:t xml:space="preserve">Convertible loans due from a related party represent short-term loans advanced to a related party of which the Group may at its option convert all or a portion into preferred shares. The Group has determined that the convertible loans are not within the scope ASC 320 </w:t>
      </w:r>
      <w:r>
        <w:rPr>
          <w:rFonts w:ascii="Times New Roman" w:cs="Times New Roman" w:eastAsia="Times New Roman" w:hAnsi="Times New Roman"/>
          <w:sz w:val="18"/>
          <w:szCs w:val="18"/>
          <w:i w:val="1"/>
          <w:iCs w:val="1"/>
          <w:color w:val="auto"/>
        </w:rPr>
        <w:t>Investment — debt and equity securities</w:t>
      </w:r>
      <w:r>
        <w:rPr>
          <w:rFonts w:ascii="Times New Roman" w:cs="Times New Roman" w:eastAsia="Times New Roman" w:hAnsi="Times New Roman"/>
          <w:sz w:val="18"/>
          <w:szCs w:val="18"/>
          <w:color w:val="auto"/>
        </w:rPr>
        <w:t xml:space="preserve"> and it is accounted for under ASC 310 </w:t>
      </w:r>
      <w:r>
        <w:rPr>
          <w:rFonts w:ascii="Times New Roman" w:cs="Times New Roman" w:eastAsia="Times New Roman" w:hAnsi="Times New Roman"/>
          <w:sz w:val="18"/>
          <w:szCs w:val="18"/>
          <w:i w:val="1"/>
          <w:iCs w:val="1"/>
          <w:color w:val="auto"/>
        </w:rPr>
        <w:t>Receivables</w:t>
      </w:r>
      <w:r>
        <w:rPr>
          <w:rFonts w:ascii="Times New Roman" w:cs="Times New Roman" w:eastAsia="Times New Roman" w:hAnsi="Times New Roman"/>
          <w:sz w:val="18"/>
          <w:szCs w:val="18"/>
          <w:color w:val="auto"/>
        </w:rPr>
        <w:t>. The conversion features were considered as embedded derivatives that do not meet the criteria to be bifurcated under ASC 815-15-25-1 and were accounted for in a similar method as for the short-term loans advanced to a related party. The Group accounts for the convertible loans due from a related party at an amortized cost basis after deduction of any other-than-temporary impairment loss and reviews for impairment on a regular basis.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Property and equipment, net</w:t>
      </w:r>
    </w:p>
    <w:p>
      <w:pPr>
        <w:sectPr>
          <w:pgSz w:w="11900" w:h="16838" w:orient="portrait"/>
          <w:cols w:equalWidth="0" w:num="1">
            <w:col w:w="11420"/>
          </w:cols>
          <w:pgMar w:left="240" w:top="117" w:right="239" w:bottom="0" w:gutter="0" w:footer="0" w:header="0"/>
        </w:sectPr>
      </w:pPr>
    </w:p>
    <w:bookmarkStart w:id="108" w:name="page109"/>
    <w:bookmarkEnd w:id="108"/>
    <w:p>
      <w:pPr>
        <w:ind w:right="160" w:firstLine="567"/>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impairment. Property and equipment are depreciated over the following estimated useful lives on a straight-line basis: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Borders>
              <w:bottom w:val="single" w:sz="8" w:color="CCEEFF"/>
            </w:tcBorders>
          </w:tcPr>
          <w:p>
            <w:pPr>
              <w:spacing w:after="0"/>
              <w:rPr>
                <w:sz w:val="15"/>
                <w:szCs w:val="15"/>
                <w:color w:val="auto"/>
              </w:rPr>
            </w:pPr>
          </w:p>
        </w:tc>
        <w:tc>
          <w:tcPr>
            <w:tcW w:w="5600" w:type="dxa"/>
            <w:vAlign w:val="bottom"/>
            <w:tcBorders>
              <w:bottom w:val="single" w:sz="8" w:color="auto"/>
            </w:tcBorders>
          </w:tcPr>
          <w:p>
            <w:pPr>
              <w:jc w:val="right"/>
              <w:ind w:right="1994"/>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r>
      <w:tr>
        <w:trPr>
          <w:trHeight w:val="21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w:t>
            </w:r>
          </w:p>
        </w:tc>
        <w:tc>
          <w:tcPr>
            <w:tcW w:w="5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Equipment, furniture and motor vehicles</w:t>
            </w:r>
          </w:p>
        </w:tc>
        <w:tc>
          <w:tcPr>
            <w:tcW w:w="5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Lesser of lease terms or the estimated useful lives of the assets</w:t>
            </w:r>
          </w:p>
        </w:tc>
      </w:tr>
    </w:tbl>
    <w:p>
      <w:pPr>
        <w:spacing w:after="0" w:line="198" w:lineRule="exact"/>
        <w:rPr>
          <w:sz w:val="20"/>
          <w:szCs w:val="20"/>
          <w:color w:val="auto"/>
        </w:rPr>
      </w:pPr>
    </w:p>
    <w:p>
      <w:pPr>
        <w:ind w:right="400" w:firstLine="567"/>
        <w:spacing w:after="0" w:line="313" w:lineRule="auto"/>
        <w:rPr>
          <w:sz w:val="20"/>
          <w:szCs w:val="20"/>
          <w:color w:val="auto"/>
        </w:rPr>
      </w:pPr>
      <w:r>
        <w:rPr>
          <w:rFonts w:ascii="Times New Roman" w:cs="Times New Roman" w:eastAsia="Times New Roman" w:hAnsi="Times New Roman"/>
          <w:sz w:val="17"/>
          <w:szCs w:val="17"/>
          <w:color w:val="auto"/>
        </w:rPr>
        <w:t>Expenditures for maintenance and repairs are expensed as incurred. The gain or loss on the disposal of property and equipment is the difference between the net sales proceeds and the carrying amount of the relevant assets and is recognized in the consolidated statements of comprehensive income.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 Intangible assets, net</w:t>
      </w:r>
    </w:p>
    <w:p>
      <w:pPr>
        <w:spacing w:after="0" w:line="229" w:lineRule="exact"/>
        <w:rPr>
          <w:sz w:val="20"/>
          <w:szCs w:val="20"/>
          <w:color w:val="auto"/>
        </w:rPr>
      </w:pPr>
    </w:p>
    <w:p>
      <w:pPr>
        <w:ind w:right="200" w:firstLine="567"/>
        <w:spacing w:after="0" w:line="261" w:lineRule="auto"/>
        <w:rPr>
          <w:sz w:val="20"/>
          <w:szCs w:val="20"/>
          <w:color w:val="auto"/>
        </w:rPr>
      </w:pPr>
      <w:r>
        <w:rPr>
          <w:rFonts w:ascii="Times New Roman" w:cs="Times New Roman" w:eastAsia="Times New Roman" w:hAnsi="Times New Roman"/>
          <w:sz w:val="18"/>
          <w:szCs w:val="18"/>
          <w:color w:val="auto"/>
        </w:rPr>
        <w:t>Intangible assets mainly consist of computer software purchased from unrelated third parties, operating rights for licensed games and an Internet domain name. Intangible assets are stated at cost less impairment and accumulated amortization, which is computed using the straight-line method over the estimated useful lives of the assets. The estimated useful lives are 5 years for computer software, 10 years for Internet domain names, and the estimated life cycle for licensed games.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 Available-for-sale investments</w:t>
      </w:r>
    </w:p>
    <w:p>
      <w:pPr>
        <w:spacing w:after="0" w:line="227" w:lineRule="exact"/>
        <w:rPr>
          <w:sz w:val="20"/>
          <w:szCs w:val="20"/>
          <w:color w:val="auto"/>
        </w:rPr>
      </w:pPr>
    </w:p>
    <w:p>
      <w:pPr>
        <w:ind w:right="60" w:firstLine="540"/>
        <w:spacing w:after="0" w:line="254" w:lineRule="auto"/>
        <w:rPr>
          <w:sz w:val="20"/>
          <w:szCs w:val="20"/>
          <w:color w:val="auto"/>
        </w:rPr>
      </w:pPr>
      <w:r>
        <w:rPr>
          <w:rFonts w:ascii="Times New Roman" w:cs="Times New Roman" w:eastAsia="Times New Roman" w:hAnsi="Times New Roman"/>
          <w:sz w:val="18"/>
          <w:szCs w:val="18"/>
          <w:color w:val="auto"/>
        </w:rPr>
        <w:t xml:space="preserve">In accordance with ASC topic 320 </w:t>
      </w:r>
      <w:r>
        <w:rPr>
          <w:rFonts w:ascii="Times New Roman" w:cs="Times New Roman" w:eastAsia="Times New Roman" w:hAnsi="Times New Roman"/>
          <w:sz w:val="18"/>
          <w:szCs w:val="18"/>
          <w:i w:val="1"/>
          <w:iCs w:val="1"/>
          <w:color w:val="auto"/>
        </w:rPr>
        <w:t>Investments-Debt and Equity Securities</w:t>
      </w:r>
      <w:r>
        <w:rPr>
          <w:rFonts w:ascii="Times New Roman" w:cs="Times New Roman" w:eastAsia="Times New Roman" w:hAnsi="Times New Roman"/>
          <w:sz w:val="18"/>
          <w:szCs w:val="18"/>
          <w:color w:val="auto"/>
        </w:rPr>
        <w:t>. the Group classifies the investments in debt and equity securities as “held-to-maturity”, “trading” or “available-for-sale”, The securities that the Group has positive intent and ability to hold to maturity are classified as held-to-maturity securities. The securities that are bought and held principally for the purpose of selling them in the near term are classified as trading securities. Investments not classified as trading or as held-to-maturity are classified as available-for-sale investments. Available-for-sale investments are reported at fair value, which is estimated by management after considering an independent appraisal performed by a reputable appraisal firm, with unrealized gains and losses, if any, recorded in the accumulated other comprehensive loss or income in shareholder’s equity. Realized gains and losses are reflected in earnings during the year in which the gains and losses are realized. An impairment loss on the available-for-sale investments would be recognized in the consolidated statements of comprehensive income when the decline in value is determined to be other-than-temporary. Investments with maturities of greater than 12 months are recorded in non-current assets.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 Equity investments</w:t>
      </w:r>
    </w:p>
    <w:p>
      <w:pPr>
        <w:spacing w:after="0" w:line="229" w:lineRule="exact"/>
        <w:rPr>
          <w:sz w:val="20"/>
          <w:szCs w:val="20"/>
          <w:color w:val="auto"/>
        </w:rPr>
      </w:pPr>
    </w:p>
    <w:p>
      <w:pPr>
        <w:ind w:right="160" w:firstLine="566"/>
        <w:spacing w:after="0" w:line="258" w:lineRule="auto"/>
        <w:rPr>
          <w:sz w:val="20"/>
          <w:szCs w:val="20"/>
          <w:color w:val="auto"/>
        </w:rPr>
      </w:pPr>
      <w:r>
        <w:rPr>
          <w:rFonts w:ascii="Times New Roman" w:cs="Times New Roman" w:eastAsia="Times New Roman" w:hAnsi="Times New Roman"/>
          <w:sz w:val="18"/>
          <w:szCs w:val="18"/>
          <w:color w:val="auto"/>
        </w:rPr>
        <w:t xml:space="preserve">Investments in entities in which the Group can exercise significant influence but does not own a majority equity interest or control are accounted for using the equity method of accounting in accordance with ASC topic 323 </w:t>
      </w:r>
      <w:r>
        <w:rPr>
          <w:rFonts w:ascii="Times New Roman" w:cs="Times New Roman" w:eastAsia="Times New Roman" w:hAnsi="Times New Roman"/>
          <w:sz w:val="18"/>
          <w:szCs w:val="18"/>
          <w:i w:val="1"/>
          <w:iCs w:val="1"/>
          <w:color w:val="auto"/>
        </w:rPr>
        <w:t>Investments-Equity Method and Joint Ventures</w:t>
      </w:r>
      <w:r>
        <w:rPr>
          <w:rFonts w:ascii="Times New Roman" w:cs="Times New Roman" w:eastAsia="Times New Roman" w:hAnsi="Times New Roman"/>
          <w:sz w:val="18"/>
          <w:szCs w:val="18"/>
          <w:color w:val="auto"/>
        </w:rPr>
        <w:t>. The Group adjusts the carrying amount of equity method investment for its share of the earnings or losses of the investee and reports the recognized earnings or losses in the consolidated statements of comprehensive income. The Group’s share of the earnings or losses of an investee are based on the shares of common stock and in-substance common stock held by the Group.</w:t>
      </w:r>
    </w:p>
    <w:p>
      <w:pPr>
        <w:spacing w:after="0" w:line="184" w:lineRule="exact"/>
        <w:rPr>
          <w:sz w:val="20"/>
          <w:szCs w:val="20"/>
          <w:color w:val="auto"/>
        </w:rPr>
      </w:pPr>
    </w:p>
    <w:p>
      <w:pPr>
        <w:ind w:right="20" w:firstLine="566"/>
        <w:spacing w:after="0" w:line="289" w:lineRule="auto"/>
        <w:rPr>
          <w:sz w:val="20"/>
          <w:szCs w:val="20"/>
          <w:color w:val="auto"/>
        </w:rPr>
      </w:pPr>
      <w:r>
        <w:rPr>
          <w:rFonts w:ascii="Times New Roman" w:cs="Times New Roman" w:eastAsia="Times New Roman" w:hAnsi="Times New Roman"/>
          <w:sz w:val="17"/>
          <w:szCs w:val="17"/>
          <w:color w:val="auto"/>
        </w:rPr>
        <w:t xml:space="preserve">Investments in entities in which the Group does not have significant influence and which does not have readily determinable fair value are accounted for using the cost method of accounting in accordance with ASC subtopic 325-20 </w:t>
      </w:r>
      <w:r>
        <w:rPr>
          <w:rFonts w:ascii="Times New Roman" w:cs="Times New Roman" w:eastAsia="Times New Roman" w:hAnsi="Times New Roman"/>
          <w:sz w:val="17"/>
          <w:szCs w:val="17"/>
          <w:i w:val="1"/>
          <w:iCs w:val="1"/>
          <w:color w:val="auto"/>
        </w:rPr>
        <w:t>Investments-Other-Cost Method Investments</w:t>
      </w:r>
      <w:r>
        <w:rPr>
          <w:rFonts w:ascii="Times New Roman" w:cs="Times New Roman" w:eastAsia="Times New Roman" w:hAnsi="Times New Roman"/>
          <w:sz w:val="17"/>
          <w:szCs w:val="17"/>
          <w:color w:val="auto"/>
        </w:rPr>
        <w:t>. An impairment loss on the equity investments is recognized in the consolidated statements of comprehensive income when the decline in value is determined to be other-than-temporary.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240" w:hanging="232"/>
        <w:spacing w:after="0"/>
        <w:tabs>
          <w:tab w:leader="none" w:pos="2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 Impairment of long-lived assets</w:t>
      </w:r>
    </w:p>
    <w:p>
      <w:pPr>
        <w:spacing w:after="0" w:line="229" w:lineRule="exact"/>
        <w:rPr>
          <w:sz w:val="20"/>
          <w:szCs w:val="20"/>
          <w:color w:val="auto"/>
        </w:rPr>
      </w:pPr>
    </w:p>
    <w:p>
      <w:pPr>
        <w:ind w:right="20" w:firstLine="566"/>
        <w:spacing w:after="0" w:line="256" w:lineRule="auto"/>
        <w:rPr>
          <w:sz w:val="20"/>
          <w:szCs w:val="20"/>
          <w:color w:val="auto"/>
        </w:rPr>
      </w:pPr>
      <w:r>
        <w:rPr>
          <w:rFonts w:ascii="Times New Roman" w:cs="Times New Roman" w:eastAsia="Times New Roman" w:hAnsi="Times New Roman"/>
          <w:sz w:val="18"/>
          <w:szCs w:val="18"/>
          <w:color w:val="auto"/>
        </w:rPr>
        <w:t>Long-lived assets such as property and equipment and intangible assets are reviewed for impairment whenever events or changes in the circumstances indicate that the carrying value of an asset may not be recoverable. When these events occur, the Group assesses the recoverability of the long-lived assets by comparing the carrying amount to the estimated future undiscounted cash flows associated from the use of the asset and its eventual disposition, and recognize an impairment of long-lived assets when the carrying value of such assets exceeds the estimated future undiscounted cash flows such assets is expected to generate. If the Group identifies an impairment, the Group reduces the carrying amount of the assets group to its estimated fair value based on a discounted cash flow approach or, when available and appropriate, to comparable market values.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 Revenue recognition</w:t>
      </w:r>
    </w:p>
    <w:p>
      <w:pPr>
        <w:spacing w:after="0" w:line="229" w:lineRule="exact"/>
        <w:rPr>
          <w:sz w:val="20"/>
          <w:szCs w:val="20"/>
          <w:color w:val="auto"/>
        </w:rPr>
      </w:pPr>
    </w:p>
    <w:p>
      <w:pPr>
        <w:ind w:firstLine="567"/>
        <w:spacing w:after="0" w:line="261" w:lineRule="auto"/>
        <w:rPr>
          <w:sz w:val="20"/>
          <w:szCs w:val="20"/>
          <w:color w:val="auto"/>
        </w:rPr>
      </w:pPr>
      <w:r>
        <w:rPr>
          <w:rFonts w:ascii="Times New Roman" w:cs="Times New Roman" w:eastAsia="Times New Roman" w:hAnsi="Times New Roman"/>
          <w:sz w:val="18"/>
          <w:szCs w:val="18"/>
          <w:color w:val="auto"/>
        </w:rPr>
        <w:t xml:space="preserve">Revenue is recognized when persuasive evidence of an arrangement exists, the price is fixed or determinable, service is performed and the collectability of the related fee is reasonably assured. In October 2009, the Financial Accounting Standards Board (the ‘‘FASB’’) issued Accounting Standards Update (“ASU”) 2009-13, </w:t>
      </w:r>
      <w:r>
        <w:rPr>
          <w:rFonts w:ascii="Times New Roman" w:cs="Times New Roman" w:eastAsia="Times New Roman" w:hAnsi="Times New Roman"/>
          <w:sz w:val="18"/>
          <w:szCs w:val="18"/>
          <w:i w:val="1"/>
          <w:iCs w:val="1"/>
          <w:color w:val="auto"/>
        </w:rPr>
        <w:t>Multiple Deliverable Revenue Arrangements</w:t>
      </w:r>
      <w:r>
        <w:rPr>
          <w:rFonts w:ascii="Times New Roman" w:cs="Times New Roman" w:eastAsia="Times New Roman" w:hAnsi="Times New Roman"/>
          <w:sz w:val="18"/>
          <w:szCs w:val="18"/>
          <w:color w:val="auto"/>
        </w:rPr>
        <w:t>, to address the accounting for multiple-deliverable arrangements. The Group has applied ASU 2009-13 to all revenue arrangements for all years presented of the financial statements.</w:t>
      </w:r>
    </w:p>
    <w:p>
      <w:pPr>
        <w:spacing w:after="0" w:line="176" w:lineRule="exact"/>
        <w:rPr>
          <w:sz w:val="20"/>
          <w:szCs w:val="20"/>
          <w:color w:val="auto"/>
        </w:rPr>
      </w:pPr>
    </w:p>
    <w:p>
      <w:pPr>
        <w:ind w:left="520" w:hanging="512"/>
        <w:spacing w:after="0"/>
        <w:tabs>
          <w:tab w:leader="none" w:pos="520" w:val="left"/>
        </w:tabs>
        <w:numPr>
          <w:ilvl w:val="0"/>
          <w:numId w:val="1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Net advertising revenues</w:t>
      </w:r>
    </w:p>
    <w:p>
      <w:pPr>
        <w:spacing w:after="0" w:line="229" w:lineRule="exact"/>
        <w:rPr>
          <w:sz w:val="20"/>
          <w:szCs w:val="20"/>
          <w:color w:val="auto"/>
        </w:rPr>
      </w:pPr>
    </w:p>
    <w:p>
      <w:pPr>
        <w:ind w:right="260" w:firstLine="576"/>
        <w:spacing w:after="0" w:line="266" w:lineRule="auto"/>
        <w:rPr>
          <w:sz w:val="20"/>
          <w:szCs w:val="20"/>
          <w:color w:val="auto"/>
        </w:rPr>
      </w:pPr>
      <w:r>
        <w:rPr>
          <w:rFonts w:ascii="Times New Roman" w:cs="Times New Roman" w:eastAsia="Times New Roman" w:hAnsi="Times New Roman"/>
          <w:sz w:val="18"/>
          <w:szCs w:val="18"/>
          <w:color w:val="auto"/>
        </w:rPr>
        <w:t>Advertising revenues are derived principally from advertising arrangements where the advertisers pay to place their advertisements on the Group’s ifeng.com, mobile Internet website i.ifeng.com and its mobile applications in different formats over a particular period of time. Such formats generally include but are not limited to banners, news feed, text-links, videos, logos, buttons and rich media.</w:t>
      </w:r>
    </w:p>
    <w:p>
      <w:pPr>
        <w:sectPr>
          <w:pgSz w:w="11900" w:h="16838" w:orient="portrait"/>
          <w:cols w:equalWidth="0" w:num="1">
            <w:col w:w="11420"/>
          </w:cols>
          <w:pgMar w:left="240" w:top="337" w:right="239" w:bottom="109" w:gutter="0" w:footer="0" w:header="0"/>
        </w:sectPr>
      </w:pPr>
    </w:p>
    <w:bookmarkStart w:id="109" w:name="page110"/>
    <w:bookmarkEnd w:id="109"/>
    <w:p>
      <w:pPr>
        <w:ind w:right="60" w:firstLine="567"/>
        <w:spacing w:after="0" w:line="254" w:lineRule="auto"/>
        <w:rPr>
          <w:sz w:val="20"/>
          <w:szCs w:val="20"/>
          <w:color w:val="auto"/>
        </w:rPr>
      </w:pPr>
      <w:r>
        <w:rPr>
          <w:rFonts w:ascii="Times New Roman" w:cs="Times New Roman" w:eastAsia="Times New Roman" w:hAnsi="Times New Roman"/>
          <w:sz w:val="18"/>
          <w:szCs w:val="18"/>
          <w:color w:val="auto"/>
        </w:rPr>
        <w:t>The majority of the Group’s advertising revenue arrangements involve multiple element deliverables, including placements of different advertisement formats on the Group’s website over different periods of time. The Group breaks down the multiple element arrangements into single units of accounting when possible, and allocates total consideration to each single unit of accounting using the relative selling price method. For most deliverables in its multiple element arrangements, the Group uses management’s best estimate of the selling price in the allocation as the vendor-specific objective evidence or third-party evidence of selling price is not available for those deliverables. The best estimate of the selling price is determined based on the publicly published advertising rate card, times the relevant discount rates, which are taking into considerations of the historical trend, the pricing of advertising areas sold with similar popularities, advertisements with similar formats and quoted prices from competitors, and other relevant market conditions. The Group recognizes revenue on the elements delivered and defers the recognition of revenue for the estimated value of the undelivered elements until the remaining obligations have been satisfied. Where all of the elements within an arrangement are delivered uniformly over the agreement period, the revenues are recognized on a straight-line basis over the contract period.</w:t>
      </w:r>
    </w:p>
    <w:p>
      <w:pPr>
        <w:spacing w:after="0" w:line="186" w:lineRule="exact"/>
        <w:rPr>
          <w:sz w:val="20"/>
          <w:szCs w:val="20"/>
          <w:color w:val="auto"/>
        </w:rPr>
      </w:pPr>
    </w:p>
    <w:p>
      <w:pPr>
        <w:ind w:right="380" w:firstLine="576"/>
        <w:spacing w:after="0" w:line="282" w:lineRule="auto"/>
        <w:rPr>
          <w:sz w:val="20"/>
          <w:szCs w:val="20"/>
          <w:color w:val="auto"/>
        </w:rPr>
      </w:pPr>
      <w:r>
        <w:rPr>
          <w:rFonts w:ascii="Times New Roman" w:cs="Times New Roman" w:eastAsia="Times New Roman" w:hAnsi="Times New Roman"/>
          <w:sz w:val="18"/>
          <w:szCs w:val="18"/>
          <w:color w:val="auto"/>
        </w:rPr>
        <w:t>Currently the advertising business has three main types of pricing models, consisting of the Fixed Price model, the Cost Per Impression (“CPM”) model, and the Cost Per Click (“CPC”) model.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Price model</w:t>
      </w:r>
    </w:p>
    <w:p>
      <w:pPr>
        <w:spacing w:after="0" w:line="227" w:lineRule="exact"/>
        <w:rPr>
          <w:sz w:val="20"/>
          <w:szCs w:val="20"/>
          <w:color w:val="auto"/>
        </w:rPr>
      </w:pPr>
    </w:p>
    <w:p>
      <w:pPr>
        <w:jc w:val="both"/>
        <w:ind w:right="520" w:firstLine="540"/>
        <w:spacing w:after="0" w:line="266" w:lineRule="auto"/>
        <w:rPr>
          <w:sz w:val="20"/>
          <w:szCs w:val="20"/>
          <w:color w:val="auto"/>
        </w:rPr>
      </w:pPr>
      <w:r>
        <w:rPr>
          <w:rFonts w:ascii="Times New Roman" w:cs="Times New Roman" w:eastAsia="Times New Roman" w:hAnsi="Times New Roman"/>
          <w:sz w:val="18"/>
          <w:szCs w:val="18"/>
          <w:color w:val="auto"/>
        </w:rPr>
        <w:t>Under the Fixed Price model, advertisements on the Group’s website are generally charged on the basis of duration, and advertising contractual arrangements are entered to establish the fixed price and the advertising services to be provided. Where collectability is reasonably assured, advertising revenues from advertising contractual arrangements are recognized ratably over the contract period of display.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CPM model</w:t>
      </w:r>
    </w:p>
    <w:p>
      <w:pPr>
        <w:spacing w:after="0" w:line="227" w:lineRule="exact"/>
        <w:rPr>
          <w:sz w:val="20"/>
          <w:szCs w:val="20"/>
          <w:color w:val="auto"/>
        </w:rPr>
      </w:pPr>
    </w:p>
    <w:p>
      <w:pPr>
        <w:jc w:val="both"/>
        <w:ind w:right="260" w:firstLine="540"/>
        <w:spacing w:after="0" w:line="266" w:lineRule="auto"/>
        <w:rPr>
          <w:sz w:val="20"/>
          <w:szCs w:val="20"/>
          <w:color w:val="auto"/>
        </w:rPr>
      </w:pPr>
      <w:r>
        <w:rPr>
          <w:rFonts w:ascii="Times New Roman" w:cs="Times New Roman" w:eastAsia="Times New Roman" w:hAnsi="Times New Roman"/>
          <w:sz w:val="18"/>
          <w:szCs w:val="18"/>
          <w:color w:val="auto"/>
        </w:rPr>
        <w:t>Under the CPM model, the unit price for each qualifying display is fixed, but there is no overall fixed price for the advertising services stated in the contract with the advertiser. A qualifying display is defined as the appearance of an advertisement, where the advertisement meets criteria specified in the contract. Revenue is recognized based on the fees charged to the advertisers, which are based on the unit prices and the number of qualifying displays.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240" w:hanging="232"/>
        <w:spacing w:after="0"/>
        <w:tabs>
          <w:tab w:leader="none" w:pos="2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 Revenue recognition (continued)</w:t>
      </w:r>
    </w:p>
    <w:p>
      <w:pPr>
        <w:spacing w:after="0" w:line="225" w:lineRule="exact"/>
        <w:rPr>
          <w:sz w:val="20"/>
          <w:szCs w:val="20"/>
          <w:color w:val="auto"/>
        </w:rPr>
      </w:pPr>
    </w:p>
    <w:p>
      <w:pPr>
        <w:ind w:left="400" w:hanging="392"/>
        <w:spacing w:after="0"/>
        <w:tabs>
          <w:tab w:leader="none" w:pos="400" w:val="left"/>
        </w:tabs>
        <w:numPr>
          <w:ilvl w:val="0"/>
          <w:numId w:val="1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Net advertising revenues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CPC model</w:t>
      </w:r>
    </w:p>
    <w:p>
      <w:pPr>
        <w:spacing w:after="0" w:line="227" w:lineRule="exact"/>
        <w:rPr>
          <w:sz w:val="20"/>
          <w:szCs w:val="20"/>
          <w:color w:val="auto"/>
        </w:rPr>
      </w:pPr>
    </w:p>
    <w:p>
      <w:pPr>
        <w:jc w:val="both"/>
        <w:ind w:right="140" w:firstLine="540"/>
        <w:spacing w:after="0" w:line="266" w:lineRule="auto"/>
        <w:rPr>
          <w:sz w:val="20"/>
          <w:szCs w:val="20"/>
          <w:color w:val="auto"/>
        </w:rPr>
      </w:pPr>
      <w:r>
        <w:rPr>
          <w:rFonts w:ascii="Times New Roman" w:cs="Times New Roman" w:eastAsia="Times New Roman" w:hAnsi="Times New Roman"/>
          <w:sz w:val="18"/>
          <w:szCs w:val="18"/>
          <w:color w:val="auto"/>
        </w:rPr>
        <w:t>Under the CPC model, there is no overall fixed price for advertising services stated in the contract with the advertiser. The Group charges advertisers on a per-click basis when the users click on the advertisements. The unit price for each click is auction-based. The revenue is recognized based on qualified clicks and unit price.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Agency service fees to third-party advertising agencies</w:t>
      </w:r>
    </w:p>
    <w:p>
      <w:pPr>
        <w:spacing w:after="0" w:line="227" w:lineRule="exact"/>
        <w:rPr>
          <w:sz w:val="20"/>
          <w:szCs w:val="20"/>
          <w:color w:val="auto"/>
        </w:rPr>
      </w:pPr>
    </w:p>
    <w:p>
      <w:pPr>
        <w:ind w:right="180" w:firstLine="567"/>
        <w:spacing w:after="0" w:line="261" w:lineRule="auto"/>
        <w:rPr>
          <w:sz w:val="20"/>
          <w:szCs w:val="20"/>
          <w:color w:val="auto"/>
        </w:rPr>
      </w:pPr>
      <w:r>
        <w:rPr>
          <w:rFonts w:ascii="Times New Roman" w:cs="Times New Roman" w:eastAsia="Times New Roman" w:hAnsi="Times New Roman"/>
          <w:sz w:val="18"/>
          <w:szCs w:val="18"/>
          <w:color w:val="auto"/>
        </w:rPr>
        <w:t xml:space="preserve">The Group provides cash incentives in the form of agency service fees to certain third-party advertising agencies based on sales performance, and accounts for such incentives as a reduction of revenue in accordance with ASC 605-50-25, </w:t>
      </w:r>
      <w:r>
        <w:rPr>
          <w:rFonts w:ascii="Times New Roman" w:cs="Times New Roman" w:eastAsia="Times New Roman" w:hAnsi="Times New Roman"/>
          <w:sz w:val="18"/>
          <w:szCs w:val="18"/>
          <w:i w:val="1"/>
          <w:iCs w:val="1"/>
          <w:color w:val="auto"/>
        </w:rPr>
        <w:t>Customer Payments and Incentives: Recognition.</w:t>
      </w:r>
      <w:r>
        <w:rPr>
          <w:rFonts w:ascii="Times New Roman" w:cs="Times New Roman" w:eastAsia="Times New Roman" w:hAnsi="Times New Roman"/>
          <w:sz w:val="18"/>
          <w:szCs w:val="18"/>
          <w:color w:val="auto"/>
        </w:rPr>
        <w:t xml:space="preserve"> The Group has estimated and recorded RMB176.8 million, RMB161.6 million and RMB169.6 million (US$24.4 million) in agency service fees to third-party advertising agencies for the years ended December 31, 2014, 2015 and 2016,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Barter transactions</w:t>
      </w:r>
    </w:p>
    <w:p>
      <w:pPr>
        <w:spacing w:after="0" w:line="225" w:lineRule="exact"/>
        <w:rPr>
          <w:sz w:val="20"/>
          <w:szCs w:val="20"/>
          <w:color w:val="auto"/>
        </w:rPr>
      </w:pPr>
    </w:p>
    <w:p>
      <w:pPr>
        <w:ind w:firstLine="567"/>
        <w:spacing w:after="0" w:line="256" w:lineRule="auto"/>
        <w:rPr>
          <w:sz w:val="20"/>
          <w:szCs w:val="20"/>
          <w:color w:val="auto"/>
        </w:rPr>
      </w:pPr>
      <w:r>
        <w:rPr>
          <w:rFonts w:ascii="Times New Roman" w:cs="Times New Roman" w:eastAsia="Times New Roman" w:hAnsi="Times New Roman"/>
          <w:sz w:val="18"/>
          <w:szCs w:val="18"/>
          <w:color w:val="auto"/>
        </w:rPr>
        <w:t xml:space="preserve">The Group enters into barter transactions involving advertising services and follows ASC 605-20, </w:t>
      </w:r>
      <w:r>
        <w:rPr>
          <w:rFonts w:ascii="Times New Roman" w:cs="Times New Roman" w:eastAsia="Times New Roman" w:hAnsi="Times New Roman"/>
          <w:sz w:val="18"/>
          <w:szCs w:val="18"/>
          <w:i w:val="1"/>
          <w:iCs w:val="1"/>
          <w:color w:val="auto"/>
        </w:rPr>
        <w:t>Revenue Recognition: Services.</w:t>
      </w:r>
      <w:r>
        <w:rPr>
          <w:rFonts w:ascii="Times New Roman" w:cs="Times New Roman" w:eastAsia="Times New Roman" w:hAnsi="Times New Roman"/>
          <w:sz w:val="18"/>
          <w:szCs w:val="18"/>
          <w:color w:val="auto"/>
        </w:rPr>
        <w:t xml:space="preserve"> Such barter transactions should be recorded at fair value only if such value of the advertising surrendered in the transaction is determinable within reasonable limits. The Group did not recognize revenue and expenses for advertising-for-advertising barter transactions since the fair value of the advertising services surrendered or received in the transaction is not determinable for the years ended December 31, 2014, 2015 and 2016. Except for advertising-for-advertising barter transactions, the Group recognized revenue from barter transactions involving exchanging advertising services for content, technical, application pre-installation services and others amounted to RMB1.0 million, RMB1.4 million and RMB2.8 million (US$0.4 million) for the years ended December 31, 2014, 2015 and 2016, respectively.</w:t>
      </w:r>
    </w:p>
    <w:p>
      <w:pPr>
        <w:spacing w:after="0" w:line="181" w:lineRule="exact"/>
        <w:rPr>
          <w:sz w:val="20"/>
          <w:szCs w:val="20"/>
          <w:color w:val="auto"/>
        </w:rPr>
      </w:pPr>
    </w:p>
    <w:p>
      <w:pPr>
        <w:ind w:left="520" w:hanging="512"/>
        <w:spacing w:after="0"/>
        <w:tabs>
          <w:tab w:leader="none" w:pos="520" w:val="left"/>
        </w:tabs>
        <w:numPr>
          <w:ilvl w:val="0"/>
          <w:numId w:val="1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Paid services revenues</w:t>
      </w:r>
    </w:p>
    <w:p>
      <w:pPr>
        <w:spacing w:after="0" w:line="229" w:lineRule="exact"/>
        <w:rPr>
          <w:sz w:val="20"/>
          <w:szCs w:val="20"/>
          <w:color w:val="auto"/>
        </w:rPr>
      </w:pPr>
    </w:p>
    <w:p>
      <w:pPr>
        <w:ind w:right="20" w:firstLine="506"/>
        <w:spacing w:after="0" w:line="281" w:lineRule="auto"/>
        <w:rPr>
          <w:sz w:val="20"/>
          <w:szCs w:val="20"/>
          <w:color w:val="auto"/>
        </w:rPr>
      </w:pPr>
      <w:r>
        <w:rPr>
          <w:rFonts w:ascii="Times New Roman" w:cs="Times New Roman" w:eastAsia="Times New Roman" w:hAnsi="Times New Roman"/>
          <w:sz w:val="17"/>
          <w:szCs w:val="17"/>
          <w:color w:val="auto"/>
        </w:rPr>
        <w:t>The Group offers a wide variety of paid services primarily through mobile channel and operations with the telecom operators. Prior to 2016, the Group’s paid service revenues mainly comprised of the revenues generated from (a) mobile value-added services through telecom operators’ platforms (“MVAS”) and (b) games and others. Digital reading was previously classified under “games and others”. In order to align with the Group’s overall strategies, in 2016, digital reading was re-classified from “Games and others”, and digital reading together with MVAS was determined as “Digital entertainment”.</w:t>
      </w:r>
    </w:p>
    <w:p>
      <w:pPr>
        <w:spacing w:after="0" w:line="165" w:lineRule="exact"/>
        <w:rPr>
          <w:sz w:val="20"/>
          <w:szCs w:val="20"/>
          <w:color w:val="auto"/>
        </w:rPr>
      </w:pPr>
    </w:p>
    <w:p>
      <w:pPr>
        <w:ind w:right="80" w:firstLine="506"/>
        <w:spacing w:after="0" w:line="266" w:lineRule="auto"/>
        <w:rPr>
          <w:sz w:val="20"/>
          <w:szCs w:val="20"/>
          <w:color w:val="auto"/>
        </w:rPr>
      </w:pPr>
      <w:r>
        <w:rPr>
          <w:rFonts w:ascii="Times New Roman" w:cs="Times New Roman" w:eastAsia="Times New Roman" w:hAnsi="Times New Roman"/>
          <w:sz w:val="18"/>
          <w:szCs w:val="18"/>
          <w:color w:val="auto"/>
        </w:rPr>
        <w:t>As such, effective in 2016, paid services revenues now comprise of (i) revenues from digital entertainment, which includes MVAS and digital reading, and (ii) revenues from games and others, which includes web-based games, mobile games, content sales, and other online and mobile paid services through the Group’s own platforms.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110" w:name="page111"/>
    <w:bookmarkEnd w:id="1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240" w:hanging="232"/>
        <w:spacing w:after="0"/>
        <w:tabs>
          <w:tab w:leader="none" w:pos="24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 Revenue recognition (continued)</w:t>
      </w:r>
    </w:p>
    <w:p>
      <w:pPr>
        <w:spacing w:after="0" w:line="225" w:lineRule="exact"/>
        <w:rPr>
          <w:sz w:val="20"/>
          <w:szCs w:val="20"/>
          <w:color w:val="auto"/>
        </w:rPr>
      </w:pPr>
    </w:p>
    <w:p>
      <w:pPr>
        <w:ind w:left="520" w:hanging="512"/>
        <w:spacing w:after="0"/>
        <w:tabs>
          <w:tab w:leader="none" w:pos="520" w:val="left"/>
        </w:tabs>
        <w:numPr>
          <w:ilvl w:val="0"/>
          <w:numId w:val="1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Paid services revenues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7"/>
          <w:szCs w:val="17"/>
          <w:i w:val="1"/>
          <w:iCs w:val="1"/>
          <w:color w:val="auto"/>
        </w:rPr>
        <w:t>igital entertainment</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Digital Entertainment revenues mainly comprised revenues generated from MVAS and digital reading.</w:t>
      </w:r>
    </w:p>
    <w:p>
      <w:pPr>
        <w:spacing w:after="0" w:line="2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MVAS</w:t>
      </w:r>
    </w:p>
    <w:p>
      <w:pPr>
        <w:spacing w:after="0" w:line="227" w:lineRule="exact"/>
        <w:rPr>
          <w:sz w:val="20"/>
          <w:szCs w:val="20"/>
          <w:color w:val="auto"/>
        </w:rPr>
      </w:pPr>
    </w:p>
    <w:p>
      <w:pPr>
        <w:ind w:right="80" w:firstLine="576"/>
        <w:spacing w:after="0" w:line="258" w:lineRule="auto"/>
        <w:rPr>
          <w:sz w:val="20"/>
          <w:szCs w:val="20"/>
          <w:color w:val="auto"/>
        </w:rPr>
      </w:pPr>
      <w:r>
        <w:rPr>
          <w:rFonts w:ascii="Times New Roman" w:cs="Times New Roman" w:eastAsia="Times New Roman" w:hAnsi="Times New Roman"/>
          <w:sz w:val="18"/>
          <w:szCs w:val="18"/>
          <w:color w:val="auto"/>
        </w:rPr>
        <w:t xml:space="preserve">MVAS </w:t>
      </w:r>
      <w:r>
        <w:rPr>
          <w:rFonts w:ascii="Times New Roman" w:cs="Times New Roman" w:eastAsia="Times New Roman" w:hAnsi="Times New Roman"/>
          <w:sz w:val="17"/>
          <w:szCs w:val="17"/>
          <w:color w:val="auto"/>
        </w:rPr>
        <w:t>revenues are derived from providing mobile phone users with mobile</w:t>
      </w:r>
      <w:r>
        <w:rPr>
          <w:rFonts w:ascii="Times New Roman" w:cs="Times New Roman" w:eastAsia="Times New Roman" w:hAnsi="Times New Roman"/>
          <w:sz w:val="18"/>
          <w:szCs w:val="18"/>
          <w:color w:val="auto"/>
        </w:rPr>
        <w:t xml:space="preserve"> newspaper services, mobile game services delivered through the telecom operators’ platforms, mobile video services, wireless value-added services (“WVAS”) through telecom operators’ platforms. WVAS include short messaging services (“SMS”), multi-media messaging services (“MMS”), music services such as ring-back tone (“RBT”), interactive voice response (“IVR”) and animation services. Revenues from MVAS are charged on a monthly or per-usage basis, and are recognized in the period in which the service is performed, provided that no significant obligation remains, collection of the receivables is reasonably assured and the amounts can be accurately estimated.</w:t>
      </w:r>
    </w:p>
    <w:p>
      <w:pPr>
        <w:spacing w:after="0" w:line="184" w:lineRule="exact"/>
        <w:rPr>
          <w:sz w:val="20"/>
          <w:szCs w:val="20"/>
          <w:color w:val="auto"/>
        </w:rPr>
      </w:pPr>
    </w:p>
    <w:p>
      <w:pPr>
        <w:ind w:right="120" w:firstLine="567"/>
        <w:spacing w:after="0" w:line="281" w:lineRule="auto"/>
        <w:rPr>
          <w:sz w:val="20"/>
          <w:szCs w:val="20"/>
          <w:color w:val="auto"/>
        </w:rPr>
      </w:pPr>
      <w:r>
        <w:rPr>
          <w:rFonts w:ascii="Times New Roman" w:cs="Times New Roman" w:eastAsia="Times New Roman" w:hAnsi="Times New Roman"/>
          <w:sz w:val="17"/>
          <w:szCs w:val="17"/>
          <w:color w:val="auto"/>
        </w:rPr>
        <w:t>The Group contracts with China Mobile Communication Corporation and its subsidiaries (“CMCC”), and to a lesser degree, with other mobile operators, for billing, collection and transmission services related to the MVAS offered to its users. The determination of whether to record these revenues using the gross or net method is based on an assessment of various factors; the primary factors are whether the Group is acting as the principal in offering services to the customer or as an agent in the transaction, and the specific requirement of each contract. CMCC is a related party of the Group (see Note 23).</w:t>
      </w:r>
    </w:p>
    <w:p>
      <w:pPr>
        <w:spacing w:after="0" w:line="165" w:lineRule="exact"/>
        <w:rPr>
          <w:sz w:val="20"/>
          <w:szCs w:val="20"/>
          <w:color w:val="auto"/>
        </w:rPr>
      </w:pPr>
    </w:p>
    <w:p>
      <w:pPr>
        <w:ind w:right="220" w:firstLine="567"/>
        <w:spacing w:after="0" w:line="261" w:lineRule="auto"/>
        <w:rPr>
          <w:sz w:val="20"/>
          <w:szCs w:val="20"/>
          <w:color w:val="auto"/>
        </w:rPr>
      </w:pPr>
      <w:r>
        <w:rPr>
          <w:rFonts w:ascii="Times New Roman" w:cs="Times New Roman" w:eastAsia="Times New Roman" w:hAnsi="Times New Roman"/>
          <w:sz w:val="18"/>
          <w:szCs w:val="18"/>
          <w:color w:val="auto"/>
        </w:rPr>
        <w:t>Most revenues from mobile newspaper services music services and mobile video services are recorded on a net basis as the Group is acting as an agent of operators in these transactions. For most mobile game services delivered through telecom operators and most WVAS, the Group is responsible for providing desired services to the customers and has primary responsibility and broad discretion to establish price, therefore the Group is considered the primary obligor in these transactions, and revenues from these services are recorded on a gross basis.</w:t>
      </w:r>
    </w:p>
    <w:p>
      <w:pPr>
        <w:spacing w:after="0" w:line="180" w:lineRule="exact"/>
        <w:rPr>
          <w:sz w:val="20"/>
          <w:szCs w:val="20"/>
          <w:color w:val="auto"/>
        </w:rPr>
      </w:pPr>
    </w:p>
    <w:p>
      <w:pPr>
        <w:ind w:right="100" w:firstLine="567"/>
        <w:spacing w:after="0" w:line="261" w:lineRule="auto"/>
        <w:rPr>
          <w:sz w:val="20"/>
          <w:szCs w:val="20"/>
          <w:color w:val="auto"/>
        </w:rPr>
      </w:pPr>
      <w:r>
        <w:rPr>
          <w:rFonts w:ascii="Times New Roman" w:cs="Times New Roman" w:eastAsia="Times New Roman" w:hAnsi="Times New Roman"/>
          <w:sz w:val="18"/>
          <w:szCs w:val="18"/>
          <w:color w:val="auto"/>
        </w:rPr>
        <w:t>Due to the time lag between when the services are rendered and when the operators’ billing statements are received, most MVAS revenues are estimated based on the Group’s internal billing records and transmissions for the month, adjusting for prior periods’ confirmation rates with operators and prior periods’ discrepancies between internally estimated revenues and actual revenues confirmed by operators. There was no significant difference between the Group’s estimates and the operators’ billing statements for all the years presented.</w:t>
      </w:r>
    </w:p>
    <w:p>
      <w:pPr>
        <w:spacing w:after="0" w:line="180" w:lineRule="exact"/>
        <w:rPr>
          <w:sz w:val="20"/>
          <w:szCs w:val="20"/>
          <w:color w:val="auto"/>
        </w:rPr>
      </w:pPr>
    </w:p>
    <w:p>
      <w:pPr>
        <w:ind w:right="240" w:firstLine="567"/>
        <w:spacing w:after="0" w:line="266" w:lineRule="auto"/>
        <w:rPr>
          <w:sz w:val="20"/>
          <w:szCs w:val="20"/>
          <w:color w:val="auto"/>
        </w:rPr>
      </w:pPr>
      <w:r>
        <w:rPr>
          <w:rFonts w:ascii="Times New Roman" w:cs="Times New Roman" w:eastAsia="Times New Roman" w:hAnsi="Times New Roman"/>
          <w:sz w:val="18"/>
          <w:szCs w:val="18"/>
          <w:color w:val="auto"/>
        </w:rPr>
        <w:t>The Group also contracts with CMCC to provide news content and other services to CMCC. News content and other services are charged for fixed fees respectively. The revenues attributable to the news content are recognized on a straight-line basis over the periods in which the news content are provided. Revenues attributable to other services are recognized when the services are delivered.</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240" w:hanging="232"/>
        <w:spacing w:after="0"/>
        <w:tabs>
          <w:tab w:leader="none" w:pos="24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 Revenue recognition (continued)</w:t>
      </w:r>
    </w:p>
    <w:p>
      <w:pPr>
        <w:spacing w:after="0" w:line="225" w:lineRule="exact"/>
        <w:rPr>
          <w:sz w:val="20"/>
          <w:szCs w:val="20"/>
          <w:color w:val="auto"/>
        </w:rPr>
      </w:pPr>
    </w:p>
    <w:p>
      <w:pPr>
        <w:ind w:left="540" w:right="8280" w:hanging="532"/>
        <w:spacing w:after="0" w:line="503" w:lineRule="auto"/>
        <w:tabs>
          <w:tab w:leader="none" w:pos="517" w:val="left"/>
        </w:tabs>
        <w:numPr>
          <w:ilvl w:val="0"/>
          <w:numId w:val="1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Paid services revenues (continued) </w:t>
      </w:r>
      <w:r>
        <w:rPr>
          <w:rFonts w:ascii="Times New Roman" w:cs="Times New Roman" w:eastAsia="Times New Roman" w:hAnsi="Times New Roman"/>
          <w:sz w:val="18"/>
          <w:szCs w:val="18"/>
          <w:i w:val="1"/>
          <w:iCs w:val="1"/>
          <w:color w:val="auto"/>
        </w:rPr>
        <w:t>Digital reading</w:t>
      </w:r>
    </w:p>
    <w:p>
      <w:pPr>
        <w:spacing w:after="0" w:line="1" w:lineRule="exact"/>
        <w:rPr>
          <w:sz w:val="20"/>
          <w:szCs w:val="20"/>
          <w:color w:val="auto"/>
        </w:rPr>
      </w:pPr>
    </w:p>
    <w:p>
      <w:pPr>
        <w:ind w:right="60" w:firstLine="540"/>
        <w:spacing w:after="0" w:line="258" w:lineRule="auto"/>
        <w:rPr>
          <w:sz w:val="20"/>
          <w:szCs w:val="20"/>
          <w:color w:val="auto"/>
        </w:rPr>
      </w:pPr>
      <w:r>
        <w:rPr>
          <w:rFonts w:ascii="Times New Roman" w:cs="Times New Roman" w:eastAsia="Times New Roman" w:hAnsi="Times New Roman"/>
          <w:sz w:val="18"/>
          <w:szCs w:val="18"/>
          <w:color w:val="auto"/>
        </w:rPr>
        <w:t xml:space="preserve">Digital reading revenues are derived from providing </w:t>
      </w:r>
      <w:r>
        <w:rPr>
          <w:rFonts w:ascii="Times New Roman" w:cs="Times New Roman" w:eastAsia="Times New Roman" w:hAnsi="Times New Roman"/>
          <w:sz w:val="17"/>
          <w:szCs w:val="17"/>
          <w:color w:val="auto"/>
        </w:rPr>
        <w:t>fee-based internet literatures from writers and digital format books licensed from third-party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 xml:space="preserve">publishers to customers on </w:t>
      </w:r>
      <w:r>
        <w:rPr>
          <w:rFonts w:ascii="Times New Roman" w:cs="Times New Roman" w:eastAsia="Times New Roman" w:hAnsi="Times New Roman"/>
          <w:sz w:val="18"/>
          <w:szCs w:val="18"/>
          <w:color w:val="auto"/>
        </w:rPr>
        <w:t>both of the Group’s PC and mobile platforms. Most revenues generated from digital reading are recorded on a gross basis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8"/>
          <w:szCs w:val="18"/>
          <w:color w:val="auto"/>
        </w:rPr>
        <w:t>recognized evenly over the subscription period, or in the period in which a pay-per-view service is provided, as the Group is responsible for providing the desired services to the customers and has primary responsibility and broad discretion to establish price, therefore the Group is considered the primary obligor in these transactions.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Games and others</w:t>
      </w:r>
    </w:p>
    <w:p>
      <w:pPr>
        <w:spacing w:after="0" w:line="227" w:lineRule="exact"/>
        <w:rPr>
          <w:sz w:val="20"/>
          <w:szCs w:val="20"/>
          <w:color w:val="auto"/>
        </w:rPr>
      </w:pPr>
    </w:p>
    <w:p>
      <w:pPr>
        <w:ind w:right="20" w:firstLine="567"/>
        <w:spacing w:after="0" w:line="266" w:lineRule="auto"/>
        <w:rPr>
          <w:sz w:val="20"/>
          <w:szCs w:val="20"/>
          <w:color w:val="auto"/>
        </w:rPr>
      </w:pPr>
      <w:r>
        <w:rPr>
          <w:rFonts w:ascii="Times New Roman" w:cs="Times New Roman" w:eastAsia="Times New Roman" w:hAnsi="Times New Roman"/>
          <w:sz w:val="18"/>
          <w:szCs w:val="18"/>
          <w:color w:val="auto"/>
        </w:rPr>
        <w:t>Games and others include web-based games, mobile games, content sales, and other online and mobile paid services through the Group’s own platforms. Revenues from these services are recognized over the periods in which the services are performed, provided that no significant obligations remain, collection of the receivables is reasonably assured and the amounts can be accurately estimated.</w:t>
      </w:r>
    </w:p>
    <w:p>
      <w:pPr>
        <w:spacing w:after="0" w:line="176" w:lineRule="exact"/>
        <w:rPr>
          <w:sz w:val="20"/>
          <w:szCs w:val="20"/>
          <w:color w:val="auto"/>
        </w:rPr>
      </w:pPr>
    </w:p>
    <w:p>
      <w:pPr>
        <w:ind w:firstLine="567"/>
        <w:spacing w:after="0" w:line="261" w:lineRule="auto"/>
        <w:rPr>
          <w:sz w:val="20"/>
          <w:szCs w:val="20"/>
          <w:color w:val="auto"/>
        </w:rPr>
      </w:pPr>
      <w:r>
        <w:rPr>
          <w:rFonts w:ascii="Times New Roman" w:cs="Times New Roman" w:eastAsia="Times New Roman" w:hAnsi="Times New Roman"/>
          <w:sz w:val="18"/>
          <w:szCs w:val="18"/>
          <w:color w:val="auto"/>
        </w:rPr>
        <w:t>For web-based game services, all of the web-based games provided on the Group’s platform are developed by third-party game developers and can be accessed and played by game players without downloading separate software. The Group primarily views the game developers to be its customers and considers its responsibility under its agreements with the game developers to be promotion of the game developers’ games. The Group collects payments from game players in connection with the sale of in-game virtual currencies and remits certain agreed-upon percentages of the proceeds to the game</w:t>
      </w:r>
    </w:p>
    <w:p>
      <w:pPr>
        <w:sectPr>
          <w:pgSz w:w="11900" w:h="16838" w:orient="portrait"/>
          <w:cols w:equalWidth="0" w:num="1">
            <w:col w:w="11380"/>
          </w:cols>
          <w:pgMar w:left="240" w:top="364" w:right="279" w:bottom="0" w:gutter="0" w:footer="0" w:header="0"/>
        </w:sectPr>
      </w:pPr>
    </w:p>
    <w:bookmarkStart w:id="111" w:name="page112"/>
    <w:bookmarkEnd w:id="111"/>
    <w:p>
      <w:pPr>
        <w:jc w:val="both"/>
        <w:ind w:right="960"/>
        <w:spacing w:after="0" w:line="282" w:lineRule="auto"/>
        <w:rPr>
          <w:sz w:val="20"/>
          <w:szCs w:val="20"/>
          <w:color w:val="auto"/>
        </w:rPr>
      </w:pPr>
      <w:r>
        <w:rPr>
          <w:rFonts w:ascii="Times New Roman" w:cs="Times New Roman" w:eastAsia="Times New Roman" w:hAnsi="Times New Roman"/>
          <w:sz w:val="18"/>
          <w:szCs w:val="18"/>
          <w:color w:val="auto"/>
        </w:rPr>
        <w:t>developers. Revenue from the sale of in-game virtual currency is recorded net of remittances to game developers and deferred until the estimated consumption date of the virtual items, which is within a short period of time, typically a few days, after purchase of the in-game virtual currency.</w:t>
      </w:r>
    </w:p>
    <w:p>
      <w:pPr>
        <w:spacing w:after="0" w:line="162" w:lineRule="exact"/>
        <w:rPr>
          <w:sz w:val="20"/>
          <w:szCs w:val="20"/>
          <w:color w:val="auto"/>
        </w:rPr>
      </w:pPr>
    </w:p>
    <w:p>
      <w:pPr>
        <w:ind w:right="140" w:firstLine="567"/>
        <w:spacing w:after="0" w:line="258" w:lineRule="auto"/>
        <w:rPr>
          <w:sz w:val="20"/>
          <w:szCs w:val="20"/>
          <w:color w:val="auto"/>
        </w:rPr>
      </w:pPr>
      <w:r>
        <w:rPr>
          <w:rFonts w:ascii="Times New Roman" w:cs="Times New Roman" w:eastAsia="Times New Roman" w:hAnsi="Times New Roman"/>
          <w:sz w:val="18"/>
          <w:szCs w:val="18"/>
          <w:color w:val="auto"/>
        </w:rPr>
        <w:t>Mobile games are licensed from third-party developers. The game portfolio includes action, role-playing and casual games operated on smartphone mobile operation systems, such as iOS and Android. The basic game play functions are free of charge, and players are charged for purchases of in-game virtual items, including perpetual and consumable items. Revenues are recognized over the estimated lives of the perpetual items purchased by game players or as the consumable items are consumed. Most mobile game revenues are recorded on a gross basis as the Group is acting as the principal in offering services to the customers in the transactions.</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Group also provides video programming through its online subscription and pay-per-view services to the customers. Revenues from these</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services, which are recorded on a gross basis, are recognized evenly over the subscription period, or in the period in which a pay-per-view service is provided.</w:t>
      </w:r>
    </w:p>
    <w:p>
      <w:pPr>
        <w:spacing w:after="0" w:line="218" w:lineRule="exact"/>
        <w:rPr>
          <w:sz w:val="20"/>
          <w:szCs w:val="20"/>
          <w:color w:val="auto"/>
        </w:rPr>
      </w:pPr>
    </w:p>
    <w:p>
      <w:pPr>
        <w:ind w:firstLine="567"/>
        <w:spacing w:after="0" w:line="255" w:lineRule="auto"/>
        <w:rPr>
          <w:sz w:val="20"/>
          <w:szCs w:val="20"/>
          <w:color w:val="auto"/>
        </w:rPr>
      </w:pPr>
      <w:r>
        <w:rPr>
          <w:rFonts w:ascii="Times New Roman" w:cs="Times New Roman" w:eastAsia="Times New Roman" w:hAnsi="Times New Roman"/>
          <w:sz w:val="18"/>
          <w:szCs w:val="18"/>
          <w:color w:val="auto"/>
        </w:rPr>
        <w:t xml:space="preserve">The Group generates revenues from video content sales agreements for television programming mainly produced by Phoenix TV Group and content purchased from third parties. The video content sales agreements the Group enters into involve the transfer of non-exclusive broadcasting rights to other third-party websites or other Internet and mobile media companies for a definitive license period. In accordance with ASC 926-605, </w:t>
      </w:r>
      <w:r>
        <w:rPr>
          <w:rFonts w:ascii="Times New Roman" w:cs="Times New Roman" w:eastAsia="Times New Roman" w:hAnsi="Times New Roman"/>
          <w:sz w:val="18"/>
          <w:szCs w:val="18"/>
          <w:i w:val="1"/>
          <w:iCs w:val="1"/>
          <w:color w:val="auto"/>
        </w:rPr>
        <w:t>Entertainment-Films, 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Recognition</w:t>
      </w:r>
      <w:r>
        <w:rPr>
          <w:rFonts w:ascii="Times New Roman" w:cs="Times New Roman" w:eastAsia="Times New Roman" w:hAnsi="Times New Roman"/>
          <w:sz w:val="18"/>
          <w:szCs w:val="18"/>
          <w:color w:val="auto"/>
        </w:rPr>
        <w:t>, the Group recognizes revenues in respect of its video content sales arrangements when the following criteria are met: persuasive evidence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video content sales arrangement with a customer exists, the content has been delivered or is available for immediate and unconditional delivery, the sublicense period of the arrangement has begun and the customer can begin its exhibition, the arrangement fee is fixed or determinable, and collection of the arrangement fee is reasonably assured.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240" w:hanging="232"/>
        <w:spacing w:after="0"/>
        <w:tabs>
          <w:tab w:leader="none" w:pos="24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 Cost of revenues</w:t>
      </w:r>
    </w:p>
    <w:p>
      <w:pPr>
        <w:spacing w:after="0" w:line="229" w:lineRule="exact"/>
        <w:rPr>
          <w:sz w:val="20"/>
          <w:szCs w:val="20"/>
          <w:color w:val="auto"/>
        </w:rPr>
      </w:pPr>
    </w:p>
    <w:p>
      <w:pPr>
        <w:ind w:right="200" w:firstLine="567"/>
        <w:spacing w:after="0" w:line="276" w:lineRule="auto"/>
        <w:rPr>
          <w:sz w:val="20"/>
          <w:szCs w:val="20"/>
          <w:color w:val="auto"/>
        </w:rPr>
      </w:pPr>
      <w:r>
        <w:rPr>
          <w:rFonts w:ascii="Times New Roman" w:cs="Times New Roman" w:eastAsia="Times New Roman" w:hAnsi="Times New Roman"/>
          <w:sz w:val="17"/>
          <w:szCs w:val="17"/>
          <w:color w:val="auto"/>
        </w:rPr>
        <w:t>The Group’s cost of revenues consists primarily of (i) revenue sharing fees, including service fees retained by mobile telecommunications operators which are recognized as cost of revenues for revenues recorded on gross basis and revenue sharing fees paid to the Group’s channel and content partners,</w:t>
      </w:r>
    </w:p>
    <w:p>
      <w:pPr>
        <w:spacing w:after="0" w:line="1" w:lineRule="exact"/>
        <w:rPr>
          <w:sz w:val="20"/>
          <w:szCs w:val="20"/>
          <w:color w:val="auto"/>
        </w:rPr>
      </w:pPr>
    </w:p>
    <w:p>
      <w:pPr>
        <w:ind w:right="40" w:firstLine="8"/>
        <w:spacing w:after="0" w:line="253" w:lineRule="auto"/>
        <w:tabs>
          <w:tab w:leader="none" w:pos="26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content and operational costs, including personnel-related cost associated with content production and certain advertisement sales support personnel, content procurement costs to third-party professional media companies and to Phoenix TV Group, direct costs related to in-house content production, channel testing costs, rental cost, depreciation and amortization and other miscellaneous costs, (iii) bandwidth costs, and (iv) sales taxes and surcharges, including business tax and value added tax. The sales taxes and surcharges in cost of revenues for the years ended December 31, 2014, 2015 and 2016 were RMB129.8 million, RMB122.5 million and RMB119.8 million (US$17.3 million), respectively.</w:t>
      </w:r>
    </w:p>
    <w:p>
      <w:pPr>
        <w:spacing w:after="0" w:line="187" w:lineRule="exact"/>
        <w:rPr>
          <w:sz w:val="20"/>
          <w:szCs w:val="20"/>
          <w:color w:val="auto"/>
        </w:rPr>
      </w:pPr>
    </w:p>
    <w:p>
      <w:pPr>
        <w:ind w:right="80" w:firstLine="567"/>
        <w:spacing w:after="0" w:line="253" w:lineRule="auto"/>
        <w:rPr>
          <w:sz w:val="20"/>
          <w:szCs w:val="20"/>
          <w:color w:val="auto"/>
        </w:rPr>
      </w:pPr>
      <w:r>
        <w:rPr>
          <w:rFonts w:ascii="Times New Roman" w:cs="Times New Roman" w:eastAsia="Times New Roman" w:hAnsi="Times New Roman"/>
          <w:sz w:val="18"/>
          <w:szCs w:val="18"/>
          <w:color w:val="auto"/>
        </w:rPr>
        <w:t>On November 16, 2011, Ministry of Finance and the State Administration of Taxation announced the Business Tax to Value Added Tax Transformation Pilot Program, or the VAT Pilot Program. Productive service industries, such as the transportation industry and certain modern services industries, were the first in the pilot regions to implement the VAT Pilot Program. The implementation of the VAT Pilot Program began on January 1, 2012 in Shanghai and on September 1, 2012 in Beijing, and was then expanded to seven other provinces and municipalities by the end of 2012. Commencing on August 1, 2013, the implementation of VAT Pilot Program has expanded to all regions in the PRC. As a result of the VAT Pilot Program, the advertising revenues and other modern services revenues, such as games and others services revenues earned by the Group’s entities and technical service fees paid by VIEs to the Group pursuant to the Contractual Agreement, are subject to value-added tax and surcharges at a rate of approximately 6.7%. On April 29, 2014, a notification (the “Cai Shui [2014] No. 43”) was jointly issued by the Ministry of Finance and State Administration of Taxation of the People’s Republic of China, and as approved by the State Council of the People’s Republic of China, the telecommunications industry was included in the scope of the VAT Pilot Program for the transformation from the business tax to value-added tax from June 1, 2014. As a result, the Group’s MVAS revenues are subject to value-added tax and surcharges at a rate of approximately 6.7% from June 1, 2014.</w:t>
      </w:r>
    </w:p>
    <w:p>
      <w:pPr>
        <w:spacing w:after="0" w:line="193" w:lineRule="exact"/>
        <w:rPr>
          <w:sz w:val="20"/>
          <w:szCs w:val="20"/>
          <w:color w:val="auto"/>
        </w:rPr>
      </w:pPr>
    </w:p>
    <w:p>
      <w:pPr>
        <w:ind w:right="240" w:firstLine="567"/>
        <w:spacing w:after="0" w:line="282" w:lineRule="auto"/>
        <w:rPr>
          <w:sz w:val="20"/>
          <w:szCs w:val="20"/>
          <w:color w:val="auto"/>
        </w:rPr>
      </w:pPr>
      <w:r>
        <w:rPr>
          <w:rFonts w:ascii="Times New Roman" w:cs="Times New Roman" w:eastAsia="Times New Roman" w:hAnsi="Times New Roman"/>
          <w:sz w:val="18"/>
          <w:szCs w:val="18"/>
          <w:color w:val="auto"/>
        </w:rPr>
        <w:t>The Group is also subject to a cultural development fee on the provision of advertising services in the PRC. The applicable tax rate is 3% of the net advertising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 Sales and marketing expenses</w:t>
      </w:r>
    </w:p>
    <w:p>
      <w:pPr>
        <w:spacing w:after="0" w:line="229" w:lineRule="exact"/>
        <w:rPr>
          <w:sz w:val="20"/>
          <w:szCs w:val="20"/>
          <w:color w:val="auto"/>
        </w:rPr>
      </w:pPr>
    </w:p>
    <w:p>
      <w:pPr>
        <w:jc w:val="both"/>
        <w:ind w:right="220" w:firstLine="567"/>
        <w:spacing w:after="0" w:line="261" w:lineRule="auto"/>
        <w:rPr>
          <w:sz w:val="20"/>
          <w:szCs w:val="20"/>
          <w:color w:val="auto"/>
        </w:rPr>
      </w:pPr>
      <w:r>
        <w:rPr>
          <w:rFonts w:ascii="Times New Roman" w:cs="Times New Roman" w:eastAsia="Times New Roman" w:hAnsi="Times New Roman"/>
          <w:sz w:val="18"/>
          <w:szCs w:val="18"/>
          <w:color w:val="auto"/>
        </w:rPr>
        <w:t>Sales and marketing expenses comprise primarily of: (i) personnel-related expenses including sales commissions related to the sales and marketing personnel; (ii) advertising and promotion expenses including traffic acquisition expenses; and (iii) rental expense, depreciation and amortization expenses. The Group expenses advertising costs as incurred. Total advertising expenses were RMB64.4 million, RMB117.9 million and RMB160.1 million (US$23.1 million) for the years ended December 31, 2014, 2015 and 2016,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Technology and product development expenses</w:t>
      </w:r>
    </w:p>
    <w:p>
      <w:pPr>
        <w:spacing w:after="0" w:line="229" w:lineRule="exact"/>
        <w:rPr>
          <w:sz w:val="20"/>
          <w:szCs w:val="20"/>
          <w:color w:val="auto"/>
        </w:rPr>
      </w:pPr>
    </w:p>
    <w:p>
      <w:pPr>
        <w:ind w:right="40" w:firstLine="567"/>
        <w:spacing w:after="0" w:line="266" w:lineRule="auto"/>
        <w:rPr>
          <w:sz w:val="20"/>
          <w:szCs w:val="20"/>
          <w:color w:val="auto"/>
        </w:rPr>
      </w:pPr>
      <w:r>
        <w:rPr>
          <w:rFonts w:ascii="Times New Roman" w:cs="Times New Roman" w:eastAsia="Times New Roman" w:hAnsi="Times New Roman"/>
          <w:sz w:val="18"/>
          <w:szCs w:val="18"/>
          <w:color w:val="auto"/>
        </w:rPr>
        <w:t>Technology and product development expenses mainly consist of: (i) personnel-related expenses associated with the development of, enhancement to, and maintenance of the Group’s websites; (ii) expenses associated with new technology and product development and enhancement; and (iii) rental expense and depreciation of servers. The Group expenses technology and product development expenses as incurred for all the years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 Operating leases</w:t>
      </w:r>
    </w:p>
    <w:p>
      <w:pPr>
        <w:spacing w:after="0" w:line="229" w:lineRule="exact"/>
        <w:rPr>
          <w:sz w:val="20"/>
          <w:szCs w:val="20"/>
          <w:color w:val="auto"/>
        </w:rPr>
      </w:pPr>
    </w:p>
    <w:p>
      <w:pPr>
        <w:jc w:val="both"/>
        <w:ind w:right="360" w:firstLine="567"/>
        <w:spacing w:after="0" w:line="266" w:lineRule="auto"/>
        <w:rPr>
          <w:sz w:val="20"/>
          <w:szCs w:val="20"/>
          <w:color w:val="auto"/>
        </w:rPr>
      </w:pPr>
      <w:r>
        <w:rPr>
          <w:rFonts w:ascii="Times New Roman" w:cs="Times New Roman" w:eastAsia="Times New Roman" w:hAnsi="Times New Roman"/>
          <w:sz w:val="18"/>
          <w:szCs w:val="18"/>
          <w:color w:val="auto"/>
        </w:rPr>
        <w:t>Leases where substantially all the rewards and risks of ownership of assets remain with the lessor are accounted for as operating leases. Payments made under operating leases are charged to the consolidated statements of comprehensive income on a straight-line basis over the lease term. The Group normalizes rental expense on operating leases that involve rent concessions.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112" w:name="page113"/>
    <w:bookmarkEnd w:id="1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240" w:hanging="232"/>
        <w:spacing w:after="0"/>
        <w:tabs>
          <w:tab w:leader="none" w:pos="24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 Share-based compensation</w:t>
      </w:r>
    </w:p>
    <w:p>
      <w:pPr>
        <w:spacing w:after="0" w:line="229" w:lineRule="exact"/>
        <w:rPr>
          <w:sz w:val="20"/>
          <w:szCs w:val="20"/>
          <w:color w:val="auto"/>
        </w:rPr>
      </w:pPr>
    </w:p>
    <w:p>
      <w:pPr>
        <w:ind w:right="80" w:firstLine="567"/>
        <w:spacing w:after="0" w:line="261" w:lineRule="auto"/>
        <w:rPr>
          <w:sz w:val="20"/>
          <w:szCs w:val="20"/>
          <w:color w:val="auto"/>
        </w:rPr>
      </w:pPr>
      <w:r>
        <w:rPr>
          <w:rFonts w:ascii="Times New Roman" w:cs="Times New Roman" w:eastAsia="Times New Roman" w:hAnsi="Times New Roman"/>
          <w:sz w:val="18"/>
          <w:szCs w:val="18"/>
          <w:color w:val="auto"/>
        </w:rPr>
        <w:t>The Company has incentive plans for the granting of share-based awards, including share options, restricted shares and restricted share units. The Company measures the cost of employee services received in exchange for share-based compensation at the grant date fair value of the award. The Company recognizes the share-based compensation as costs or expenses in the consolidated statements of comprehensive income, net of estimated forfeitures, on a graded-vesting basis over the vesting term of the awards.</w:t>
      </w:r>
    </w:p>
    <w:p>
      <w:pPr>
        <w:spacing w:after="0" w:line="180" w:lineRule="exact"/>
        <w:rPr>
          <w:sz w:val="20"/>
          <w:szCs w:val="20"/>
          <w:color w:val="auto"/>
        </w:rPr>
      </w:pPr>
    </w:p>
    <w:p>
      <w:pPr>
        <w:ind w:right="240" w:firstLine="567"/>
        <w:spacing w:after="0" w:line="255" w:lineRule="auto"/>
        <w:rPr>
          <w:sz w:val="20"/>
          <w:szCs w:val="20"/>
          <w:color w:val="auto"/>
        </w:rPr>
      </w:pPr>
      <w:r>
        <w:rPr>
          <w:rFonts w:ascii="Times New Roman" w:cs="Times New Roman" w:eastAsia="Times New Roman" w:hAnsi="Times New Roman"/>
          <w:sz w:val="18"/>
          <w:szCs w:val="18"/>
          <w:color w:val="auto"/>
        </w:rPr>
        <w:t>Cancellation of an award accompanied by the grant of a replacement award is accounted for as a modification of the terms of the cancelled award (“modification awards”). The compensation costs associated with the modification awards are recognized if either the original vesting condition or the new vesting condition has been achieved. Such compensation costs cannot be less than the grant-date fair value of the original award. The incremental compensation cost is measured as the excess of the fair value of the replacement award over the fair value of the cancelled award at the cancellation date. Therefore, in relation to the modification awards, the Company recognizes share-based compensation over the vesting periods of the new awards, which comprises (i) the amortization of the incremental portion of share-based compensation over the remaining vesting term and (ii) any unrecognized compensation cost of original award, using either the original term or the new term, whichever is higher for each reporting period.</w:t>
      </w:r>
    </w:p>
    <w:p>
      <w:pPr>
        <w:spacing w:after="0" w:line="189" w:lineRule="exact"/>
        <w:rPr>
          <w:sz w:val="20"/>
          <w:szCs w:val="20"/>
          <w:color w:val="auto"/>
        </w:rPr>
      </w:pPr>
    </w:p>
    <w:p>
      <w:pPr>
        <w:ind w:right="40" w:firstLine="576"/>
        <w:spacing w:after="0" w:line="266" w:lineRule="auto"/>
        <w:rPr>
          <w:sz w:val="20"/>
          <w:szCs w:val="20"/>
          <w:color w:val="auto"/>
        </w:rPr>
      </w:pPr>
      <w:r>
        <w:rPr>
          <w:rFonts w:ascii="Times New Roman" w:cs="Times New Roman" w:eastAsia="Times New Roman" w:hAnsi="Times New Roman"/>
          <w:sz w:val="18"/>
          <w:szCs w:val="18"/>
          <w:color w:val="auto"/>
        </w:rPr>
        <w:t>The Company adopts the Black-Scholes option pricing model to determine the fair value of share options, and determines the fair value of restricted share and restricted share units based on the fair value of the underlying ordinary shares at the grant date considering the dilutive effect of restricted share and restricted share units.</w:t>
      </w:r>
    </w:p>
    <w:p>
      <w:pPr>
        <w:spacing w:after="0" w:line="176" w:lineRule="exact"/>
        <w:rPr>
          <w:sz w:val="20"/>
          <w:szCs w:val="20"/>
          <w:color w:val="auto"/>
        </w:rPr>
      </w:pPr>
    </w:p>
    <w:p>
      <w:pPr>
        <w:jc w:val="both"/>
        <w:ind w:right="60" w:firstLine="576"/>
        <w:spacing w:after="0" w:line="266" w:lineRule="auto"/>
        <w:rPr>
          <w:sz w:val="20"/>
          <w:szCs w:val="20"/>
          <w:color w:val="auto"/>
        </w:rPr>
      </w:pPr>
      <w:r>
        <w:rPr>
          <w:rFonts w:ascii="Times New Roman" w:cs="Times New Roman" w:eastAsia="Times New Roman" w:hAnsi="Times New Roman"/>
          <w:sz w:val="18"/>
          <w:szCs w:val="18"/>
          <w:color w:val="auto"/>
        </w:rPr>
        <w:t>Forfeiture rates are estimated at the time of grant and revised, if necessary, in subsequent periods if actual forfeitures differ from initial estimates. The Group uses historical data to estimate pre-vesting option and restricted share units forfeitures and record share-based compensation only for those awards that are expected to vest. Refer to Note 17 for further information regarding share-based compensation assumptions and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 Income taxes</w:t>
      </w:r>
    </w:p>
    <w:p>
      <w:pPr>
        <w:spacing w:after="0" w:line="229" w:lineRule="exact"/>
        <w:rPr>
          <w:sz w:val="20"/>
          <w:szCs w:val="20"/>
          <w:color w:val="auto"/>
        </w:rPr>
      </w:pPr>
    </w:p>
    <w:p>
      <w:pPr>
        <w:ind w:right="120" w:firstLine="567"/>
        <w:spacing w:after="0" w:line="255" w:lineRule="auto"/>
        <w:rPr>
          <w:sz w:val="20"/>
          <w:szCs w:val="20"/>
          <w:color w:val="auto"/>
        </w:rPr>
      </w:pPr>
      <w:r>
        <w:rPr>
          <w:rFonts w:ascii="Times New Roman" w:cs="Times New Roman" w:eastAsia="Times New Roman" w:hAnsi="Times New Roman"/>
          <w:sz w:val="18"/>
          <w:szCs w:val="18"/>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 Deferred income taxes are provided using an asset and liability method. Under this method, deferred income taxes are recognized for the tax consequences of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 The effect on deferred taxes of a change in tax rates is recognized in the consolidated statements of comprehensive income in the period of change. A valuation allowance is provided to reduce the amount of deferred tax assets if it is considered more likely than not that some portion of, or all of the deferred tax assets will not be realized.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25" w:lineRule="exact"/>
        <w:rPr>
          <w:sz w:val="20"/>
          <w:szCs w:val="20"/>
          <w:color w:val="auto"/>
        </w:rPr>
      </w:pPr>
    </w:p>
    <w:p>
      <w:pPr>
        <w:ind w:firstLine="567"/>
        <w:spacing w:after="0" w:line="259" w:lineRule="auto"/>
        <w:rPr>
          <w:sz w:val="20"/>
          <w:szCs w:val="20"/>
          <w:color w:val="auto"/>
        </w:rPr>
      </w:pPr>
      <w:r>
        <w:rPr>
          <w:rFonts w:ascii="Times New Roman" w:cs="Times New Roman" w:eastAsia="Times New Roman" w:hAnsi="Times New Roman"/>
          <w:sz w:val="18"/>
          <w:szCs w:val="18"/>
          <w:color w:val="auto"/>
        </w:rPr>
        <w:t xml:space="preserve">The Group adopted the provisions of ASC 740-10, </w:t>
      </w:r>
      <w:r>
        <w:rPr>
          <w:rFonts w:ascii="Times New Roman" w:cs="Times New Roman" w:eastAsia="Times New Roman" w:hAnsi="Times New Roman"/>
          <w:sz w:val="18"/>
          <w:szCs w:val="18"/>
          <w:i w:val="1"/>
          <w:iCs w:val="1"/>
          <w:color w:val="auto"/>
        </w:rPr>
        <w:t>Income Taxes: Overall</w:t>
      </w:r>
      <w:r>
        <w:rPr>
          <w:rFonts w:ascii="Times New Roman" w:cs="Times New Roman" w:eastAsia="Times New Roman" w:hAnsi="Times New Roman"/>
          <w:sz w:val="18"/>
          <w:szCs w:val="18"/>
          <w:color w:val="auto"/>
        </w:rPr>
        <w:t>, on January 1, 2007, which clarified the accounting for uncertainty in income taxes by prescribing the recognition and measurement thresholds a tax position is required to meet before being recognized in the financial statements. The guidance prescribes a more likely than not threshold for financial statement recognition and measurement of a tax position taken or expected to be taken in a tax return. Significant judgment is required in evaluating the Group’s uncertain tax positions and determining its provision for income taxes. Refer to Note 15 for details of the Group’s tax positions.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 Employee social security and welfare benefits</w:t>
      </w:r>
    </w:p>
    <w:p>
      <w:pPr>
        <w:spacing w:after="0" w:line="229" w:lineRule="exact"/>
        <w:rPr>
          <w:sz w:val="20"/>
          <w:szCs w:val="20"/>
          <w:color w:val="auto"/>
        </w:rPr>
      </w:pPr>
    </w:p>
    <w:p>
      <w:pPr>
        <w:ind w:right="40" w:firstLine="567"/>
        <w:spacing w:after="0" w:line="255" w:lineRule="auto"/>
        <w:rPr>
          <w:sz w:val="20"/>
          <w:szCs w:val="20"/>
          <w:color w:val="auto"/>
        </w:rPr>
      </w:pPr>
      <w:r>
        <w:rPr>
          <w:rFonts w:ascii="Times New Roman" w:cs="Times New Roman" w:eastAsia="Times New Roman" w:hAnsi="Times New Roman"/>
          <w:sz w:val="18"/>
          <w:szCs w:val="18"/>
          <w:color w:val="auto"/>
        </w:rPr>
        <w:t>Full-time employees of the Group in the PRC are entitled to staff welfare benefits including pension, work-related injury benefits, maternity insurance, medical insurance, unemployment benefit and housing fund plans through a PRC government-mandated multi-employer defined contribution plan. The Group is required to accrue for these benefits based on certain percentages of the employees’ salaries, up to a maximum amount specified by the local government. The Group is required to make contributions to the plans out of the amounts accrued. The PRC government is responsible for the medical benefits and the pension liability to be paid to these employees and the Group’s obligations are limited to the amounts contributed. Employee social security and welfare benefits included as cost and expenses in the consolidated statements of comprehensive income were RMB73.7 million, RMB75.6 million and RMB72.6 million (US$10.5 million) for the years ended December 31, 2014, 2015 and 2016,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240" w:hanging="232"/>
        <w:spacing w:after="0"/>
        <w:tabs>
          <w:tab w:leader="none" w:pos="24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(x) Other income — Others, net</w:t>
      </w:r>
    </w:p>
    <w:p>
      <w:pPr>
        <w:spacing w:after="0" w:line="229" w:lineRule="exact"/>
        <w:rPr>
          <w:sz w:val="20"/>
          <w:szCs w:val="20"/>
          <w:color w:val="auto"/>
        </w:rPr>
      </w:pPr>
    </w:p>
    <w:p>
      <w:pPr>
        <w:ind w:right="120" w:firstLine="567"/>
        <w:spacing w:after="0" w:line="282" w:lineRule="auto"/>
        <w:rPr>
          <w:sz w:val="20"/>
          <w:szCs w:val="20"/>
          <w:color w:val="auto"/>
        </w:rPr>
      </w:pPr>
      <w:r>
        <w:rPr>
          <w:rFonts w:ascii="Times New Roman" w:cs="Times New Roman" w:eastAsia="Times New Roman" w:hAnsi="Times New Roman"/>
          <w:sz w:val="18"/>
          <w:szCs w:val="18"/>
          <w:color w:val="auto"/>
        </w:rPr>
        <w:t>Others, net mainly represent government subsidies which primarily consist of financial subsidies received from provincial and local governments for operating a business in their jurisdictions. Such income has been recognized when the grants are received and no further conditions need to be met.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 Statutory reserves</w:t>
      </w:r>
    </w:p>
    <w:p>
      <w:pPr>
        <w:sectPr>
          <w:pgSz w:w="11900" w:h="16838" w:orient="portrait"/>
          <w:cols w:equalWidth="0" w:num="1">
            <w:col w:w="11420"/>
          </w:cols>
          <w:pgMar w:left="240" w:top="364" w:right="239" w:bottom="0" w:gutter="0" w:footer="0" w:header="0"/>
        </w:sectPr>
      </w:pPr>
    </w:p>
    <w:bookmarkStart w:id="113" w:name="page114"/>
    <w:bookmarkEnd w:id="113"/>
    <w:p>
      <w:pPr>
        <w:spacing w:after="0" w:line="13" w:lineRule="exact"/>
        <w:rPr>
          <w:sz w:val="20"/>
          <w:szCs w:val="20"/>
          <w:color w:val="auto"/>
        </w:rPr>
      </w:pPr>
    </w:p>
    <w:p>
      <w:pPr>
        <w:ind w:right="240" w:firstLine="567"/>
        <w:spacing w:after="0" w:line="255" w:lineRule="auto"/>
        <w:rPr>
          <w:sz w:val="20"/>
          <w:szCs w:val="20"/>
          <w:color w:val="auto"/>
        </w:rPr>
      </w:pPr>
      <w:r>
        <w:rPr>
          <w:rFonts w:ascii="Times New Roman" w:cs="Times New Roman" w:eastAsia="Times New Roman" w:hAnsi="Times New Roman"/>
          <w:sz w:val="18"/>
          <w:szCs w:val="18"/>
          <w:color w:val="auto"/>
        </w:rPr>
        <w:t>In accordance with the laws applicable to China’s Foreign Investment Enterprises, those of the Company’s China-based subsidiaries that are considered under PRC law to be a wholly foreign-owned enterprise are required to make appropriations from their after-tax profit (as determined under the Accounting Standards for Business Enterprises as promulgated by the Ministry of Finance of the People’s Republic of China (“PRC GAAP”)) to non-distributable reserve funds including (i) general reserve fund, (ii) enterprise expansion fund and (iii) staff bonus and welfare fund. The appropriation to the general reserve fund must be at least 10% of the after-tax profits calculated in accordance with PRC GAAP. Appropriation is not required if the general reserve fund has reached 50% of the registered capital of the respective company. Appropriations to the other two reserve funds are at the respective companies’ discretion.</w:t>
      </w:r>
    </w:p>
    <w:p>
      <w:pPr>
        <w:spacing w:after="0" w:line="189" w:lineRule="exact"/>
        <w:rPr>
          <w:sz w:val="20"/>
          <w:szCs w:val="20"/>
          <w:color w:val="auto"/>
        </w:rPr>
      </w:pPr>
    </w:p>
    <w:p>
      <w:pPr>
        <w:ind w:firstLine="567"/>
        <w:spacing w:after="0" w:line="258" w:lineRule="auto"/>
        <w:rPr>
          <w:sz w:val="20"/>
          <w:szCs w:val="20"/>
          <w:color w:val="auto"/>
        </w:rPr>
      </w:pPr>
      <w:r>
        <w:rPr>
          <w:rFonts w:ascii="Times New Roman" w:cs="Times New Roman" w:eastAsia="Times New Roman" w:hAnsi="Times New Roman"/>
          <w:sz w:val="18"/>
          <w:szCs w:val="18"/>
          <w:color w:val="auto"/>
        </w:rPr>
        <w:t>In accordance with the China Company Laws, those of the Company’s China-based subsidiaries that are considered under PRC law to be domestically funded enterprises, as well as the Company’s VIEs are required to make appropriations from their after-tax profit (as determined under PRC GAAP) to non-distributable reserve funds including (i) statutory surplus fund and (ii) discretionary surplus fund. The appropriation to the statutory surplus fund must be at least 10% of the after-tax profits calculated in accordance with PRC GAAP. Appropriation is not required if the statutory surplus fund has reached 50% of the registered capital of the respective company. Appropriation to the discretionary surplus fund is at the discretion of the respective company.</w:t>
      </w:r>
    </w:p>
    <w:p>
      <w:pPr>
        <w:spacing w:after="0" w:line="184" w:lineRule="exact"/>
        <w:rPr>
          <w:sz w:val="20"/>
          <w:szCs w:val="20"/>
          <w:color w:val="auto"/>
        </w:rPr>
      </w:pPr>
    </w:p>
    <w:p>
      <w:pPr>
        <w:jc w:val="both"/>
        <w:ind w:right="500" w:firstLine="567"/>
        <w:spacing w:after="0" w:line="266" w:lineRule="auto"/>
        <w:rPr>
          <w:sz w:val="20"/>
          <w:szCs w:val="20"/>
          <w:color w:val="auto"/>
        </w:rPr>
      </w:pPr>
      <w:r>
        <w:rPr>
          <w:rFonts w:ascii="Times New Roman" w:cs="Times New Roman" w:eastAsia="Times New Roman" w:hAnsi="Times New Roman"/>
          <w:sz w:val="18"/>
          <w:szCs w:val="18"/>
          <w:color w:val="auto"/>
        </w:rPr>
        <w:t>General reserve fund and statutory surplus fund are restricted for set off against losses, expansion of production and operation or increase in the registered capital of the respective company. The Group has made appropriations of RMB15.6 million, RMB4.3 million and RMB7.6 million (US$1.1 million) to these funds for the years ended December 31, 2014, 2015 and 2016,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 Related parties</w:t>
      </w:r>
    </w:p>
    <w:p>
      <w:pPr>
        <w:spacing w:after="0" w:line="229" w:lineRule="exact"/>
        <w:rPr>
          <w:sz w:val="20"/>
          <w:szCs w:val="20"/>
          <w:color w:val="auto"/>
        </w:rPr>
      </w:pPr>
    </w:p>
    <w:p>
      <w:pPr>
        <w:ind w:right="260" w:firstLine="567"/>
        <w:spacing w:after="0" w:line="266" w:lineRule="auto"/>
        <w:rPr>
          <w:sz w:val="20"/>
          <w:szCs w:val="20"/>
          <w:color w:val="auto"/>
        </w:rPr>
      </w:pPr>
      <w:r>
        <w:rPr>
          <w:rFonts w:ascii="Times New Roman" w:cs="Times New Roman" w:eastAsia="Times New Roman" w:hAnsi="Times New Roman"/>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(aa) Dividends</w:t>
      </w:r>
    </w:p>
    <w:p>
      <w:pPr>
        <w:spacing w:after="0" w:line="229" w:lineRule="exact"/>
        <w:rPr>
          <w:sz w:val="20"/>
          <w:szCs w:val="20"/>
          <w:color w:val="auto"/>
        </w:rPr>
      </w:pPr>
    </w:p>
    <w:p>
      <w:pPr>
        <w:ind w:right="60" w:firstLine="567"/>
        <w:spacing w:after="0" w:line="266" w:lineRule="auto"/>
        <w:rPr>
          <w:sz w:val="20"/>
          <w:szCs w:val="20"/>
          <w:color w:val="auto"/>
        </w:rPr>
      </w:pPr>
      <w:r>
        <w:rPr>
          <w:rFonts w:ascii="Times New Roman" w:cs="Times New Roman" w:eastAsia="Times New Roman" w:hAnsi="Times New Roman"/>
          <w:sz w:val="18"/>
          <w:szCs w:val="18"/>
          <w:color w:val="auto"/>
        </w:rPr>
        <w:t>Dividends are recognized when declared. No dividends were declared for the years ended December 31, 2014, 2015 and 2016, respectively. The Group does not have any present plan to pay dividends in the foreseeable future. The Group currently intends to retain the available funds and future earnings to operate and expand its business.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right="7960" w:firstLine="8"/>
        <w:spacing w:after="0" w:line="502" w:lineRule="auto"/>
        <w:tabs>
          <w:tab w:leader="none" w:pos="225"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 (ab) Net income per share</w:t>
      </w:r>
    </w:p>
    <w:p>
      <w:pPr>
        <w:ind w:right="40" w:firstLine="567"/>
        <w:spacing w:after="0" w:line="267" w:lineRule="auto"/>
        <w:rPr>
          <w:sz w:val="20"/>
          <w:szCs w:val="20"/>
          <w:color w:val="auto"/>
        </w:rPr>
      </w:pPr>
      <w:r>
        <w:rPr>
          <w:rFonts w:ascii="Times New Roman" w:cs="Times New Roman" w:eastAsia="Times New Roman" w:hAnsi="Times New Roman"/>
          <w:sz w:val="18"/>
          <w:szCs w:val="18"/>
          <w:color w:val="auto"/>
        </w:rPr>
        <w:t xml:space="preserve">The Group computes net income per Class A and Class B ordinary share in accordance with ASC 260-10, </w:t>
      </w:r>
      <w:r>
        <w:rPr>
          <w:rFonts w:ascii="Times New Roman" w:cs="Times New Roman" w:eastAsia="Times New Roman" w:hAnsi="Times New Roman"/>
          <w:sz w:val="18"/>
          <w:szCs w:val="18"/>
          <w:i w:val="1"/>
          <w:iCs w:val="1"/>
          <w:color w:val="auto"/>
        </w:rPr>
        <w:t>Earnings Per Share: Overall</w:t>
      </w:r>
      <w:r>
        <w:rPr>
          <w:rFonts w:ascii="Times New Roman" w:cs="Times New Roman" w:eastAsia="Times New Roman" w:hAnsi="Times New Roman"/>
          <w:sz w:val="18"/>
          <w:szCs w:val="18"/>
          <w:color w:val="auto"/>
        </w:rPr>
        <w:t>, using the two class method. Under the two-class method, net income is allocated between ordinary shares and other participating securities based on their participating rights. Net losses are not allocated to other participating securities if based on their contractual terms they are not obligated to share in the losses.</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liquidation and dividend rights of the holders of the Company’s Class A and Class B ordinary shares are identical, except with respect to voting.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liquidation and dividend rights are identical, the net incomes are allocated on a proportionate basis.</w:t>
      </w:r>
    </w:p>
    <w:p>
      <w:pPr>
        <w:spacing w:after="0" w:line="207" w:lineRule="exact"/>
        <w:rPr>
          <w:sz w:val="20"/>
          <w:szCs w:val="20"/>
          <w:color w:val="auto"/>
        </w:rPr>
      </w:pPr>
    </w:p>
    <w:p>
      <w:pPr>
        <w:jc w:val="both"/>
        <w:ind w:right="380" w:firstLine="567"/>
        <w:spacing w:after="0" w:line="266" w:lineRule="auto"/>
        <w:rPr>
          <w:sz w:val="20"/>
          <w:szCs w:val="20"/>
          <w:color w:val="auto"/>
        </w:rPr>
      </w:pPr>
      <w:r>
        <w:rPr>
          <w:rFonts w:ascii="Times New Roman" w:cs="Times New Roman" w:eastAsia="Times New Roman" w:hAnsi="Times New Roman"/>
          <w:sz w:val="18"/>
          <w:szCs w:val="18"/>
          <w:color w:val="auto"/>
        </w:rPr>
        <w:t>Basic net income per share is computed by dividing net income attributable to ordinary shareholders by the weighted average number of ordinary shares and contingently issuable shares outstanding during the period except that it does not include unvested restricted shares and repurchased ordinary shares subject to cancellation.</w:t>
      </w:r>
    </w:p>
    <w:p>
      <w:pPr>
        <w:spacing w:after="0" w:line="176" w:lineRule="exact"/>
        <w:rPr>
          <w:sz w:val="20"/>
          <w:szCs w:val="20"/>
          <w:color w:val="auto"/>
        </w:rPr>
      </w:pPr>
    </w:p>
    <w:p>
      <w:pPr>
        <w:ind w:right="140" w:firstLine="567"/>
        <w:spacing w:after="0" w:line="266" w:lineRule="auto"/>
        <w:rPr>
          <w:sz w:val="20"/>
          <w:szCs w:val="20"/>
          <w:color w:val="auto"/>
        </w:rPr>
      </w:pPr>
      <w:r>
        <w:rPr>
          <w:rFonts w:ascii="Times New Roman" w:cs="Times New Roman" w:eastAsia="Times New Roman" w:hAnsi="Times New Roman"/>
          <w:sz w:val="18"/>
          <w:szCs w:val="18"/>
          <w:color w:val="auto"/>
        </w:rPr>
        <w:t>Diluted net income per share is calculated by dividing net income attributable to ordinary shareholders, as adjusted for the effect of dilutive potential ordinary shares, if any, by the weighted average number of ordinary shares outstanding and dilutive potential ordinary shares during the period. Potential ordinary shares are excluded in the denominator of the diluted net income per share calculation if their effects would be anti-dilutive.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 Treasury stock</w:t>
      </w:r>
    </w:p>
    <w:p>
      <w:pPr>
        <w:spacing w:after="0" w:line="227" w:lineRule="exact"/>
        <w:rPr>
          <w:sz w:val="20"/>
          <w:szCs w:val="20"/>
          <w:color w:val="auto"/>
        </w:rPr>
      </w:pPr>
    </w:p>
    <w:p>
      <w:pPr>
        <w:ind w:right="40" w:firstLine="576"/>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accounted for those shares repurchased as treasury stock at cost in accordance with ASC 505-30, </w:t>
      </w:r>
      <w:r>
        <w:rPr>
          <w:rFonts w:ascii="Times New Roman" w:cs="Times New Roman" w:eastAsia="Times New Roman" w:hAnsi="Times New Roman"/>
          <w:sz w:val="18"/>
          <w:szCs w:val="18"/>
          <w:i w:val="1"/>
          <w:iCs w:val="1"/>
          <w:color w:val="auto"/>
        </w:rPr>
        <w:t>Treasury Stock</w:t>
      </w:r>
      <w:r>
        <w:rPr>
          <w:rFonts w:ascii="Times New Roman" w:cs="Times New Roman" w:eastAsia="Times New Roman" w:hAnsi="Times New Roman"/>
          <w:sz w:val="18"/>
          <w:szCs w:val="18"/>
          <w:color w:val="auto"/>
        </w:rPr>
        <w:t>, and is shown separately in the shareholders’ equity as the Company has not yet decided on the ultimate disposition of those shares acquired. When the Company decides to cancel the treasury stock, the difference between the original issuance price and the repurchase price is debited into additional paid-in capital. Refer to Note 21 for details.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 Comprehensive income</w:t>
      </w:r>
    </w:p>
    <w:p>
      <w:pPr>
        <w:spacing w:after="0" w:line="229" w:lineRule="exact"/>
        <w:rPr>
          <w:sz w:val="20"/>
          <w:szCs w:val="20"/>
          <w:color w:val="auto"/>
        </w:rPr>
      </w:pPr>
    </w:p>
    <w:p>
      <w:pPr>
        <w:jc w:val="both"/>
        <w:ind w:right="160" w:firstLine="567"/>
        <w:spacing w:after="0" w:line="261" w:lineRule="auto"/>
        <w:rPr>
          <w:sz w:val="20"/>
          <w:szCs w:val="20"/>
          <w:color w:val="auto"/>
        </w:rPr>
      </w:pPr>
      <w:r>
        <w:rPr>
          <w:rFonts w:ascii="Times New Roman" w:cs="Times New Roman" w:eastAsia="Times New Roman" w:hAnsi="Times New Roman"/>
          <w:sz w:val="18"/>
          <w:szCs w:val="18"/>
          <w:color w:val="auto"/>
        </w:rPr>
        <w:t>Comprehensive income is defined as the change in equity of the Group during a period arising from transactions and other events and circumstances excluding transactions resulting from investments by shareholders and distributions to shareholders. Comprehensive income is reported in the consolidated statements of comprehensive income. Accumulated other comprehensive loss or income, as presented on the Group’s consolidated balance sheets, includes the foreign currency translation adjustment and fair value remeasurement for available-for-sale investments.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 Segment reporting</w:t>
      </w:r>
    </w:p>
    <w:p>
      <w:pPr>
        <w:spacing w:after="0" w:line="229" w:lineRule="exact"/>
        <w:rPr>
          <w:sz w:val="20"/>
          <w:szCs w:val="20"/>
          <w:color w:val="auto"/>
        </w:rPr>
      </w:pPr>
    </w:p>
    <w:p>
      <w:pPr>
        <w:ind w:right="20" w:firstLine="567"/>
        <w:spacing w:after="0" w:line="266" w:lineRule="auto"/>
        <w:rPr>
          <w:sz w:val="20"/>
          <w:szCs w:val="20"/>
          <w:color w:val="auto"/>
        </w:rPr>
      </w:pPr>
      <w:r>
        <w:rPr>
          <w:rFonts w:ascii="Times New Roman" w:cs="Times New Roman" w:eastAsia="Times New Roman" w:hAnsi="Times New Roman"/>
          <w:sz w:val="18"/>
          <w:szCs w:val="18"/>
          <w:color w:val="auto"/>
        </w:rPr>
        <w:t>Our Group’s segments are business units that offer different services and are reviewed separately by the chief operating decision maker (the “CODM”) in deciding how to allocate resources and in assessing performance. The Group’s CODM has been identified as the Chief Executive Officer. As the Group’s long-lived assets and revenues are substantially located in and derived from the PRC, no geographical segments are presented.</w:t>
      </w:r>
    </w:p>
    <w:p>
      <w:pPr>
        <w:sectPr>
          <w:pgSz w:w="11900" w:h="16851" w:orient="portrait"/>
          <w:cols w:equalWidth="0" w:num="1">
            <w:col w:w="11420"/>
          </w:cols>
          <w:pgMar w:left="240" w:top="121" w:right="239" w:bottom="0" w:gutter="0" w:footer="0" w:header="0"/>
        </w:sectPr>
      </w:pPr>
    </w:p>
    <w:bookmarkStart w:id="114" w:name="page115"/>
    <w:bookmarkEnd w:id="114"/>
    <w:p>
      <w:pPr>
        <w:spacing w:after="0" w:line="28" w:lineRule="exact"/>
        <w:rPr>
          <w:sz w:val="20"/>
          <w:szCs w:val="20"/>
          <w:color w:val="auto"/>
        </w:rPr>
      </w:pPr>
    </w:p>
    <w:p>
      <w:pPr>
        <w:ind w:right="140" w:firstLine="567"/>
        <w:spacing w:after="0" w:line="266" w:lineRule="auto"/>
        <w:rPr>
          <w:sz w:val="20"/>
          <w:szCs w:val="20"/>
          <w:color w:val="auto"/>
        </w:rPr>
      </w:pPr>
      <w:r>
        <w:rPr>
          <w:rFonts w:ascii="Times New Roman" w:cs="Times New Roman" w:eastAsia="Times New Roman" w:hAnsi="Times New Roman"/>
          <w:sz w:val="18"/>
          <w:szCs w:val="18"/>
          <w:color w:val="auto"/>
        </w:rPr>
        <w:t>The Group’s organizational structure is based on a number of factors that the CODM uses to evaluate, view and run the Group’s business operations, which include, but are not limited to, customer base, homogeneity of products and technology. The Group’s operating segments are based on its organizational structure and information reviewed by the Group’s CODM to evaluate the operating segment results.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jc w:val="center"/>
        <w:ind w:right="7700" w:firstLine="8"/>
        <w:spacing w:after="0" w:line="501" w:lineRule="auto"/>
        <w:tabs>
          <w:tab w:leader="none" w:pos="225"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 (af) Recently issued accounting pronouncements</w:t>
      </w:r>
    </w:p>
    <w:p>
      <w:pPr>
        <w:ind w:firstLine="54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May 2014, the FASB issued Accounting Standards Update (“ASU”) 2014-09,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Revenue from Contracts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with Customers (Topic 606). </w:t>
      </w:r>
      <w:r>
        <w:rPr>
          <w:rFonts w:ascii="Times New Roman" w:cs="Times New Roman" w:eastAsia="Times New Roman" w:hAnsi="Times New Roman"/>
          <w:sz w:val="18"/>
          <w:szCs w:val="18"/>
          <w:color w:val="auto"/>
        </w:rPr>
        <w:t>This guidance supersedes current guidance on revenue recognition in Topic 605:</w:t>
      </w:r>
      <w:r>
        <w:rPr>
          <w:rFonts w:ascii="Times New Roman" w:cs="Times New Roman" w:eastAsia="Times New Roman" w:hAnsi="Times New Roman"/>
          <w:sz w:val="18"/>
          <w:szCs w:val="18"/>
          <w:i w:val="1"/>
          <w:iCs w:val="1"/>
          <w:color w:val="auto"/>
        </w:rPr>
        <w:t xml:space="preserve"> Revenue Recognition</w:t>
      </w:r>
      <w:r>
        <w:rPr>
          <w:rFonts w:ascii="Times New Roman" w:cs="Times New Roman" w:eastAsia="Times New Roman" w:hAnsi="Times New Roman"/>
          <w:sz w:val="18"/>
          <w:szCs w:val="18"/>
          <w:color w:val="auto"/>
        </w:rPr>
        <w:t>. In addition, there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requirements related to the nature, amount, timing, and uncertainty of revenue recognition. In August 2015, the FASB issued ASU 2015-14 to defer the effective date of ASU 2014-09 for all entities by one year. For public business entities that follow U.S. GAAP, the deferral results in the new revenue standard are being effective for fiscal years, and interim periods within those fiscal years, beginning after December 15, 2017, with early adoption permitted for interim and annual periods beginning after December 15, 2016. The Group will apply the new revenue standard beginning January 1, 2018, and will not early adopt. The Group has set up an implementation team that is currently in the process of analyzing each of the Group’s revenue streams in accordance with the new revenue standard to determine the impact on the Group’s consolidated financial statements. The Group plans to continue the evaluation, analysis, and documentation of its adoption of ASU 2014-09 (including those subsequently issued updates that clarify ASU 2014-09’s provisions) throughout 2017 as the Group works towards the implementation and finalizes its determination of the impact that the adoption will have on its consolidated financial statements.</w:t>
      </w:r>
    </w:p>
    <w:p>
      <w:pPr>
        <w:spacing w:after="0" w:line="183" w:lineRule="exact"/>
        <w:rPr>
          <w:sz w:val="20"/>
          <w:szCs w:val="20"/>
          <w:color w:val="auto"/>
        </w:rPr>
      </w:pPr>
    </w:p>
    <w:p>
      <w:pPr>
        <w:ind w:right="80" w:firstLine="54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Balance Sheet Classification of Deferred Taxes. </w:t>
      </w:r>
      <w:r>
        <w:rPr>
          <w:rFonts w:ascii="Times New Roman" w:cs="Times New Roman" w:eastAsia="Times New Roman" w:hAnsi="Times New Roman"/>
          <w:sz w:val="18"/>
          <w:szCs w:val="18"/>
          <w:color w:val="auto"/>
        </w:rPr>
        <w:t>In November 2015, the FASB issued ASU 2015-17,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Income Taxes (Topic 740): Balance Sheet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Classification of Deferred Taxes</w:t>
      </w:r>
      <w:r>
        <w:rPr>
          <w:rFonts w:ascii="Times New Roman" w:cs="Times New Roman" w:eastAsia="Times New Roman" w:hAnsi="Times New Roman"/>
          <w:sz w:val="18"/>
          <w:szCs w:val="18"/>
          <w:color w:val="auto"/>
        </w:rPr>
        <w:t>, which simplifies the presentation of deferred income taxes by requiring deferred tax assets and liabilities to be classified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noncurrent on the balance sheet. The amendments in this update are effective for financial statements issued for annual periods beginning after December 15, 2016, and interim periods within those annual periods. Early adoption is permitted. Additionally, the new guidance may be applied either prospectively to all deferred tax liabilities and assets or retrospectively to all periods presented. The Group does not expect this standard to have a material impact on its consolidated financial statements and will adopt this guidance prospectively from the first quarter of 2017. As of December 31, 2016, deferred tax assets and deferred tax liabilities amounted to RMB54.3 million (US$7.8 million) and nil, respectively were classified as current.</w:t>
      </w:r>
    </w:p>
    <w:p>
      <w:pPr>
        <w:spacing w:after="0" w:line="183" w:lineRule="exact"/>
        <w:rPr>
          <w:sz w:val="20"/>
          <w:szCs w:val="20"/>
          <w:color w:val="auto"/>
        </w:rPr>
      </w:pPr>
    </w:p>
    <w:p>
      <w:pPr>
        <w:ind w:right="20" w:firstLine="54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Recognition and Measurement of Financial Assets and Financial Liabilities. </w:t>
      </w:r>
      <w:r>
        <w:rPr>
          <w:rFonts w:ascii="Times New Roman" w:cs="Times New Roman" w:eastAsia="Times New Roman" w:hAnsi="Times New Roman"/>
          <w:sz w:val="18"/>
          <w:szCs w:val="18"/>
          <w:color w:val="auto"/>
        </w:rPr>
        <w:t>On January 5, 2016, the FASB issued ASU 2016-01,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Recognition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Measurement of Financial Assets and Financial Liabilities</w:t>
      </w:r>
      <w:r>
        <w:rPr>
          <w:rFonts w:ascii="Times New Roman" w:cs="Times New Roman" w:eastAsia="Times New Roman" w:hAnsi="Times New Roman"/>
          <w:sz w:val="18"/>
          <w:szCs w:val="18"/>
          <w:color w:val="auto"/>
        </w:rPr>
        <w:t>, which amends certain aspects of recognition, measurement, presentation and disclosure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instruments. This amendment requires all equity investments to be measured at fair value, with changes in the fair value recognized through net income (other than those accounted for under equity method of accounting or those that result in consolidation of the investee). This standard will be effective for fiscal years beginning after December 15, 2017, including interim periods within those fiscal years. The Group is currently evaluating the impact of adopting this standard on its consolidated financial statements.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On February 25, 2016, the FASB issued ASU No. 2016-02</w:t>
      </w:r>
      <w:r>
        <w:rPr>
          <w:rFonts w:ascii="Times New Roman" w:cs="Times New Roman" w:eastAsia="Times New Roman" w:hAnsi="Times New Roman"/>
          <w:sz w:val="18"/>
          <w:szCs w:val="18"/>
          <w:i w:val="1"/>
          <w:iCs w:val="1"/>
          <w:color w:val="auto"/>
        </w:rPr>
        <w:t>, Leases</w:t>
      </w:r>
      <w:r>
        <w:rPr>
          <w:rFonts w:ascii="Times New Roman" w:cs="Times New Roman" w:eastAsia="Times New Roman" w:hAnsi="Times New Roman"/>
          <w:sz w:val="18"/>
          <w:szCs w:val="18"/>
          <w:color w:val="auto"/>
        </w:rPr>
        <w:t>. ASU 2016-02 specifies the accounting for leases. For operating</w:t>
      </w:r>
    </w:p>
    <w:p>
      <w:pPr>
        <w:spacing w:after="0" w:line="31"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leases, ASU 2016-02 requires a lessee to recognize a right-of-use asset and a lease liability, initially measured at the present value of the lease payments, in its balance sheet. The standard also requires a lessee to recognize a single lease cost, calculated so that the cost of the lease is allocated over the lease term, on a generally straight-line basis. In addition, this standard requires both lessees and lessors to disclose certain key information about lease transactions. ASU</w:t>
      </w:r>
    </w:p>
    <w:p>
      <w:pPr>
        <w:spacing w:after="0" w:line="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2016-02 is effective for public companies for annual reporting periods, and interim periods within those years, beginning after December 15, 2018. Early adoption is permitted. The Group is currently evaluating the impact of adopting this standard on its consolidated financial statements.</w:t>
      </w:r>
    </w:p>
    <w:p>
      <w:pPr>
        <w:spacing w:after="0" w:line="176" w:lineRule="exact"/>
        <w:rPr>
          <w:sz w:val="20"/>
          <w:szCs w:val="20"/>
          <w:color w:val="auto"/>
        </w:rPr>
      </w:pPr>
    </w:p>
    <w:p>
      <w:pPr>
        <w:ind w:right="20" w:firstLine="54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 Stock Compensation. </w:t>
      </w:r>
      <w:r>
        <w:rPr>
          <w:rFonts w:ascii="Times New Roman" w:cs="Times New Roman" w:eastAsia="Times New Roman" w:hAnsi="Times New Roman"/>
          <w:sz w:val="18"/>
          <w:szCs w:val="18"/>
          <w:color w:val="auto"/>
        </w:rPr>
        <w:t>On March 30, 2016, the FASB issued ASU 2016-09,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Compensation — Stock Compensation: Improvements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Employee Share-Based Payment Accounting</w:t>
      </w:r>
      <w:r>
        <w:rPr>
          <w:rFonts w:ascii="Times New Roman" w:cs="Times New Roman" w:eastAsia="Times New Roman" w:hAnsi="Times New Roman"/>
          <w:sz w:val="18"/>
          <w:szCs w:val="18"/>
          <w:color w:val="auto"/>
        </w:rPr>
        <w:t>, which relates to the accounting for employee share-based payments. This standard addresses several aspects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accounting for share-based payment award transactions, including: (a) income tax consequences; (b) classification of awards as either equity or liabilities; and (c) classification on the statement of cash flows; (d) accounting for forfeitures of share-based payments. This standard will be effective for fiscal years beginning after December 15, 2016, including interim periods within those fiscal years. The Group does not expect this standard to have a material impact on its consolidated financial statements.</w:t>
      </w:r>
    </w:p>
    <w:p>
      <w:pPr>
        <w:spacing w:after="0" w:line="183" w:lineRule="exact"/>
        <w:rPr>
          <w:sz w:val="20"/>
          <w:szCs w:val="20"/>
          <w:color w:val="auto"/>
        </w:rPr>
      </w:pPr>
    </w:p>
    <w:p>
      <w:pPr>
        <w:ind w:right="40" w:firstLine="54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Instruments-Credit Losses. </w:t>
      </w:r>
      <w:r>
        <w:rPr>
          <w:rFonts w:ascii="Times New Roman" w:cs="Times New Roman" w:eastAsia="Times New Roman" w:hAnsi="Times New Roman"/>
          <w:sz w:val="18"/>
          <w:szCs w:val="18"/>
          <w:color w:val="auto"/>
        </w:rPr>
        <w:t>In June 2016, the FASB issued ASU 2016-13,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Financial Instruments-Credit Losses (Topic 326)</w:t>
      </w:r>
      <w:r>
        <w:rPr>
          <w:rFonts w:ascii="Times New Roman" w:cs="Times New Roman" w:eastAsia="Times New Roman" w:hAnsi="Times New Roman"/>
          <w:sz w:val="18"/>
          <w:szCs w:val="18"/>
          <w:color w:val="auto"/>
        </w:rPr>
        <w:t>, which requires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This guidance is effective for fiscal years, and interim periods within those fiscal years, beginning after December 15, 2019. Early application will be permitted for all entities for fiscal years, and interim periods within those fiscal years, beginning after December 15, 2018. The Group is currently evaluating the impact that the standard will have on its consolidated financial statements and related disclosures.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Principal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 Recently issued accounting pronouncements (continued)</w:t>
      </w:r>
    </w:p>
    <w:p>
      <w:pPr>
        <w:sectPr>
          <w:pgSz w:w="11900" w:h="16866" w:orient="portrait"/>
          <w:cols w:equalWidth="0" w:num="1">
            <w:col w:w="11420"/>
          </w:cols>
          <w:pgMar w:left="240" w:top="337" w:right="239" w:bottom="0" w:gutter="0" w:footer="0" w:header="0"/>
        </w:sectPr>
      </w:pPr>
    </w:p>
    <w:bookmarkStart w:id="115" w:name="page116"/>
    <w:bookmarkEnd w:id="115"/>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Statement of Cash Flows — Classification of Certain Cash Receipts and Cash Payments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August 2016, the FASB issued ASU 2016-</w:t>
      </w:r>
    </w:p>
    <w:p>
      <w:pPr>
        <w:spacing w:after="0" w:line="3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i w:val="1"/>
          <w:iCs w:val="1"/>
          <w:color w:val="auto"/>
        </w:rPr>
        <w:t>Statement of Cash Flows — Classification of Certain Cash Receipts and Cash Payments,</w:t>
      </w:r>
      <w:r>
        <w:rPr>
          <w:rFonts w:ascii="Times New Roman" w:cs="Times New Roman" w:eastAsia="Times New Roman" w:hAnsi="Times New Roman"/>
          <w:sz w:val="18"/>
          <w:szCs w:val="18"/>
          <w:color w:val="auto"/>
        </w:rPr>
        <w:t xml:space="preserve"> which clarifies the presentation and classification of certain cash receipts and cash payments in the statement of cash flows. This guidance is effective for financial statements issued for fiscal years beginning after December 15, 2017, and interim periods within those fiscal years. Early adoption is permitted. The Group is currently evaluating the impact that the standard will have on its consolidated financial statements and related disclosures.</w:t>
      </w:r>
    </w:p>
    <w:p>
      <w:pPr>
        <w:spacing w:after="0" w:line="182" w:lineRule="exact"/>
        <w:rPr>
          <w:sz w:val="20"/>
          <w:szCs w:val="20"/>
          <w:color w:val="auto"/>
        </w:rPr>
      </w:pPr>
    </w:p>
    <w:p>
      <w:pPr>
        <w:ind w:firstLine="542"/>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Statement of Cash Flows (Topic 230): Restricted Cash. </w:t>
      </w:r>
      <w:r>
        <w:rPr>
          <w:rFonts w:ascii="Times New Roman" w:cs="Times New Roman" w:eastAsia="Times New Roman" w:hAnsi="Times New Roman"/>
          <w:sz w:val="17"/>
          <w:szCs w:val="17"/>
          <w:color w:val="auto"/>
        </w:rPr>
        <w:t>In November 2016, the FASB issued ASU 2016-18,</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Statement of Cash Flows (Topic 230):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Restricted Cash</w:t>
      </w:r>
      <w:r>
        <w:rPr>
          <w:rFonts w:ascii="Times New Roman" w:cs="Times New Roman" w:eastAsia="Times New Roman" w:hAnsi="Times New Roman"/>
          <w:sz w:val="17"/>
          <w:szCs w:val="17"/>
          <w:color w:val="auto"/>
        </w:rPr>
        <w:t>. The guidance requires that a statement of cash flows explain the change during the period in the total of cash, cash equivalents, and amounts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standard is effective for fiscal years beginning after December 15, 2017, and interim period within those fiscal years. Early adoption is permitted, including adoption in an interim period. The standard should be applied using a retrospective transition method to each period presented. The Group is currently evaluating the impact of adopting this standard on its consolidated financial statements. For the years ended December 31, 2015 and 2016, the amount of changes in restricted cash that were included in investing activities was RMB125.0 million and RMB229.6 million (US$33.1 million), respectively.</w:t>
      </w:r>
    </w:p>
    <w:p>
      <w:pPr>
        <w:spacing w:after="0" w:line="172" w:lineRule="exact"/>
        <w:rPr>
          <w:sz w:val="20"/>
          <w:szCs w:val="20"/>
          <w:color w:val="auto"/>
        </w:rPr>
      </w:pPr>
    </w:p>
    <w:p>
      <w:pPr>
        <w:ind w:right="120" w:firstLine="54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Combinations (Topic 805): Clarifying the Definition of a Business. </w:t>
      </w:r>
      <w:r>
        <w:rPr>
          <w:rFonts w:ascii="Times New Roman" w:cs="Times New Roman" w:eastAsia="Times New Roman" w:hAnsi="Times New Roman"/>
          <w:sz w:val="18"/>
          <w:szCs w:val="18"/>
          <w:color w:val="auto"/>
        </w:rPr>
        <w:t>In January 2017, the FASB issued ASU 2017-01,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Combinations (Topic 805): Clarifying the Definition of a Business, </w:t>
      </w:r>
      <w:r>
        <w:rPr>
          <w:rFonts w:ascii="Times New Roman" w:cs="Times New Roman" w:eastAsia="Times New Roman" w:hAnsi="Times New Roman"/>
          <w:sz w:val="18"/>
          <w:szCs w:val="18"/>
          <w:color w:val="auto"/>
        </w:rPr>
        <w:t>which clarifies the definition of a business with the objective of adding guidance to assist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with evaluating whether transactions should be accounted for as acquisitions or disposals of assets or businesses. The standard is effective for fiscal years beginning after December 15, 2017, including interim periods within those fiscal years. Early adoption is permitted. The standard should be applied prospectively on or after the effective date. The Group will evaluate the impact of adopting this standard prospectively upon any transactions of acquisitions or disposals of assets or businesses.</w:t>
      </w:r>
    </w:p>
    <w:p>
      <w:pPr>
        <w:spacing w:after="0" w:line="183" w:lineRule="exact"/>
        <w:rPr>
          <w:sz w:val="20"/>
          <w:szCs w:val="20"/>
          <w:color w:val="auto"/>
        </w:rPr>
      </w:pPr>
    </w:p>
    <w:p>
      <w:pPr>
        <w:ind w:firstLine="54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Income—Gains and Losses from the Derecognition of Nonfinancial Assets. </w:t>
      </w:r>
      <w:r>
        <w:rPr>
          <w:rFonts w:ascii="Times New Roman" w:cs="Times New Roman" w:eastAsia="Times New Roman" w:hAnsi="Times New Roman"/>
          <w:sz w:val="18"/>
          <w:szCs w:val="18"/>
          <w:color w:val="auto"/>
        </w:rPr>
        <w:t>In February 2017, the FASB issued ASU 2017-05,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Other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—Gains and Losses from the Derecognition of Nonfinancial Assets. </w:t>
      </w:r>
      <w:r>
        <w:rPr>
          <w:rFonts w:ascii="Times New Roman" w:cs="Times New Roman" w:eastAsia="Times New Roman" w:hAnsi="Times New Roman"/>
          <w:sz w:val="18"/>
          <w:szCs w:val="18"/>
          <w:color w:val="auto"/>
        </w:rPr>
        <w:t>The amendments in this Update clarify that an entity should identify each distinct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nonfinancial asset or in substance nonfinancial asset promised to a counterparty and derecognize each asset when a counterparty obtains control of it and require an entity to derecognize a distinct nonfinancial asset or distinct in substance nonfinancial asset in a partial sale transaction when it (1) does not have (or ceases to have) a controlling financial interest in the legal entity that holds the asset in accordance with Topic 810 and (2) transfers control of the asset in accordance with Topic 606. The guidance is effective for annual reporting periods beginning after December 15, 2017, including interim reporting periods within that reporting period and should be adopted either by using retrospective approach or by using modified retrospective approach. The Group is currently evaluating the impact of adopting this standard on its consolidated financial statements.</w:t>
      </w:r>
    </w:p>
    <w:p>
      <w:pPr>
        <w:spacing w:after="0" w:line="185" w:lineRule="exact"/>
        <w:rPr>
          <w:sz w:val="20"/>
          <w:szCs w:val="20"/>
          <w:color w:val="auto"/>
        </w:rPr>
      </w:pPr>
    </w:p>
    <w:p>
      <w:pPr>
        <w:ind w:left="240" w:hanging="232"/>
        <w:spacing w:after="0"/>
        <w:tabs>
          <w:tab w:leader="none" w:pos="24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Major customers</w:t>
      </w:r>
    </w:p>
    <w:p>
      <w:pPr>
        <w:spacing w:after="0" w:line="229" w:lineRule="exact"/>
        <w:rPr>
          <w:sz w:val="20"/>
          <w:szCs w:val="20"/>
          <w:color w:val="auto"/>
        </w:rPr>
      </w:pPr>
    </w:p>
    <w:p>
      <w:pPr>
        <w:ind w:right="40" w:firstLine="567"/>
        <w:spacing w:after="0" w:line="258" w:lineRule="auto"/>
        <w:rPr>
          <w:sz w:val="20"/>
          <w:szCs w:val="20"/>
          <w:color w:val="auto"/>
        </w:rPr>
      </w:pPr>
      <w:r>
        <w:rPr>
          <w:rFonts w:ascii="Times New Roman" w:cs="Times New Roman" w:eastAsia="Times New Roman" w:hAnsi="Times New Roman"/>
          <w:sz w:val="18"/>
          <w:szCs w:val="18"/>
          <w:color w:val="auto"/>
        </w:rPr>
        <w:t>A significant portion of the Group’s MVAS is generated through and from CMCC, which is also a related party as CMCC is a shareholder of Phoenix TV. CMCC is a major mobile network operator in the PRC. It provides billing, collection and transmission services related to the paid services offered by most of the wireless service and content providers in the PRC. The revenues generated through and from CMCC for the years ended December 31, 2014, 2015 and 2016 were RMB320.4 million, RMB309.3 million and RMB154.6 million (US$22.3 million), respectively, which accounted for 19.6%, 19.2% and 10.7% of the respective years’ total revenues.</w:t>
      </w:r>
    </w:p>
    <w:p>
      <w:pPr>
        <w:spacing w:after="0" w:line="184" w:lineRule="exact"/>
        <w:rPr>
          <w:sz w:val="20"/>
          <w:szCs w:val="20"/>
          <w:color w:val="auto"/>
        </w:rPr>
      </w:pPr>
    </w:p>
    <w:p>
      <w:pPr>
        <w:ind w:right="260" w:firstLine="567"/>
        <w:spacing w:after="0" w:line="266" w:lineRule="auto"/>
        <w:rPr>
          <w:sz w:val="20"/>
          <w:szCs w:val="20"/>
          <w:color w:val="auto"/>
        </w:rPr>
      </w:pPr>
      <w:r>
        <w:rPr>
          <w:rFonts w:ascii="Times New Roman" w:cs="Times New Roman" w:eastAsia="Times New Roman" w:hAnsi="Times New Roman"/>
          <w:sz w:val="18"/>
          <w:szCs w:val="18"/>
          <w:color w:val="auto"/>
        </w:rPr>
        <w:t>The amounts due from CMCC as of December 31, 2015 and 2016 were RMB58.3 million and RMB48.8 million (US$7.0 million), respectively, which is included on the consolidated balance sheets as ‘‘Amounts due from related parties’’. Except for CMCC and an advertising agent, there is no other customer with revenues or receivables over 10% of total revenues or total accounts receivable, net and due from related parties, respectively.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240" w:hanging="232"/>
        <w:spacing w:after="0"/>
        <w:tabs>
          <w:tab w:leader="none" w:pos="24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 Credit risk</w:t>
      </w:r>
    </w:p>
    <w:p>
      <w:pPr>
        <w:spacing w:after="0" w:line="229" w:lineRule="exact"/>
        <w:rPr>
          <w:sz w:val="20"/>
          <w:szCs w:val="20"/>
          <w:color w:val="auto"/>
        </w:rPr>
      </w:pPr>
    </w:p>
    <w:p>
      <w:pPr>
        <w:ind w:right="80" w:firstLine="567"/>
        <w:spacing w:after="0" w:line="282" w:lineRule="auto"/>
        <w:rPr>
          <w:sz w:val="20"/>
          <w:szCs w:val="20"/>
          <w:color w:val="auto"/>
        </w:rPr>
      </w:pPr>
      <w:r>
        <w:rPr>
          <w:rFonts w:ascii="Times New Roman" w:cs="Times New Roman" w:eastAsia="Times New Roman" w:hAnsi="Times New Roman"/>
          <w:sz w:val="18"/>
          <w:szCs w:val="18"/>
          <w:color w:val="auto"/>
        </w:rPr>
        <w:t>The Group’s credit risk arises from cash and cash equivalents, term deposits, short term investments and restricted cash as well as credit exposures to receivables due from its customers, related parties and other parties.</w:t>
      </w:r>
    </w:p>
    <w:p>
      <w:pPr>
        <w:spacing w:after="0" w:line="162" w:lineRule="exact"/>
        <w:rPr>
          <w:sz w:val="20"/>
          <w:szCs w:val="20"/>
          <w:color w:val="auto"/>
        </w:rPr>
      </w:pPr>
    </w:p>
    <w:p>
      <w:pPr>
        <w:ind w:firstLine="567"/>
        <w:spacing w:after="0" w:line="266" w:lineRule="auto"/>
        <w:rPr>
          <w:sz w:val="20"/>
          <w:szCs w:val="20"/>
          <w:color w:val="auto"/>
        </w:rPr>
      </w:pPr>
      <w:r>
        <w:rPr>
          <w:rFonts w:ascii="Times New Roman" w:cs="Times New Roman" w:eastAsia="Times New Roman" w:hAnsi="Times New Roman"/>
          <w:sz w:val="18"/>
          <w:szCs w:val="18"/>
          <w:color w:val="auto"/>
        </w:rPr>
        <w:t>The Group expects that there is no significant credit risk associated with cash and cash equivalents, term deposits, short term investments and restricted cash for short-term bank loans which were held by reputable financial institutions in the jurisdictions where the Company, its subsidiaries, VIEs and the subsidiaries of the VIEs are located. The Group believes that it is not exposed to unusual risks as these financial institutions have high credit quality.</w:t>
      </w:r>
    </w:p>
    <w:p>
      <w:pPr>
        <w:spacing w:after="0" w:line="176" w:lineRule="exact"/>
        <w:rPr>
          <w:sz w:val="20"/>
          <w:szCs w:val="20"/>
          <w:color w:val="auto"/>
        </w:rPr>
      </w:pPr>
    </w:p>
    <w:p>
      <w:pPr>
        <w:jc w:val="both"/>
        <w:ind w:right="220" w:firstLine="567"/>
        <w:spacing w:after="0" w:line="266" w:lineRule="auto"/>
        <w:rPr>
          <w:sz w:val="20"/>
          <w:szCs w:val="20"/>
          <w:color w:val="auto"/>
        </w:rPr>
      </w:pPr>
      <w:r>
        <w:rPr>
          <w:rFonts w:ascii="Times New Roman" w:cs="Times New Roman" w:eastAsia="Times New Roman" w:hAnsi="Times New Roman"/>
          <w:sz w:val="18"/>
          <w:szCs w:val="18"/>
          <w:color w:val="auto"/>
        </w:rPr>
        <w:t>As of December 31, 2016, the Group had an unsecured short-term loan granted to Particle recorded as convertible loans due from a related party of RMB104.4 million (US$15.0 million) and another unsecured short-term loan granted to Particle recorded in amounts due from related parties of RMB47.8 million (US$6.9 million).</w:t>
      </w:r>
    </w:p>
    <w:p>
      <w:pPr>
        <w:spacing w:after="0" w:line="176" w:lineRule="exact"/>
        <w:rPr>
          <w:sz w:val="20"/>
          <w:szCs w:val="20"/>
          <w:color w:val="auto"/>
        </w:rPr>
      </w:pPr>
    </w:p>
    <w:p>
      <w:pPr>
        <w:ind w:right="200" w:firstLine="576"/>
        <w:spacing w:after="0" w:line="266" w:lineRule="auto"/>
        <w:rPr>
          <w:sz w:val="20"/>
          <w:szCs w:val="20"/>
          <w:color w:val="auto"/>
        </w:rPr>
      </w:pPr>
      <w:r>
        <w:rPr>
          <w:rFonts w:ascii="Times New Roman" w:cs="Times New Roman" w:eastAsia="Times New Roman" w:hAnsi="Times New Roman"/>
          <w:sz w:val="18"/>
          <w:szCs w:val="18"/>
          <w:color w:val="auto"/>
        </w:rPr>
        <w:t>The Group has no significant concentrations of credit risk with respect to its customers, related parties and other parties, except for CMCC, Particle and the advertising agent as discussed above. The Group assesses the credit quality of and sets credit limits on its customers by taking into account their financial position, the availability of guarantee from third parties, their credit history and other factors such as current market conditions.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Currency convertibility risk</w:t>
      </w:r>
    </w:p>
    <w:p>
      <w:pPr>
        <w:sectPr>
          <w:pgSz w:w="11900" w:h="16838" w:orient="portrait"/>
          <w:cols w:equalWidth="0" w:num="1">
            <w:col w:w="11400"/>
          </w:cols>
          <w:pgMar w:left="240" w:top="333" w:right="259" w:bottom="108" w:gutter="0" w:footer="0" w:header="0"/>
        </w:sectPr>
      </w:pPr>
    </w:p>
    <w:bookmarkStart w:id="116" w:name="page117"/>
    <w:bookmarkEnd w:id="116"/>
    <w:p>
      <w:pPr>
        <w:ind w:right="220" w:firstLine="567"/>
        <w:spacing w:after="0" w:line="258" w:lineRule="auto"/>
        <w:rPr>
          <w:sz w:val="20"/>
          <w:szCs w:val="20"/>
          <w:color w:val="auto"/>
        </w:rPr>
      </w:pPr>
      <w:r>
        <w:rPr>
          <w:rFonts w:ascii="Times New Roman" w:cs="Times New Roman" w:eastAsia="Times New Roman" w:hAnsi="Times New Roman"/>
          <w:sz w:val="18"/>
          <w:szCs w:val="18"/>
          <w:color w:val="auto"/>
        </w:rPr>
        <w:t>The Group’s operating transactions and its assets and liabilities are mainly denominated in RMB. RMB is not freely convertible into foreign currencies. The value of the RMB is subject to changes by the central government policies and to international economic and political developments. In the PRC, certain foreign exchange transactions are required by law to be transacted only by authorized financial institutions at exchange rates set by PBOC. Remittances in currencies other than RMB by the Group in the PRC must be processed through PBOC or other China foreign exchange regulatory bodies which require certain supporting documentation in order to affect the remittance.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PRC regulations</w:t>
      </w:r>
    </w:p>
    <w:p>
      <w:pPr>
        <w:spacing w:after="0" w:line="229" w:lineRule="exact"/>
        <w:rPr>
          <w:sz w:val="20"/>
          <w:szCs w:val="20"/>
          <w:color w:val="auto"/>
        </w:rPr>
      </w:pPr>
    </w:p>
    <w:p>
      <w:pPr>
        <w:ind w:right="20" w:firstLine="567"/>
        <w:spacing w:after="0" w:line="254" w:lineRule="auto"/>
        <w:rPr>
          <w:sz w:val="20"/>
          <w:szCs w:val="20"/>
          <w:color w:val="auto"/>
        </w:rPr>
      </w:pPr>
      <w:r>
        <w:rPr>
          <w:rFonts w:ascii="Times New Roman" w:cs="Times New Roman" w:eastAsia="Times New Roman" w:hAnsi="Times New Roman"/>
          <w:sz w:val="18"/>
          <w:szCs w:val="18"/>
          <w:color w:val="auto"/>
        </w:rPr>
        <w:t>The Group is exposed to certain macro-economic and regulatory risks and uncertainties in the Chinese market. These uncertainties affect the ability of the Group to provide online advertising, mobile and Internet related services through Contractual Arrangements in the PRC since these industries remains highly regulated. The Chinese government may issue from time to time new laws or new interpretations on existing laws to regulate these industries. Regulatory risk also encompasses the interpretation by the tax authorities of current tax laws, the status of properties leased for the Group’s operations and the Group’s legal structure and scope of operations in the PRC, which could be subject to further restrictions resulting in limitations on the Group’s ability to conduct business in the PRC. The PRC government may also require the Group to restructure its operations entirely if it finds that its Contractual Arrangements do not comply with applicable laws and regulations. It is unclear how a restructuring could impact the Group’s business and operating results, as the PRC government has not yet found any such Contractual Arrangements to be in noncompliance. However, any such restructuring may cause significant disruption to the Group’s business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Investments risk</w:t>
      </w:r>
    </w:p>
    <w:p>
      <w:pPr>
        <w:spacing w:after="0" w:line="229" w:lineRule="exact"/>
        <w:rPr>
          <w:sz w:val="20"/>
          <w:szCs w:val="20"/>
          <w:color w:val="auto"/>
        </w:rPr>
      </w:pPr>
    </w:p>
    <w:p>
      <w:pPr>
        <w:ind w:right="20" w:firstLine="567"/>
        <w:spacing w:after="0" w:line="254" w:lineRule="auto"/>
        <w:rPr>
          <w:sz w:val="20"/>
          <w:szCs w:val="20"/>
          <w:color w:val="auto"/>
        </w:rPr>
      </w:pPr>
      <w:r>
        <w:rPr>
          <w:rFonts w:ascii="Times New Roman" w:cs="Times New Roman" w:eastAsia="Times New Roman" w:hAnsi="Times New Roman"/>
          <w:sz w:val="18"/>
          <w:szCs w:val="18"/>
          <w:color w:val="auto"/>
        </w:rPr>
        <w:t>The Group has made and may undertake in the future investments in subsidiaries, affiliates and other business alliance partners in various Internet-related businesses. It is uncertain whether the Group will receive the expected benefits from these investments, due to any adverse regulatory changes, worsening of economic conditions, increased competition or other factors that may negatively affect the related business activities. Some of the businesses the Group has invested in are subject to intensive regulation. For example, one of the Group’s investees had suspended all of its online lottery ticket distribution businesses and had not generated any revenue since March 2015 in response to the Notice related to Self-Inspection and Self-Remedy of Unauthorized Online Lottery Sales, or the Self-Inspection Notice, which was jointly promulgated by the Ministry of Finance, the Ministry of Civil Affairs and the General Administration of Sports of the People’s Republic of China. Any such adverse regulatory change may have a material adverse impact on the business and financial performance of the subsidiaries, affiliates and other business alliance partners. Furthermore, unanticipated costs and liabilities may be incurred in connection with those business strategies, including liabilities from the claims related to the businesses prior to the business alliances, and cost from actions by regulatory authorities.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Receivable, Net</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sets out the balance of accounts receivable as of December 31, 2015 and 2016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280" w:type="dxa"/>
            <w:vAlign w:val="bottom"/>
          </w:tcPr>
          <w:p>
            <w:pPr>
              <w:spacing w:after="0"/>
              <w:rPr>
                <w:sz w:val="12"/>
                <w:szCs w:val="12"/>
                <w:color w:val="auto"/>
              </w:rPr>
            </w:pPr>
          </w:p>
        </w:tc>
        <w:tc>
          <w:tcPr>
            <w:tcW w:w="1380" w:type="dxa"/>
            <w:vAlign w:val="bottom"/>
            <w:tcBorders>
              <w:bottom w:val="single" w:sz="8" w:color="auto"/>
            </w:tcBorders>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565,197</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496,381</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71,494</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(58,846)</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(91,348)</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(13,157)</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506,351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405,033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00" w:type="dxa"/>
            <w:vAlign w:val="bottom"/>
            <w:gridSpan w:val="6"/>
          </w:tcPr>
          <w:p>
            <w:pPr>
              <w:ind w:left="580"/>
              <w:spacing w:after="0"/>
              <w:rPr>
                <w:sz w:val="20"/>
                <w:szCs w:val="20"/>
                <w:color w:val="auto"/>
              </w:rPr>
            </w:pPr>
            <w:r>
              <w:rPr>
                <w:rFonts w:ascii="Times New Roman" w:cs="Times New Roman" w:eastAsia="Times New Roman" w:hAnsi="Times New Roman"/>
                <w:sz w:val="18"/>
                <w:szCs w:val="18"/>
                <w:color w:val="auto"/>
              </w:rPr>
              <w:t>The following table presents the movement of the allowance for doubtful accounts (in thousands):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000" w:type="dxa"/>
            <w:vAlign w:val="bottom"/>
          </w:tcPr>
          <w:p>
            <w:pPr>
              <w:spacing w:after="0"/>
              <w:rPr>
                <w:sz w:val="24"/>
                <w:szCs w:val="24"/>
                <w:color w:val="auto"/>
              </w:rPr>
            </w:pPr>
          </w:p>
        </w:tc>
        <w:tc>
          <w:tcPr>
            <w:tcW w:w="13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Pr>
          <w:p>
            <w:pPr>
              <w:spacing w:after="0"/>
              <w:rPr>
                <w:sz w:val="24"/>
                <w:szCs w:val="24"/>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2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280" w:type="dxa"/>
            <w:vAlign w:val="bottom"/>
          </w:tcPr>
          <w:p>
            <w:pPr>
              <w:spacing w:after="0"/>
              <w:rPr>
                <w:sz w:val="24"/>
                <w:szCs w:val="24"/>
                <w:color w:val="auto"/>
              </w:rPr>
            </w:pPr>
          </w:p>
        </w:tc>
        <w:tc>
          <w:tcPr>
            <w:tcW w:w="138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360" w:type="dxa"/>
            <w:vAlign w:val="bottom"/>
            <w:tcBorders>
              <w:top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80" w:type="dxa"/>
            <w:vAlign w:val="bottom"/>
            <w:tcBorders>
              <w:top w:val="single" w:sz="8" w:color="auto"/>
            </w:tcBorders>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20,584</w:t>
            </w:r>
          </w:p>
        </w:tc>
        <w:tc>
          <w:tcPr>
            <w:tcW w:w="16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23,767</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58,846</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8,476</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provision charged to bad debt expenses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280" w:type="dxa"/>
            <w:vAlign w:val="bottom"/>
          </w:tcPr>
          <w:p>
            <w:pPr>
              <w:spacing w:after="0"/>
              <w:rPr>
                <w:sz w:val="18"/>
                <w:szCs w:val="18"/>
                <w:color w:val="auto"/>
              </w:rPr>
            </w:pPr>
          </w:p>
        </w:tc>
        <w:tc>
          <w:tcPr>
            <w:tcW w:w="16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46,990</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47,762</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6,879</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 of bad debt provision</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(1,526)</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(11,911)</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(15,260)</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(2,198)</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Attributable to disposal of a subsidiary</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(4,520)</w:t>
            </w:r>
          </w:p>
        </w:tc>
        <w:tc>
          <w:tcPr>
            <w:tcW w:w="2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Prepayments and Other Current Assets</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 xml:space="preserve">The following is a summary of prepayments and other current assets </w:t>
            </w:r>
            <w:r>
              <w:rPr>
                <w:rFonts w:ascii="Times New Roman" w:cs="Times New Roman" w:eastAsia="Times New Roman" w:hAnsi="Times New Roman"/>
                <w:sz w:val="17"/>
                <w:szCs w:val="17"/>
                <w:color w:val="auto"/>
              </w:rPr>
              <w:t>(in thousands)</w:t>
            </w: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280" w:type="dxa"/>
            <w:vAlign w:val="bottom"/>
          </w:tcPr>
          <w:p>
            <w:pPr>
              <w:spacing w:after="0"/>
              <w:rPr>
                <w:sz w:val="12"/>
                <w:szCs w:val="12"/>
                <w:color w:val="auto"/>
              </w:rPr>
            </w:pPr>
          </w:p>
        </w:tc>
        <w:tc>
          <w:tcPr>
            <w:tcW w:w="1380" w:type="dxa"/>
            <w:vAlign w:val="bottom"/>
            <w:tcBorders>
              <w:bottom w:val="single" w:sz="8" w:color="auto"/>
            </w:tcBorders>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rental and deposits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3,666</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5,176</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Prepayments to suppliers and other business related expenses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47,465</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51,767</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7,456</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related to exercise of employee options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5,002</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5,126</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2,441</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2,000</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567"/>
        <w:spacing w:after="0" w:line="289" w:lineRule="auto"/>
        <w:rPr>
          <w:sz w:val="20"/>
          <w:szCs w:val="20"/>
          <w:color w:val="auto"/>
        </w:rPr>
      </w:pPr>
      <w:r>
        <w:rPr>
          <w:rFonts w:ascii="Times New Roman" w:cs="Times New Roman" w:eastAsia="Times New Roman" w:hAnsi="Times New Roman"/>
          <w:sz w:val="17"/>
          <w:szCs w:val="17"/>
          <w:color w:val="auto"/>
        </w:rPr>
        <w:t>Prepayments to suppliers and other business related expenses mainly consist of business related staff advances, and the Group’s prepaid content licenses fee to third-party content suppliers for the rights to access and present on the Group’s website the content produced by these suppliers during a certain period. These content licenses generally have a license period of one to three years, and are amortized over the license period on a straight-line basis. The</w:t>
      </w:r>
    </w:p>
    <w:p>
      <w:pPr>
        <w:sectPr>
          <w:pgSz w:w="11900" w:h="16838" w:orient="portrait"/>
          <w:cols w:equalWidth="0" w:num="1">
            <w:col w:w="11420"/>
          </w:cols>
          <w:pgMar w:left="240" w:top="121" w:right="239" w:bottom="0" w:gutter="0" w:footer="0" w:header="0"/>
        </w:sectPr>
      </w:pPr>
    </w:p>
    <w:bookmarkStart w:id="117" w:name="page118"/>
    <w:bookmarkEnd w:id="117"/>
    <w:p>
      <w:pPr>
        <w:spacing w:after="0" w:line="3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portion of the prepaid content license costs that relates to the license period for more than 12 months from the balance sheet date is classified as other non-current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The following is a summary of property and equipment, net </w:t>
      </w:r>
      <w:r>
        <w:rPr>
          <w:rFonts w:ascii="Times New Roman" w:cs="Times New Roman" w:eastAsia="Times New Roman" w:hAnsi="Times New Roman"/>
          <w:sz w:val="17"/>
          <w:szCs w:val="17"/>
          <w:color w:val="auto"/>
        </w:rPr>
        <w:t>(in thousands)</w:t>
      </w:r>
      <w:r>
        <w:rPr>
          <w:rFonts w:ascii="Times New Roman" w:cs="Times New Roman" w:eastAsia="Times New Roman" w:hAnsi="Times New Roman"/>
          <w:sz w:val="18"/>
          <w:szCs w:val="18"/>
          <w:color w:val="auto"/>
        </w:rPr>
        <w: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3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138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280" w:type="dxa"/>
            <w:vAlign w:val="bottom"/>
          </w:tcPr>
          <w:p>
            <w:pPr>
              <w:spacing w:after="0"/>
              <w:rPr>
                <w:sz w:val="12"/>
                <w:szCs w:val="12"/>
                <w:color w:val="auto"/>
              </w:rPr>
            </w:pPr>
          </w:p>
        </w:tc>
        <w:tc>
          <w:tcPr>
            <w:tcW w:w="138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1380" w:type="dxa"/>
            <w:vAlign w:val="bottom"/>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gridSpan w:val="2"/>
          </w:tcPr>
          <w:p>
            <w:pPr>
              <w:spacing w:after="0"/>
              <w:rPr>
                <w:sz w:val="12"/>
                <w:szCs w:val="12"/>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equipment and furniture</w:t>
            </w: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157,604</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170,796</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24,600</w:t>
            </w:r>
          </w:p>
        </w:tc>
        <w:tc>
          <w:tcPr>
            <w:tcW w:w="8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6,319</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5,637</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812</w:t>
            </w:r>
          </w:p>
        </w:tc>
        <w:tc>
          <w:tcPr>
            <w:tcW w:w="8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37,167</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40,758</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5,870</w:t>
            </w:r>
          </w:p>
        </w:tc>
        <w:tc>
          <w:tcPr>
            <w:tcW w:w="80" w:type="dxa"/>
            <w:vAlign w:val="bottom"/>
            <w:shd w:val="clear" w:color="auto" w:fill="CCEEFF"/>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201,090</w:t>
            </w:r>
          </w:p>
        </w:tc>
        <w:tc>
          <w:tcPr>
            <w:tcW w:w="28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217,191</w:t>
            </w:r>
          </w:p>
        </w:tc>
        <w:tc>
          <w:tcPr>
            <w:tcW w:w="2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(120,553)</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(145,104)</w:t>
            </w:r>
          </w:p>
        </w:tc>
        <w:tc>
          <w:tcPr>
            <w:tcW w:w="1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(20,899)</w:t>
            </w: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book value</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80,537</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72,087</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60" w:firstLine="567"/>
        <w:spacing w:after="0" w:line="282" w:lineRule="auto"/>
        <w:rPr>
          <w:sz w:val="20"/>
          <w:szCs w:val="20"/>
          <w:color w:val="auto"/>
        </w:rPr>
      </w:pPr>
      <w:r>
        <w:rPr>
          <w:rFonts w:ascii="Times New Roman" w:cs="Times New Roman" w:eastAsia="Times New Roman" w:hAnsi="Times New Roman"/>
          <w:sz w:val="18"/>
          <w:szCs w:val="18"/>
          <w:color w:val="auto"/>
        </w:rPr>
        <w:t>Depreciation expenses for the years ended December 31, 2014, 2015 and 2016 were RMB31.6 million, RMB38.1 million and RMB37.2 million (US$5.4 million),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Intangible Assets, Net</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The following table summarizes the Group’s intangible assets, net </w:t>
      </w:r>
      <w:r>
        <w:rPr>
          <w:rFonts w:ascii="Times New Roman" w:cs="Times New Roman" w:eastAsia="Times New Roman" w:hAnsi="Times New Roman"/>
          <w:sz w:val="17"/>
          <w:szCs w:val="17"/>
          <w:color w:val="auto"/>
        </w:rPr>
        <w:t>(in thousands)</w:t>
      </w:r>
      <w:r>
        <w:rPr>
          <w:rFonts w:ascii="Times New Roman" w:cs="Times New Roman" w:eastAsia="Times New Roman" w:hAnsi="Times New Roman"/>
          <w:sz w:val="18"/>
          <w:szCs w:val="18"/>
          <w:color w:val="auto"/>
        </w:rPr>
        <w: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138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280" w:type="dxa"/>
            <w:vAlign w:val="bottom"/>
          </w:tcPr>
          <w:p>
            <w:pPr>
              <w:spacing w:after="0"/>
              <w:rPr>
                <w:sz w:val="12"/>
                <w:szCs w:val="12"/>
                <w:color w:val="auto"/>
              </w:rPr>
            </w:pPr>
          </w:p>
        </w:tc>
        <w:tc>
          <w:tcPr>
            <w:tcW w:w="138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1380" w:type="dxa"/>
            <w:vAlign w:val="bottom"/>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20,923</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22,786</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3,282</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Operating rights for licensed games</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10,976</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10,976</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1,581</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Domain name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31,953</w:t>
            </w:r>
          </w:p>
        </w:tc>
        <w:tc>
          <w:tcPr>
            <w:tcW w:w="28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33,816</w:t>
            </w:r>
          </w:p>
        </w:tc>
        <w:tc>
          <w:tcPr>
            <w:tcW w:w="2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4,871</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(15,727)</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(20,432)</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(2,943)</w:t>
            </w:r>
          </w:p>
        </w:tc>
      </w:tr>
      <w:tr>
        <w:trPr>
          <w:trHeight w:val="256"/>
        </w:trPr>
        <w:tc>
          <w:tcPr>
            <w:tcW w:w="6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impairment</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(3,822)</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(3,909)</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(563)</w:t>
            </w:r>
          </w:p>
        </w:tc>
      </w:tr>
      <w:tr>
        <w:trPr>
          <w:trHeight w:val="197"/>
        </w:trPr>
        <w:tc>
          <w:tcPr>
            <w:tcW w:w="664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book value</w:t>
            </w:r>
          </w:p>
        </w:tc>
        <w:tc>
          <w:tcPr>
            <w:tcW w:w="1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12,404</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9,475</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1,365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60" w:firstLine="567"/>
        <w:spacing w:after="0" w:line="289" w:lineRule="auto"/>
        <w:rPr>
          <w:sz w:val="20"/>
          <w:szCs w:val="20"/>
          <w:color w:val="auto"/>
        </w:rPr>
      </w:pPr>
      <w:r>
        <w:rPr>
          <w:rFonts w:ascii="Times New Roman" w:cs="Times New Roman" w:eastAsia="Times New Roman" w:hAnsi="Times New Roman"/>
          <w:sz w:val="17"/>
          <w:szCs w:val="17"/>
          <w:color w:val="auto"/>
        </w:rPr>
        <w:t>Amortization expenses for the years ended December 31, 2014, 2015 and 2016 were RMB4.7 million, RMB7.4 million and RMB4.8 million (US$0.7 million), respectively. Based on the current amount of intangible assets subject to amortization, the estimated amortization expenses for each of the following five years are as follows: 2017: RMB3.2 million, 2018: RMB2.6 million, 2019: RMB2.2 million, 2020: RMB1.3 million and 2021: RMB0.2 million.</w:t>
      </w:r>
    </w:p>
    <w:p>
      <w:pPr>
        <w:spacing w:after="0" w:line="158" w:lineRule="exact"/>
        <w:rPr>
          <w:sz w:val="20"/>
          <w:szCs w:val="20"/>
          <w:color w:val="auto"/>
        </w:rPr>
      </w:pPr>
    </w:p>
    <w:p>
      <w:pPr>
        <w:ind w:right="120" w:firstLine="567"/>
        <w:spacing w:after="0" w:line="266" w:lineRule="auto"/>
        <w:rPr>
          <w:sz w:val="20"/>
          <w:szCs w:val="20"/>
          <w:color w:val="auto"/>
        </w:rPr>
      </w:pPr>
      <w:r>
        <w:rPr>
          <w:rFonts w:ascii="Times New Roman" w:cs="Times New Roman" w:eastAsia="Times New Roman" w:hAnsi="Times New Roman"/>
          <w:sz w:val="18"/>
          <w:szCs w:val="18"/>
          <w:color w:val="auto"/>
        </w:rPr>
        <w:t>In view of mobile games services through the Group’s own platforms below previous performance expectations, the Group performed an assessment on the intangible assets related to mobile game business and recorded an impairment charge against operating rights for licensed games of RMB3.8 million and RMB 0.1 million (US$0.01 million) for the years ended December 31, 2015 and 2016,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Available-for-sale Investments</w:t>
      </w:r>
    </w:p>
    <w:p>
      <w:pPr>
        <w:spacing w:after="0" w:line="229" w:lineRule="exact"/>
        <w:rPr>
          <w:sz w:val="20"/>
          <w:szCs w:val="20"/>
          <w:color w:val="auto"/>
        </w:rPr>
      </w:pPr>
    </w:p>
    <w:p>
      <w:pPr>
        <w:ind w:right="40" w:firstLine="540"/>
        <w:spacing w:after="0" w:line="256"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7"/>
          <w:szCs w:val="17"/>
          <w:color w:val="auto"/>
        </w:rPr>
        <w:t>October 2014, the Company acquired</w:t>
      </w:r>
      <w:r>
        <w:rPr>
          <w:rFonts w:ascii="Times New Roman" w:cs="Times New Roman" w:eastAsia="Times New Roman" w:hAnsi="Times New Roman"/>
          <w:sz w:val="18"/>
          <w:szCs w:val="18"/>
          <w:color w:val="auto"/>
        </w:rPr>
        <w:t xml:space="preserve"> Series B convertible redeemable preferred shares of Particle Inc. (“Particle”), representing 9.34% of the equity interest, on an as-if converted basis with a total cash consideration of US$6.0 million (RMB36.8 million) and recorded the Series B convertible redeemable preferred shares investment in Particle as available-for-sale investments. Particle owns Yidian Zixun, a personalized news and life-style information application in the PRC, which allows users to define and explore desired content over mobile device. In December 2014, the Company acquired ordinary shares of Particle and recorded in equity investment (see Note 9). As of December 31, 2014, including the Series B convertible redeemable preferred shares and ordinary shares of Particle, the Company owned approximately 18.42% equity interest of Particle on an as-if converted basis.</w:t>
      </w:r>
    </w:p>
    <w:p>
      <w:pPr>
        <w:spacing w:after="0" w:line="188" w:lineRule="exact"/>
        <w:rPr>
          <w:sz w:val="20"/>
          <w:szCs w:val="20"/>
          <w:color w:val="auto"/>
        </w:rPr>
      </w:pPr>
    </w:p>
    <w:p>
      <w:pPr>
        <w:ind w:right="40" w:firstLine="540"/>
        <w:spacing w:after="0" w:line="255" w:lineRule="auto"/>
        <w:rPr>
          <w:sz w:val="20"/>
          <w:szCs w:val="20"/>
          <w:color w:val="auto"/>
        </w:rPr>
      </w:pPr>
      <w:r>
        <w:rPr>
          <w:rFonts w:ascii="Times New Roman" w:cs="Times New Roman" w:eastAsia="Times New Roman" w:hAnsi="Times New Roman"/>
          <w:sz w:val="18"/>
          <w:szCs w:val="18"/>
          <w:color w:val="auto"/>
        </w:rPr>
        <w:t>In April 2015, the Company acquire</w:t>
      </w:r>
      <w:r>
        <w:rPr>
          <w:rFonts w:ascii="Times New Roman" w:cs="Times New Roman" w:eastAsia="Times New Roman" w:hAnsi="Times New Roman"/>
          <w:sz w:val="17"/>
          <w:szCs w:val="17"/>
          <w:color w:val="auto"/>
        </w:rPr>
        <w:t>d Series C convertible redeemable preferred shares of Particle</w:t>
      </w:r>
      <w:r>
        <w:rPr>
          <w:rFonts w:ascii="Times New Roman" w:cs="Times New Roman" w:eastAsia="Times New Roman" w:hAnsi="Times New Roman"/>
          <w:sz w:val="18"/>
          <w:szCs w:val="18"/>
          <w:color w:val="auto"/>
        </w:rPr>
        <w:t xml:space="preserve"> with a cash consideration of US$30.0 million (RMB183.5 million), and acquired additional ordinary shares and Class A ordinary shares from certain investors of Particle with a total cash consideration of US$27.6 million (RMB168.5 million). Following the transactions, also in April 2015, Particle repurchased all the ordinary shares and Class A ordinary shares held by the Company, including ordinary shares purchased by the Company in 2014, and issued to the Company one Series C convertible redeemable preferred share for each ordinary share or Class A ordinary share. The gain on disposal of ordinary shares and Class A ordinary shares and acquisition of Series C convertible redeemable preferred shares was RMB4.6 million for the year ended December 31, 2015. As of December 31, 2015, the Company held Series B and Series C convertible redeemable preferred shares of Particle, which had been accounted for as available-for-sale investments, representing approximately 46.95% equity interest of Particle on an as-if converted basis.</w:t>
      </w:r>
    </w:p>
    <w:p>
      <w:pPr>
        <w:spacing w:after="0" w:line="185" w:lineRule="exact"/>
        <w:rPr>
          <w:sz w:val="20"/>
          <w:szCs w:val="20"/>
          <w:color w:val="auto"/>
        </w:rPr>
      </w:pPr>
    </w:p>
    <w:p>
      <w:pPr>
        <w:jc w:val="both"/>
        <w:ind w:right="240" w:firstLine="540"/>
        <w:spacing w:after="0" w:line="266" w:lineRule="auto"/>
        <w:rPr>
          <w:sz w:val="20"/>
          <w:szCs w:val="20"/>
          <w:color w:val="auto"/>
        </w:rPr>
      </w:pPr>
      <w:r>
        <w:rPr>
          <w:rFonts w:ascii="Times New Roman" w:cs="Times New Roman" w:eastAsia="Times New Roman" w:hAnsi="Times New Roman"/>
          <w:sz w:val="18"/>
          <w:szCs w:val="18"/>
          <w:color w:val="auto"/>
        </w:rPr>
        <w:t>In August 2016, Particle completed Series D financing activity with an associate company of Guangdong OPPO Mobile Telecommunications Ltd. (</w:t>
      </w:r>
      <w:r>
        <w:rPr>
          <w:rFonts w:ascii="Times New Roman" w:cs="Times New Roman" w:eastAsia="Times New Roman" w:hAnsi="Times New Roman"/>
          <w:sz w:val="17"/>
          <w:szCs w:val="17"/>
          <w:color w:val="auto"/>
        </w:rPr>
        <w:t>“</w:t>
      </w:r>
      <w:r>
        <w:rPr>
          <w:rFonts w:ascii="Times New Roman" w:cs="Times New Roman" w:eastAsia="Times New Roman" w:hAnsi="Times New Roman"/>
          <w:sz w:val="18"/>
          <w:szCs w:val="18"/>
          <w:color w:val="auto"/>
        </w:rPr>
        <w:t>OPPO”), a leading manufacturer of smartphones and other electronic products in the PRC by issuing Series D convertible redeemable preferred shares to OPPO. The Company did not participate in the Series D financing activity and its equity interest of Particle was partly diluted.</w:t>
      </w:r>
    </w:p>
    <w:p>
      <w:pPr>
        <w:spacing w:after="0" w:line="176" w:lineRule="exact"/>
        <w:rPr>
          <w:sz w:val="20"/>
          <w:szCs w:val="20"/>
          <w:color w:val="auto"/>
        </w:rPr>
      </w:pPr>
    </w:p>
    <w:p>
      <w:pPr>
        <w:ind w:right="160" w:firstLine="541"/>
        <w:spacing w:after="0" w:line="261" w:lineRule="auto"/>
        <w:rPr>
          <w:sz w:val="20"/>
          <w:szCs w:val="20"/>
          <w:color w:val="auto"/>
        </w:rPr>
      </w:pPr>
      <w:r>
        <w:rPr>
          <w:rFonts w:ascii="Times New Roman" w:cs="Times New Roman" w:eastAsia="Times New Roman" w:hAnsi="Times New Roman"/>
          <w:sz w:val="18"/>
          <w:szCs w:val="18"/>
          <w:color w:val="auto"/>
        </w:rPr>
        <w:t xml:space="preserve">In December 2016, the Company acquired Series D1 convertible redeemable preferred shares of Particle through converting convertible loans due from Particle (see Note 10) with an aggregate amount of US$20.7 million (RMB143.8 million). As of December 31, 2016, the Company held Series B, Series C and Series D1 </w:t>
      </w:r>
      <w:r>
        <w:rPr>
          <w:rFonts w:ascii="Times New Roman" w:cs="Times New Roman" w:eastAsia="Times New Roman" w:hAnsi="Times New Roman"/>
          <w:sz w:val="17"/>
          <w:szCs w:val="17"/>
          <w:color w:val="auto"/>
        </w:rPr>
        <w:t>convertible redeemable</w:t>
      </w:r>
      <w:r>
        <w:rPr>
          <w:rFonts w:ascii="Times New Roman" w:cs="Times New Roman" w:eastAsia="Times New Roman" w:hAnsi="Times New Roman"/>
          <w:sz w:val="18"/>
          <w:szCs w:val="18"/>
          <w:color w:val="auto"/>
        </w:rPr>
        <w:t xml:space="preserve"> preferred shares, which had been accounted for as available-for-sale investments, representing approximately 44.2% equity interest of Particle on an as-if converted basis.</w:t>
      </w:r>
    </w:p>
    <w:p>
      <w:pPr>
        <w:sectPr>
          <w:pgSz w:w="11900" w:h="16875" w:orient="portrait"/>
          <w:cols w:equalWidth="0" w:num="1">
            <w:col w:w="11420"/>
          </w:cols>
          <w:pgMar w:left="240" w:top="121" w:right="239" w:bottom="0" w:gutter="0" w:footer="0" w:header="0"/>
        </w:sectPr>
      </w:pPr>
    </w:p>
    <w:bookmarkStart w:id="118" w:name="page119"/>
    <w:bookmarkEnd w:id="118"/>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Available-for-sale Investments (Continued)</w:t>
      </w:r>
    </w:p>
    <w:p>
      <w:pPr>
        <w:spacing w:after="0" w:line="229" w:lineRule="exact"/>
        <w:rPr>
          <w:sz w:val="20"/>
          <w:szCs w:val="20"/>
          <w:color w:val="auto"/>
        </w:rPr>
      </w:pPr>
    </w:p>
    <w:p>
      <w:pPr>
        <w:ind w:right="20" w:firstLine="540"/>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determined that its investments in Series B, Series C and Series D1 convertible redeemable preferred shares of Particle are not considered in-substance common stock and are therefore not within the scope of ASC 323 </w:t>
      </w:r>
      <w:r>
        <w:rPr>
          <w:rFonts w:ascii="Times New Roman" w:cs="Times New Roman" w:eastAsia="Times New Roman" w:hAnsi="Times New Roman"/>
          <w:sz w:val="18"/>
          <w:szCs w:val="18"/>
          <w:i w:val="1"/>
          <w:iCs w:val="1"/>
          <w:color w:val="auto"/>
        </w:rPr>
        <w:t>Equity Method and Joint Ventures</w:t>
      </w:r>
      <w:r>
        <w:rPr>
          <w:rFonts w:ascii="Times New Roman" w:cs="Times New Roman" w:eastAsia="Times New Roman" w:hAnsi="Times New Roman"/>
          <w:sz w:val="18"/>
          <w:szCs w:val="18"/>
          <w:color w:val="auto"/>
        </w:rPr>
        <w:t>. The Company’s investments in Series B, Series C and Series D1 convertible redeemable preferred shares of Particle are classified as available-for-sale investments and reported at fair value, which is estimated by management after considering valuation reports prepared by a reputable and independent appraisal firm on a recurring basis. As the Company does not expect to sell or redeem the Series B, Series C and Series D1 convertible redeemable preferred shares within one year, they are classified as long-term available-for-sale investments.</w:t>
      </w:r>
    </w:p>
    <w:p>
      <w:pPr>
        <w:spacing w:after="0" w:line="188" w:lineRule="exact"/>
        <w:rPr>
          <w:sz w:val="20"/>
          <w:szCs w:val="20"/>
          <w:color w:val="auto"/>
        </w:rPr>
      </w:pPr>
    </w:p>
    <w:p>
      <w:pPr>
        <w:ind w:right="100" w:firstLine="540"/>
        <w:spacing w:after="0" w:line="266"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7"/>
          <w:szCs w:val="17"/>
          <w:color w:val="auto"/>
        </w:rPr>
        <w:t>otal unrealized gains on available-for-sale investment</w:t>
      </w:r>
      <w:r>
        <w:rPr>
          <w:rFonts w:ascii="Times New Roman" w:cs="Times New Roman" w:eastAsia="Times New Roman" w:hAnsi="Times New Roman"/>
          <w:sz w:val="18"/>
          <w:szCs w:val="18"/>
          <w:color w:val="auto"/>
        </w:rPr>
        <w:t>s recorded in accumulated other comprehensive income were RMB56.2 million and RMB303.5 million (US$43.7 million) as of December 31, 2015 and 2016, respectively. The fair value of available-for-sale investments in Particle were RMB514.0 million and RMB939.4 million (US$135.3 million) as of December 31, 2015 and 2016, respectively (see Note 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Equity Investments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Equity method investments</w:t>
      </w:r>
    </w:p>
    <w:p>
      <w:pPr>
        <w:spacing w:after="0" w:line="229" w:lineRule="exact"/>
        <w:rPr>
          <w:sz w:val="20"/>
          <w:szCs w:val="20"/>
          <w:color w:val="auto"/>
        </w:rPr>
      </w:pPr>
    </w:p>
    <w:p>
      <w:pPr>
        <w:ind w:firstLine="540"/>
        <w:spacing w:after="0" w:line="253" w:lineRule="auto"/>
        <w:rPr>
          <w:sz w:val="20"/>
          <w:szCs w:val="20"/>
          <w:color w:val="auto"/>
        </w:rPr>
      </w:pPr>
      <w:r>
        <w:rPr>
          <w:rFonts w:ascii="Times New Roman" w:cs="Times New Roman" w:eastAsia="Times New Roman" w:hAnsi="Times New Roman"/>
          <w:sz w:val="18"/>
          <w:szCs w:val="18"/>
          <w:color w:val="auto"/>
        </w:rPr>
        <w:t>In March 2014, IDG-Accel China Growth Fund III L.P. and IDG-Accel China III Investors L.P. (collectively referred to as “IDG-Accel Funds”) acquired US$3.0 million convertible preferred shares of Phoenix FM Limited (“FM”), previously a subsidiary of the Company, to accelerate development of the ifeng application business. Despite holding 100% of FM’s ordinary shares, the Company accounted for its investment in FM as an equity investment since the Company did not control FM due to substantive participating rights that have been provided to the IDG-Accel Funds. On the date the Company lost control of FM in March, 2014, the Company recognized a gain of RMB18.0 million in the consolidated statements of comprehensive income primarily arising from the difference between the fair value of its 100% equity interest of ordinary shares and the carrying amount of net assets in FM. The fair value of the ordinary shares was estimated by management after considering an independent valuation performed by a reputable appraisal firm. As of December 31, 2015 and 2016, the carrying values of equity investment in FM were nil and nil, respectively. In addition to the equity investment in FM, there was a RMB15.2 million loan receivable due from FM which has been impaired with an impairment amount of RMB9.0 million recorded in “Loss from equity investments, including impairments” for the year ended December 31, 2015. In 2016, Phoenix FM repaid certain loans with a total amount of RMB7.2 million (US$1.0 million) and the impairment for loan receivable due from FM recorded in 2015 had been recovered of approximately RMB1.0 million (US$0.1 million).</w:t>
      </w:r>
    </w:p>
    <w:p>
      <w:pPr>
        <w:spacing w:after="0" w:line="191" w:lineRule="exact"/>
        <w:rPr>
          <w:sz w:val="20"/>
          <w:szCs w:val="20"/>
          <w:color w:val="auto"/>
        </w:rPr>
      </w:pPr>
    </w:p>
    <w:p>
      <w:pPr>
        <w:ind w:firstLine="566"/>
        <w:spacing w:after="0" w:line="255" w:lineRule="auto"/>
        <w:rPr>
          <w:sz w:val="20"/>
          <w:szCs w:val="20"/>
          <w:color w:val="auto"/>
        </w:rPr>
      </w:pPr>
      <w:r>
        <w:rPr>
          <w:rFonts w:ascii="Times New Roman" w:cs="Times New Roman" w:eastAsia="Times New Roman" w:hAnsi="Times New Roman"/>
          <w:sz w:val="18"/>
          <w:szCs w:val="18"/>
          <w:color w:val="auto"/>
        </w:rPr>
        <w:t>In April 2014, the Group established a wholly owned subsidiary, Shenzhenshi Fenghuang Jingcai Network Technology Co., Ltd. (“Fenghuang Jingcai”), for the development of online lottery ticket distribution business. In June 2014, Shikong Chuangyi (Beijing) Technology Culture Development Co. Ltd. and an individual investor agreed to inject capital of RMB8.2 million to acquire Fenghuang Jingcai’s 54.94% equity interest. As the Group lost control of Fenghuang Jingcai after the capital injections in July, 2014, gain on disposal of subsidiaries and acquisition of equity investments of RMB5.5 million was recognized in the consolidated statements of comprehensive income primarily arising from the difference between the fair value of its retained 45.06% equity interest and the carrying amount of Fenghuang Jingcai’s net assets. The fair value of the retained investment was estimated by management after considering an independent valuation performed by a reputable appraisal firm. In March 2016, Fenghuang Jingcai obtained additional capital injection from an independent third party, and the Group’s equity interest in Fenghuang Jingcai decreased to 31.54%.</w:t>
      </w:r>
    </w:p>
    <w:p>
      <w:pPr>
        <w:spacing w:after="0" w:line="185" w:lineRule="exact"/>
        <w:rPr>
          <w:sz w:val="20"/>
          <w:szCs w:val="20"/>
          <w:color w:val="auto"/>
        </w:rPr>
      </w:pPr>
    </w:p>
    <w:p>
      <w:pPr>
        <w:ind w:right="60" w:firstLine="540"/>
        <w:spacing w:after="0" w:line="255" w:lineRule="auto"/>
        <w:rPr>
          <w:sz w:val="20"/>
          <w:szCs w:val="20"/>
          <w:color w:val="auto"/>
        </w:rPr>
      </w:pPr>
      <w:r>
        <w:rPr>
          <w:rFonts w:ascii="Times New Roman" w:cs="Times New Roman" w:eastAsia="Times New Roman" w:hAnsi="Times New Roman"/>
          <w:sz w:val="18"/>
          <w:szCs w:val="18"/>
          <w:color w:val="auto"/>
        </w:rPr>
        <w:t xml:space="preserve">Since March 2015, Fenghuang Jingcai had suspended all of its online lottery ticket distribution businesses, in response to the Notice related to Self-Inspection and Self-Remedy of Unauthorized Online Lottery Sales, or the Self-Inspection Notice, which was jointly promulgated by the Ministry of Finance, the Ministry of Civil Affairs and the General Administration of Sports of the People’s Republic of China. </w:t>
      </w:r>
      <w:r>
        <w:rPr>
          <w:rFonts w:ascii="Times New Roman" w:cs="Times New Roman" w:eastAsia="Times New Roman" w:hAnsi="Times New Roman"/>
          <w:sz w:val="17"/>
          <w:szCs w:val="17"/>
          <w:color w:val="auto"/>
        </w:rPr>
        <w:t>As of December 31, 2016,</w:t>
      </w:r>
      <w:r>
        <w:rPr>
          <w:rFonts w:ascii="Times New Roman" w:cs="Times New Roman" w:eastAsia="Times New Roman" w:hAnsi="Times New Roman"/>
          <w:sz w:val="18"/>
          <w:szCs w:val="18"/>
          <w:color w:val="auto"/>
        </w:rPr>
        <w:t xml:space="preserve"> there has been no change in the Self-Inspection Notice. The management assessed that this regulatory change will continue to have negative impact to the cash flows of Fenghuang Jingcai in the future, and that the carrying value of Fenghuang Jingcai may not be fully recoverable. For the year ended December 31, 2015, the impairment of the equity investment in Fenghuang Jingcai recorded in the consolidated statements of comprehensive income was RMB3.2 million. As of December 31, 2015 and 2016, the carrying values of equity investment in Fenghuang Jingcai were nil.</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Equity Investments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Equity method investments (continued)</w:t>
      </w:r>
    </w:p>
    <w:p>
      <w:pPr>
        <w:spacing w:after="0" w:line="229" w:lineRule="exact"/>
        <w:rPr>
          <w:sz w:val="20"/>
          <w:szCs w:val="20"/>
          <w:color w:val="auto"/>
        </w:rPr>
      </w:pPr>
    </w:p>
    <w:p>
      <w:pPr>
        <w:ind w:right="100" w:firstLine="566"/>
        <w:spacing w:after="0" w:line="258" w:lineRule="auto"/>
        <w:rPr>
          <w:sz w:val="20"/>
          <w:szCs w:val="20"/>
          <w:color w:val="auto"/>
        </w:rPr>
      </w:pPr>
      <w:r>
        <w:rPr>
          <w:rFonts w:ascii="Times New Roman" w:cs="Times New Roman" w:eastAsia="Times New Roman" w:hAnsi="Times New Roman"/>
          <w:sz w:val="18"/>
          <w:szCs w:val="18"/>
          <w:color w:val="auto"/>
        </w:rPr>
        <w:t>In December 2014, the Company acquired ordinary shares of Particle, representing 9.08% equity interest of Particle, on an as-if converted basis with a cash consideration of US$5.0 million (RMB31.2 million) and a number of the Company’s ordinary shares with fair value of US$2.8 million (RMB17.3 million). Such investment was accounted for under the equity method as of December 31, 2014. In April 2015, all the ordinary shares and Class A ordinary shares the Company purchased were converted to Series C convertible redeemable preferred shares and all the investments in Particle were accounted for available-for sale investments as of December 31, 2015 (see Note 8).</w:t>
      </w:r>
    </w:p>
    <w:p>
      <w:pPr>
        <w:spacing w:after="0" w:line="184" w:lineRule="exact"/>
        <w:rPr>
          <w:sz w:val="20"/>
          <w:szCs w:val="20"/>
          <w:color w:val="auto"/>
        </w:rPr>
      </w:pPr>
    </w:p>
    <w:p>
      <w:pPr>
        <w:ind w:right="120" w:firstLine="540"/>
        <w:spacing w:after="0" w:line="313" w:lineRule="auto"/>
        <w:rPr>
          <w:sz w:val="20"/>
          <w:szCs w:val="20"/>
          <w:color w:val="auto"/>
        </w:rPr>
      </w:pPr>
      <w:r>
        <w:rPr>
          <w:rFonts w:ascii="Times New Roman" w:cs="Times New Roman" w:eastAsia="Times New Roman" w:hAnsi="Times New Roman"/>
          <w:sz w:val="17"/>
          <w:szCs w:val="17"/>
          <w:color w:val="auto"/>
        </w:rPr>
        <w:t>Beijing Fenghuang Tianbo Network Technology Co., Ltd. (“Tianbo”) was previously a 51% equity-owned consolidated subsidiary of the Group with the board resolution requiring more than 50% board members to approve. In December 2014, the Group sold 1% equity interest of Tianbo to the minority</w:t>
      </w:r>
    </w:p>
    <w:p>
      <w:pPr>
        <w:sectPr>
          <w:pgSz w:w="11900" w:h="16957" w:orient="portrait"/>
          <w:cols w:equalWidth="0" w:num="1">
            <w:col w:w="11400"/>
          </w:cols>
          <w:pgMar w:left="240" w:top="337" w:right="259" w:bottom="0" w:gutter="0" w:footer="0" w:header="0"/>
        </w:sectPr>
      </w:pPr>
    </w:p>
    <w:bookmarkStart w:id="119" w:name="page120"/>
    <w:bookmarkEnd w:id="119"/>
    <w:p>
      <w:pPr>
        <w:ind w:right="80"/>
        <w:spacing w:after="0" w:line="254" w:lineRule="auto"/>
        <w:rPr>
          <w:sz w:val="20"/>
          <w:szCs w:val="20"/>
          <w:color w:val="auto"/>
        </w:rPr>
      </w:pPr>
      <w:r>
        <w:rPr>
          <w:rFonts w:ascii="Times New Roman" w:cs="Times New Roman" w:eastAsia="Times New Roman" w:hAnsi="Times New Roman"/>
          <w:sz w:val="18"/>
          <w:szCs w:val="18"/>
          <w:color w:val="auto"/>
        </w:rPr>
        <w:t>shareholder of Tianbo. After the disposal, although the Group still has the majority of board seats, all the resolutions must be unanimously approved by all of the board members. Therefore, the Group lost control of Tianbo because of such substantive participating rights that have been provided to minority shareholders. As the Group has significant influence over financial and operating decision-making after deconsolidation, the Group accounted for the retained 50% equity interests by using the equity method of accounting. The retained investment was remeasured at fair value of RMB13.1 million on the date the Group lost control of Tianbo in December 2014. The gain on deconsolidation of RMB6.2 million in 2014 was calculated as the difference between: a) the aggregate of (1) the cash consideration of RMB0.2 million, (2) the fair value of the retained 50% equity interest of RMB13.1 million, (3) the carrying amount of noncontrolling interest in the former subsidiary of RMB2.9 million, and b) the carrying amount of Tianbo’s net assets of RMB10.0 million. The fair value of the retained investment was estimated by management after considering an independent appraisal performed by a reputable valuation firm. As of December 31, 2015 and 2016, the carrying value of equity investment in Tianbo was RMB9.6 million and RMB8.2 million (US$1.2 million), respectively.</w:t>
      </w:r>
    </w:p>
    <w:p>
      <w:pPr>
        <w:spacing w:after="0" w:line="189" w:lineRule="exact"/>
        <w:rPr>
          <w:sz w:val="20"/>
          <w:szCs w:val="20"/>
          <w:color w:val="auto"/>
        </w:rPr>
      </w:pPr>
    </w:p>
    <w:p>
      <w:pPr>
        <w:ind w:right="240" w:firstLine="540"/>
        <w:spacing w:after="0" w:line="261" w:lineRule="auto"/>
        <w:rPr>
          <w:sz w:val="20"/>
          <w:szCs w:val="20"/>
          <w:color w:val="auto"/>
        </w:rPr>
      </w:pPr>
      <w:r>
        <w:rPr>
          <w:rFonts w:ascii="Times New Roman" w:cs="Times New Roman" w:eastAsia="Times New Roman" w:hAnsi="Times New Roman"/>
          <w:sz w:val="18"/>
          <w:szCs w:val="18"/>
          <w:color w:val="auto"/>
        </w:rPr>
        <w:t>In February 2015, the Group invested approximately RMB4.5 million in Hangzhou Qike Technology Co., Ltd. (“Qike”), a company engaged in providing risk management and credit control assessment based on big data analysis to enterprises and eventually directly to individual customers, and held 45% equity interest of this company. As of December 31, 2015 and 2016, the carrying values of equity investment in Qike were RMB1.5 million and RMB0.1 million (US$0.02 million), respectively.</w:t>
      </w:r>
    </w:p>
    <w:p>
      <w:pPr>
        <w:spacing w:after="0" w:line="180" w:lineRule="exact"/>
        <w:rPr>
          <w:sz w:val="20"/>
          <w:szCs w:val="20"/>
          <w:color w:val="auto"/>
        </w:rPr>
      </w:pPr>
    </w:p>
    <w:p>
      <w:pPr>
        <w:ind w:right="140" w:firstLine="566"/>
        <w:spacing w:after="0" w:line="282" w:lineRule="auto"/>
        <w:rPr>
          <w:sz w:val="20"/>
          <w:szCs w:val="20"/>
          <w:color w:val="auto"/>
        </w:rPr>
      </w:pPr>
      <w:r>
        <w:rPr>
          <w:rFonts w:ascii="Times New Roman" w:cs="Times New Roman" w:eastAsia="Times New Roman" w:hAnsi="Times New Roman"/>
          <w:sz w:val="18"/>
          <w:szCs w:val="18"/>
          <w:color w:val="auto"/>
        </w:rPr>
        <w:t>The Group summaries the condensed financial information of the Group’s equity method investments as a group below in accordance with Rule 4-08 of Regulation S-X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000" w:type="dxa"/>
            <w:vAlign w:val="bottom"/>
          </w:tcPr>
          <w:p>
            <w:pPr>
              <w:spacing w:after="0"/>
              <w:rPr>
                <w:sz w:val="12"/>
                <w:szCs w:val="12"/>
                <w:color w:val="auto"/>
              </w:rPr>
            </w:pPr>
          </w:p>
        </w:tc>
        <w:tc>
          <w:tcPr>
            <w:tcW w:w="1360" w:type="dxa"/>
            <w:vAlign w:val="bottom"/>
            <w:tcBorders>
              <w:bottom w:val="single" w:sz="8" w:color="auto"/>
            </w:tcBorders>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280" w:type="dxa"/>
            <w:vAlign w:val="bottom"/>
          </w:tcPr>
          <w:p>
            <w:pPr>
              <w:spacing w:after="0"/>
              <w:rPr>
                <w:sz w:val="12"/>
                <w:szCs w:val="12"/>
                <w:color w:val="auto"/>
              </w:rPr>
            </w:pPr>
          </w:p>
        </w:tc>
        <w:tc>
          <w:tcPr>
            <w:tcW w:w="1380" w:type="dxa"/>
            <w:vAlign w:val="bottom"/>
            <w:tcBorders>
              <w:bottom w:val="single" w:sz="8" w:color="auto"/>
            </w:tcBorders>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5000" w:type="dxa"/>
            <w:vAlign w:val="bottom"/>
          </w:tcPr>
          <w:p>
            <w:pPr>
              <w:spacing w:after="0"/>
              <w:rPr>
                <w:sz w:val="12"/>
                <w:szCs w:val="12"/>
                <w:color w:val="auto"/>
              </w:rPr>
            </w:pPr>
          </w:p>
        </w:tc>
        <w:tc>
          <w:tcPr>
            <w:tcW w:w="1360" w:type="dxa"/>
            <w:vAlign w:val="bottom"/>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data:</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12,944</w:t>
            </w:r>
          </w:p>
        </w:tc>
        <w:tc>
          <w:tcPr>
            <w:tcW w:w="2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67,752</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103,038</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14,841</w:t>
            </w:r>
          </w:p>
        </w:tc>
        <w:tc>
          <w:tcPr>
            <w:tcW w:w="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36,245</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63,135</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9,093</w:t>
            </w:r>
          </w:p>
        </w:tc>
        <w:tc>
          <w:tcPr>
            <w:tcW w:w="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(21,813)</w:t>
            </w:r>
          </w:p>
        </w:tc>
        <w:tc>
          <w:tcPr>
            <w:tcW w:w="2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(69,290)</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(22,888)</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(3,297)</w:t>
            </w:r>
          </w:p>
        </w:tc>
        <w:tc>
          <w:tcPr>
            <w:tcW w:w="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PNM’s share of net loss, including impairments</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(18,538)</w:t>
            </w:r>
          </w:p>
        </w:tc>
        <w:tc>
          <w:tcPr>
            <w:tcW w:w="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(41,861)</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(1,776)</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(256)</w:t>
            </w:r>
          </w:p>
        </w:tc>
        <w:tc>
          <w:tcPr>
            <w:tcW w:w="40" w:type="dxa"/>
            <w:vAlign w:val="bottom"/>
          </w:tcPr>
          <w:p>
            <w:pPr>
              <w:spacing w:after="0"/>
              <w:rPr>
                <w:sz w:val="18"/>
                <w:szCs w:val="18"/>
                <w:color w:val="auto"/>
              </w:rPr>
            </w:pPr>
          </w:p>
        </w:tc>
      </w:tr>
      <w:tr>
        <w:trPr>
          <w:trHeight w:val="365"/>
        </w:trPr>
        <w:tc>
          <w:tcPr>
            <w:tcW w:w="5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5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280" w:type="dxa"/>
            <w:vAlign w:val="bottom"/>
          </w:tcPr>
          <w:p>
            <w:pPr>
              <w:spacing w:after="0"/>
              <w:rPr>
                <w:sz w:val="12"/>
                <w:szCs w:val="12"/>
                <w:color w:val="auto"/>
              </w:rPr>
            </w:pPr>
          </w:p>
        </w:tc>
        <w:tc>
          <w:tcPr>
            <w:tcW w:w="1380" w:type="dxa"/>
            <w:vAlign w:val="bottom"/>
            <w:tcBorders>
              <w:bottom w:val="single" w:sz="8" w:color="auto"/>
            </w:tcBorders>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5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58,239</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58,883</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8,481</w:t>
            </w:r>
          </w:p>
        </w:tc>
        <w:tc>
          <w:tcPr>
            <w:tcW w:w="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14,470</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17,479</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2,517</w:t>
            </w:r>
          </w:p>
        </w:tc>
        <w:tc>
          <w:tcPr>
            <w:tcW w:w="40" w:type="dxa"/>
            <w:vAlign w:val="bottom"/>
          </w:tcPr>
          <w:p>
            <w:pPr>
              <w:spacing w:after="0"/>
              <w:rPr>
                <w:sz w:val="18"/>
                <w:szCs w:val="18"/>
                <w:color w:val="auto"/>
              </w:rPr>
            </w:pP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82,756</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103,590</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14,920</w:t>
            </w:r>
          </w:p>
        </w:tc>
        <w:tc>
          <w:tcPr>
            <w:tcW w:w="40" w:type="dxa"/>
            <w:vAlign w:val="bottom"/>
          </w:tcPr>
          <w:p>
            <w:pPr>
              <w:spacing w:after="0"/>
              <w:rPr>
                <w:sz w:val="20"/>
                <w:szCs w:val="20"/>
                <w:color w:val="auto"/>
              </w:rPr>
            </w:pPr>
          </w:p>
        </w:tc>
      </w:tr>
      <w:tr>
        <w:trPr>
          <w:trHeight w:val="414"/>
        </w:trPr>
        <w:tc>
          <w:tcPr>
            <w:tcW w:w="5000" w:type="dxa"/>
            <w:vAlign w:val="bottom"/>
          </w:tcPr>
          <w:p>
            <w:pPr>
              <w:spacing w:after="0"/>
              <w:rPr>
                <w:sz w:val="24"/>
                <w:szCs w:val="24"/>
                <w:color w:val="auto"/>
              </w:rPr>
            </w:pPr>
          </w:p>
        </w:tc>
        <w:tc>
          <w:tcPr>
            <w:tcW w:w="16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F-29</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0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Equity Investments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Cost method investments</w:t>
      </w:r>
    </w:p>
    <w:p>
      <w:pPr>
        <w:spacing w:after="0" w:line="229" w:lineRule="exact"/>
        <w:rPr>
          <w:sz w:val="20"/>
          <w:szCs w:val="20"/>
          <w:color w:val="auto"/>
        </w:rPr>
      </w:pPr>
    </w:p>
    <w:p>
      <w:pPr>
        <w:ind w:right="160" w:firstLine="540"/>
        <w:spacing w:after="0" w:line="261" w:lineRule="auto"/>
        <w:rPr>
          <w:sz w:val="20"/>
          <w:szCs w:val="20"/>
          <w:color w:val="auto"/>
        </w:rPr>
      </w:pPr>
      <w:r>
        <w:rPr>
          <w:rFonts w:ascii="Times New Roman" w:cs="Times New Roman" w:eastAsia="Times New Roman" w:hAnsi="Times New Roman"/>
          <w:sz w:val="18"/>
          <w:szCs w:val="18"/>
          <w:color w:val="auto"/>
        </w:rPr>
        <w:t>In January 2015, the Group acquired 5% equity interest of Beijing Phoenix Lilita Information Technology Co., Ltd. (“Lilita”), from a family member of the chairman of Phoenix TV, for an aggregate purchase consideration of RMB0.5 million. Lilita is principally engaged in P2P lending and reward-based crowd-funding businesses. In July 2016, Lilita completed Round A financing activity and the Group’s percentage of equity interest in Lilita decreased to 4.69%.</w:t>
      </w:r>
    </w:p>
    <w:p>
      <w:pPr>
        <w:spacing w:after="0" w:line="180" w:lineRule="exact"/>
        <w:rPr>
          <w:sz w:val="20"/>
          <w:szCs w:val="20"/>
          <w:color w:val="auto"/>
        </w:rPr>
      </w:pPr>
    </w:p>
    <w:p>
      <w:pPr>
        <w:jc w:val="both"/>
        <w:ind w:right="280" w:firstLine="566"/>
        <w:spacing w:after="0" w:line="261" w:lineRule="auto"/>
        <w:rPr>
          <w:sz w:val="20"/>
          <w:szCs w:val="20"/>
          <w:color w:val="auto"/>
        </w:rPr>
      </w:pPr>
      <w:r>
        <w:rPr>
          <w:rFonts w:ascii="Times New Roman" w:cs="Times New Roman" w:eastAsia="Times New Roman" w:hAnsi="Times New Roman"/>
          <w:sz w:val="18"/>
          <w:szCs w:val="18"/>
          <w:color w:val="auto"/>
        </w:rPr>
        <w:t>In April 2015, the Group acquired 0.3% equity interest of Lifeix Inc. for an aggregate purchase consideration of US$1.0 million (RMB6.1 million). Lifeix Inc. is the operator of the life station websites L99.com and Lifeix.com. In December 2015, in view of business performance and near-term business outlook that were below management previous expectation, based on the other-than-temporary impairment assessment, the Group recorded the impairment loss of US$1.0 million (RMB6.4 million) to fully write down the equity investment.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Convertible loans due from a related party</w:t>
      </w:r>
    </w:p>
    <w:p>
      <w:pPr>
        <w:spacing w:after="0" w:line="229" w:lineRule="exact"/>
        <w:rPr>
          <w:sz w:val="20"/>
          <w:szCs w:val="20"/>
          <w:color w:val="auto"/>
        </w:rPr>
      </w:pPr>
    </w:p>
    <w:p>
      <w:pPr>
        <w:ind w:right="400" w:firstLine="566"/>
        <w:spacing w:after="0" w:line="261" w:lineRule="auto"/>
        <w:rPr>
          <w:sz w:val="20"/>
          <w:szCs w:val="20"/>
          <w:color w:val="auto"/>
        </w:rPr>
      </w:pPr>
      <w:r>
        <w:rPr>
          <w:rFonts w:ascii="Times New Roman" w:cs="Times New Roman" w:eastAsia="Times New Roman" w:hAnsi="Times New Roman"/>
          <w:sz w:val="18"/>
          <w:szCs w:val="18"/>
          <w:color w:val="auto"/>
        </w:rPr>
        <w:t>In January and April 2016, the Company granted two twelve-month unsecured short-term loans to Particle with a principal amount of US$10.0 million each at an interest rate of 4.35% per annum. In December 2016, the principals and the related accrued interests of the loans with a total amount of US$20.7 million (RMB143.8 million) were converted into Series D1 convertible redeemable preferred shares of Particle at a conversion price of US$0.876847 per share.</w:t>
      </w:r>
    </w:p>
    <w:p>
      <w:pPr>
        <w:spacing w:after="0" w:line="180" w:lineRule="exact"/>
        <w:rPr>
          <w:sz w:val="20"/>
          <w:szCs w:val="20"/>
          <w:color w:val="auto"/>
        </w:rPr>
      </w:pPr>
    </w:p>
    <w:p>
      <w:pPr>
        <w:ind w:right="140" w:firstLine="566"/>
        <w:spacing w:after="0" w:line="258" w:lineRule="auto"/>
        <w:rPr>
          <w:sz w:val="20"/>
          <w:szCs w:val="20"/>
          <w:color w:val="auto"/>
        </w:rPr>
      </w:pPr>
      <w:r>
        <w:rPr>
          <w:rFonts w:ascii="Times New Roman" w:cs="Times New Roman" w:eastAsia="Times New Roman" w:hAnsi="Times New Roman"/>
          <w:sz w:val="18"/>
          <w:szCs w:val="18"/>
          <w:color w:val="auto"/>
        </w:rPr>
        <w:t>In August 2016, the Company granted a new unsecured short-term loan to Particle with a principal amount of US$14.8 million (RMB98.1 million) at an interest rate of 4.35% per annum and with a term of no more than six months. In December 2016, the Company extended the terms of this loan from six months to twelve months. The Company has the right to convert, at the Company’s option, all or a portion of this loan (including principal and interests) into Series D1 preferred shares to be issued by Particle on or before August 9, 2017 at a conversion price of US$1.071803 per share. As of December 31, 2016, the carrying value of this loan was RMB104.4 million (US$15.0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Non-Current Assets</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is a summary of other non-current assets (in thousands):</w:t>
      </w:r>
    </w:p>
    <w:p>
      <w:pPr>
        <w:spacing w:after="0" w:line="219"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7620</wp:posOffset>
            </wp:positionV>
            <wp:extent cx="296735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ind w:left="7180"/>
        <w:spacing w:after="0"/>
        <w:tabs>
          <w:tab w:leader="none" w:pos="8820" w:val="left"/>
          <w:tab w:leader="none" w:pos="10460" w:val="left"/>
        </w:tabs>
        <w:rPr>
          <w:sz w:val="20"/>
          <w:szCs w:val="20"/>
          <w:color w:val="auto"/>
        </w:rPr>
      </w:pPr>
      <w:r>
        <w:rPr>
          <w:rFonts w:ascii="Times New Roman" w:cs="Times New Roman" w:eastAsia="Times New Roman" w:hAnsi="Times New Roman"/>
          <w:sz w:val="14"/>
          <w:szCs w:val="14"/>
          <w:b w:val="1"/>
          <w:bCs w:val="1"/>
          <w:color w:val="auto"/>
        </w:rPr>
        <w:t>2015</w:t>
      </w:r>
      <w:r>
        <w:rPr>
          <w:sz w:val="20"/>
          <w:szCs w:val="20"/>
          <w:color w:val="auto"/>
        </w:rPr>
        <w:tab/>
      </w:r>
      <w:r>
        <w:rPr>
          <w:rFonts w:ascii="Times New Roman" w:cs="Times New Roman" w:eastAsia="Times New Roman" w:hAnsi="Times New Roman"/>
          <w:sz w:val="14"/>
          <w:szCs w:val="14"/>
          <w:b w:val="1"/>
          <w:bCs w:val="1"/>
          <w:color w:val="auto"/>
        </w:rPr>
        <w:t>2016</w:t>
      </w:r>
      <w:r>
        <w:rPr>
          <w:sz w:val="20"/>
          <w:szCs w:val="20"/>
          <w:color w:val="auto"/>
        </w:rPr>
        <w:tab/>
      </w:r>
      <w:r>
        <w:rPr>
          <w:rFonts w:ascii="Times New Roman" w:cs="Times New Roman" w:eastAsia="Times New Roman" w:hAnsi="Times New Roman"/>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wp:posOffset>
            </wp:positionV>
            <wp:extent cx="296735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ind w:left="7160"/>
        <w:spacing w:after="0" w:line="235" w:lineRule="auto"/>
        <w:tabs>
          <w:tab w:leader="none" w:pos="8800" w:val="left"/>
          <w:tab w:leader="none" w:pos="10480" w:val="left"/>
        </w:tabs>
        <w:rPr>
          <w:sz w:val="20"/>
          <w:szCs w:val="20"/>
          <w:color w:val="auto"/>
        </w:rPr>
      </w:pPr>
      <w:r>
        <w:rPr>
          <w:rFonts w:ascii="Times New Roman" w:cs="Times New Roman" w:eastAsia="Times New Roman" w:hAnsi="Times New Roman"/>
          <w:sz w:val="14"/>
          <w:szCs w:val="14"/>
          <w:b w:val="1"/>
          <w:bCs w:val="1"/>
          <w:color w:val="auto"/>
        </w:rPr>
        <w:t>RMB</w:t>
      </w:r>
      <w:r>
        <w:rPr>
          <w:sz w:val="20"/>
          <w:szCs w:val="20"/>
          <w:color w:val="auto"/>
        </w:rPr>
        <w:tab/>
      </w:r>
      <w:r>
        <w:rPr>
          <w:rFonts w:ascii="Times New Roman" w:cs="Times New Roman" w:eastAsia="Times New Roman" w:hAnsi="Times New Roman"/>
          <w:sz w:val="14"/>
          <w:szCs w:val="14"/>
          <w:b w:val="1"/>
          <w:bCs w:val="1"/>
          <w:color w:val="auto"/>
        </w:rPr>
        <w:t>RMB</w:t>
      </w:r>
      <w:r>
        <w:rPr>
          <w:sz w:val="20"/>
          <w:szCs w:val="20"/>
          <w:color w:val="auto"/>
        </w:rPr>
        <w:tab/>
      </w:r>
      <w:r>
        <w:rPr>
          <w:rFonts w:ascii="Times New Roman" w:cs="Times New Roman" w:eastAsia="Times New Roman" w:hAnsi="Times New Roman"/>
          <w:sz w:val="14"/>
          <w:szCs w:val="14"/>
          <w:b w:val="1"/>
          <w:bCs w:val="1"/>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p>
      <w:pPr>
        <w:spacing w:after="0"/>
        <w:tabs>
          <w:tab w:leader="none" w:pos="7600" w:val="left"/>
          <w:tab w:leader="none" w:pos="9240" w:val="left"/>
          <w:tab w:leader="none" w:pos="10880" w:val="left"/>
        </w:tabs>
        <w:rPr>
          <w:sz w:val="20"/>
          <w:szCs w:val="20"/>
          <w:color w:val="auto"/>
        </w:rPr>
      </w:pPr>
      <w:r>
        <w:rPr>
          <w:rFonts w:ascii="Times New Roman" w:cs="Times New Roman" w:eastAsia="Times New Roman" w:hAnsi="Times New Roman"/>
          <w:sz w:val="18"/>
          <w:szCs w:val="18"/>
          <w:color w:val="auto"/>
        </w:rPr>
        <w:t>Rental deposits</w:t>
      </w:r>
      <w:r>
        <w:rPr>
          <w:sz w:val="20"/>
          <w:szCs w:val="20"/>
          <w:color w:val="auto"/>
        </w:rPr>
        <w:tab/>
      </w:r>
      <w:r>
        <w:rPr>
          <w:rFonts w:ascii="Times New Roman" w:cs="Times New Roman" w:eastAsia="Times New Roman" w:hAnsi="Times New Roman"/>
          <w:sz w:val="18"/>
          <w:szCs w:val="18"/>
          <w:color w:val="auto"/>
        </w:rPr>
        <w:t>7,517</w:t>
      </w:r>
      <w:r>
        <w:rPr>
          <w:sz w:val="20"/>
          <w:szCs w:val="20"/>
          <w:color w:val="auto"/>
        </w:rPr>
        <w:tab/>
      </w:r>
      <w:r>
        <w:rPr>
          <w:rFonts w:ascii="Times New Roman" w:cs="Times New Roman" w:eastAsia="Times New Roman" w:hAnsi="Times New Roman"/>
          <w:sz w:val="18"/>
          <w:szCs w:val="18"/>
          <w:color w:val="auto"/>
        </w:rPr>
        <w:t>7,599</w:t>
      </w:r>
      <w:r>
        <w:rPr>
          <w:sz w:val="20"/>
          <w:szCs w:val="20"/>
          <w:color w:val="auto"/>
        </w:rPr>
        <w:tab/>
      </w:r>
      <w:r>
        <w:rPr>
          <w:rFonts w:ascii="Times New Roman" w:cs="Times New Roman" w:eastAsia="Times New Roman" w:hAnsi="Times New Roman"/>
          <w:sz w:val="18"/>
          <w:szCs w:val="18"/>
          <w:color w:val="auto"/>
        </w:rPr>
        <w:t>1,094</w:t>
      </w:r>
    </w:p>
    <w:p>
      <w:pPr>
        <w:sectPr>
          <w:pgSz w:w="11900" w:h="16838" w:orient="portrait"/>
          <w:cols w:equalWidth="0" w:num="1">
            <w:col w:w="11460"/>
          </w:cols>
          <w:pgMar w:left="240" w:top="121" w:right="199" w:bottom="0" w:gutter="0" w:footer="0" w:header="0"/>
          <w:type w:val="continuous"/>
        </w:sectPr>
      </w:pPr>
    </w:p>
    <w:bookmarkStart w:id="120" w:name="page121"/>
    <w:bookmarkEnd w:id="120"/>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portion of prepayments to suppliers and other business related expenses</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10,229</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8,448</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1,217</w:t>
            </w:r>
          </w:p>
        </w:tc>
        <w:tc>
          <w:tcPr>
            <w:tcW w:w="40" w:type="dxa"/>
            <w:vAlign w:val="bottom"/>
          </w:tcPr>
          <w:p>
            <w:pPr>
              <w:spacing w:after="0"/>
              <w:rPr>
                <w:sz w:val="20"/>
                <w:szCs w:val="20"/>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12. Accrued Expenses and Other Current Liabilities</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75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xml:space="preserve">Accrued expenses and other current liabilities are comprised of </w:t>
            </w:r>
            <w:r>
              <w:rPr>
                <w:rFonts w:ascii="Times New Roman" w:cs="Times New Roman" w:eastAsia="Times New Roman" w:hAnsi="Times New Roman"/>
                <w:sz w:val="17"/>
                <w:szCs w:val="17"/>
                <w:color w:val="auto"/>
              </w:rPr>
              <w:t>(in thousands)</w:t>
            </w:r>
            <w:r>
              <w:rPr>
                <w:rFonts w:ascii="Times New Roman" w:cs="Times New Roman" w:eastAsia="Times New Roman" w:hAnsi="Times New Roman"/>
                <w:sz w:val="18"/>
                <w:szCs w:val="18"/>
                <w:color w:val="auto"/>
              </w:rPr>
              <w:t>:</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66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664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280" w:type="dxa"/>
            <w:vAlign w:val="bottom"/>
          </w:tcPr>
          <w:p>
            <w:pPr>
              <w:spacing w:after="0"/>
              <w:rPr>
                <w:sz w:val="12"/>
                <w:szCs w:val="12"/>
                <w:color w:val="auto"/>
              </w:rPr>
            </w:pPr>
          </w:p>
        </w:tc>
        <w:tc>
          <w:tcPr>
            <w:tcW w:w="138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860" w:type="dxa"/>
            <w:vAlign w:val="bottom"/>
          </w:tcPr>
          <w:p>
            <w:pPr>
              <w:jc w:val="center"/>
              <w:ind w:left="4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from advertising agencies and customers</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14,031</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20,644</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2,973</w:t>
            </w:r>
          </w:p>
        </w:tc>
        <w:tc>
          <w:tcPr>
            <w:tcW w:w="40" w:type="dxa"/>
            <w:vAlign w:val="bottom"/>
          </w:tcPr>
          <w:p>
            <w:pPr>
              <w:spacing w:after="0"/>
              <w:rPr>
                <w:sz w:val="18"/>
                <w:szCs w:val="18"/>
                <w:color w:val="auto"/>
              </w:rPr>
            </w:pPr>
          </w:p>
        </w:tc>
      </w:tr>
      <w:tr>
        <w:trPr>
          <w:trHeight w:val="216"/>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4,482</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7,413</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1,068</w:t>
            </w:r>
          </w:p>
        </w:tc>
        <w:tc>
          <w:tcPr>
            <w:tcW w:w="40" w:type="dxa"/>
            <w:vAlign w:val="bottom"/>
          </w:tcPr>
          <w:p>
            <w:pPr>
              <w:spacing w:after="0"/>
              <w:rPr>
                <w:sz w:val="18"/>
                <w:szCs w:val="18"/>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operating expenses payables</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59,702</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79,805</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11,494</w:t>
            </w:r>
          </w:p>
        </w:tc>
        <w:tc>
          <w:tcPr>
            <w:tcW w:w="40" w:type="dxa"/>
            <w:vAlign w:val="bottom"/>
          </w:tcPr>
          <w:p>
            <w:pPr>
              <w:spacing w:after="0"/>
              <w:rPr>
                <w:sz w:val="18"/>
                <w:szCs w:val="18"/>
                <w:color w:val="auto"/>
              </w:rPr>
            </w:pPr>
          </w:p>
        </w:tc>
      </w:tr>
      <w:tr>
        <w:trPr>
          <w:trHeight w:val="216"/>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2,676</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3,187</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w:t>
            </w:r>
          </w:p>
        </w:tc>
        <w:tc>
          <w:tcPr>
            <w:tcW w:w="40" w:type="dxa"/>
            <w:vAlign w:val="bottom"/>
          </w:tcPr>
          <w:p>
            <w:pPr>
              <w:spacing w:after="0"/>
              <w:rPr>
                <w:sz w:val="18"/>
                <w:szCs w:val="18"/>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80,891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111,049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7500" w:type="dxa"/>
            <w:vAlign w:val="bottom"/>
            <w:gridSpan w:val="2"/>
          </w:tcPr>
          <w:p>
            <w:pPr>
              <w:ind w:left="5540"/>
              <w:spacing w:after="0"/>
              <w:rPr>
                <w:sz w:val="20"/>
                <w:szCs w:val="20"/>
                <w:color w:val="auto"/>
              </w:rPr>
            </w:pPr>
            <w:r>
              <w:rPr>
                <w:rFonts w:ascii="Times New Roman" w:cs="Times New Roman" w:eastAsia="Times New Roman" w:hAnsi="Times New Roman"/>
                <w:sz w:val="18"/>
                <w:szCs w:val="18"/>
                <w:color w:val="auto"/>
              </w:rPr>
              <w:t>F-30</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64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Short-term Bank Loans</w:t>
      </w:r>
    </w:p>
    <w:p>
      <w:pPr>
        <w:spacing w:after="0" w:line="229" w:lineRule="exact"/>
        <w:rPr>
          <w:sz w:val="20"/>
          <w:szCs w:val="20"/>
          <w:color w:val="auto"/>
        </w:rPr>
      </w:pPr>
    </w:p>
    <w:p>
      <w:pPr>
        <w:ind w:right="60" w:firstLine="566"/>
        <w:spacing w:after="0" w:line="261" w:lineRule="auto"/>
        <w:rPr>
          <w:sz w:val="20"/>
          <w:szCs w:val="20"/>
          <w:color w:val="auto"/>
        </w:rPr>
      </w:pPr>
      <w:r>
        <w:rPr>
          <w:rFonts w:ascii="Times New Roman" w:cs="Times New Roman" w:eastAsia="Times New Roman" w:hAnsi="Times New Roman"/>
          <w:sz w:val="18"/>
          <w:szCs w:val="18"/>
          <w:color w:val="auto"/>
        </w:rPr>
        <w:t>In April 2015, the Group entered into a loan facility agreement (the “First Facility”) with a bank in Hong Kong (the “Bank”). According to the First Facility, the Group was authorized certain amounts of loans with maturity of twelve months, and the loans were required to be secured by RMB deposits in an onshore branch of the Bank. In April 2015, the Group obtained short-term bank loans of US$20.2 million (RMB123.6 million) from the Bank under the First Facility. The loans were repayable on demand and bore interest rate of London InterBank Offered Rate (“LIBOR”) plus 1.0%.</w:t>
      </w:r>
    </w:p>
    <w:p>
      <w:pPr>
        <w:spacing w:after="0" w:line="180" w:lineRule="exact"/>
        <w:rPr>
          <w:sz w:val="20"/>
          <w:szCs w:val="20"/>
          <w:color w:val="auto"/>
        </w:rPr>
      </w:pPr>
    </w:p>
    <w:p>
      <w:pPr>
        <w:ind w:right="240" w:firstLine="566"/>
        <w:spacing w:after="0" w:line="258" w:lineRule="auto"/>
        <w:rPr>
          <w:sz w:val="20"/>
          <w:szCs w:val="20"/>
          <w:color w:val="auto"/>
        </w:rPr>
      </w:pPr>
      <w:r>
        <w:rPr>
          <w:rFonts w:ascii="Times New Roman" w:cs="Times New Roman" w:eastAsia="Times New Roman" w:hAnsi="Times New Roman"/>
          <w:sz w:val="18"/>
          <w:szCs w:val="18"/>
          <w:color w:val="auto"/>
        </w:rPr>
        <w:t>In April 2016, the Group entered into a new loan facility agreement (the “Second Facility”) with the Bank to replace the First Facility. According to the Second Facility, the authorized amounts was increased and the term of the short-term bank loans of US$20.2 million borrowed in April 2015 under the First Facility was extended for another twelve months from the date of its maturity. Concurrent with the extension, the Group obtained additional US$10.0 million (RMB64.8 million) short-term bank loan with maturity of twelve months under the Second Facility. In July 2016, the Group obtained another US$14.8 million (RMB99.2 million) short-term bank loan with maturity of twelve months under the Second Facility.</w:t>
      </w:r>
    </w:p>
    <w:p>
      <w:pPr>
        <w:spacing w:after="0" w:line="184" w:lineRule="exact"/>
        <w:rPr>
          <w:sz w:val="20"/>
          <w:szCs w:val="20"/>
          <w:color w:val="auto"/>
        </w:rPr>
      </w:pPr>
    </w:p>
    <w:p>
      <w:pPr>
        <w:ind w:right="100" w:firstLine="566"/>
        <w:spacing w:after="0" w:line="266" w:lineRule="auto"/>
        <w:rPr>
          <w:sz w:val="20"/>
          <w:szCs w:val="20"/>
          <w:color w:val="auto"/>
        </w:rPr>
      </w:pPr>
      <w:r>
        <w:rPr>
          <w:rFonts w:ascii="Times New Roman" w:cs="Times New Roman" w:eastAsia="Times New Roman" w:hAnsi="Times New Roman"/>
          <w:sz w:val="18"/>
          <w:szCs w:val="18"/>
          <w:color w:val="auto"/>
        </w:rPr>
        <w:t>In November 2016, the Group entered into another loan facility (the “Third Facility”) with the Bank and obtained US$6.9 million (RMB46.7 million) short-term bank loan with maturity of twelve months under the Third Facility with an interest rate of LIBOR plus 1.0%. Also in November 2016, the Group re-designated all the US$ denominated loans into RMB denominated loans under the aforementioned facilities with the Bank.</w:t>
      </w:r>
    </w:p>
    <w:p>
      <w:pPr>
        <w:spacing w:after="0" w:line="176" w:lineRule="exact"/>
        <w:rPr>
          <w:sz w:val="20"/>
          <w:szCs w:val="20"/>
          <w:color w:val="auto"/>
        </w:rPr>
      </w:pPr>
    </w:p>
    <w:p>
      <w:pPr>
        <w:ind w:right="140" w:firstLine="566"/>
        <w:spacing w:after="0" w:line="266" w:lineRule="auto"/>
        <w:rPr>
          <w:sz w:val="20"/>
          <w:szCs w:val="20"/>
          <w:color w:val="auto"/>
        </w:rPr>
      </w:pPr>
      <w:r>
        <w:rPr>
          <w:rFonts w:ascii="Times New Roman" w:cs="Times New Roman" w:eastAsia="Times New Roman" w:hAnsi="Times New Roman"/>
          <w:sz w:val="18"/>
          <w:szCs w:val="18"/>
          <w:color w:val="auto"/>
        </w:rPr>
        <w:t>As of December 31, 2015 and 2016, the Group had total short-term bank loans of RMB131.0 million and RMB354.6 million (US$51.0 million) from the Bank, respectively, and these short-term bank loans were secured by bank deposits of RMB125.0 million and RMB354.6 million (US$51.0 million), respectively. The pledged deposits were classified as restricted cash on the consolidated balance sheets.</w:t>
      </w:r>
    </w:p>
    <w:p>
      <w:pPr>
        <w:spacing w:after="0" w:line="176" w:lineRule="exact"/>
        <w:rPr>
          <w:sz w:val="20"/>
          <w:szCs w:val="20"/>
          <w:color w:val="auto"/>
        </w:rPr>
      </w:pPr>
    </w:p>
    <w:p>
      <w:pPr>
        <w:ind w:right="40" w:firstLine="566"/>
        <w:spacing w:after="0" w:line="266" w:lineRule="auto"/>
        <w:rPr>
          <w:sz w:val="20"/>
          <w:szCs w:val="20"/>
          <w:color w:val="auto"/>
        </w:rPr>
      </w:pPr>
      <w:r>
        <w:rPr>
          <w:rFonts w:ascii="Times New Roman" w:cs="Times New Roman" w:eastAsia="Times New Roman" w:hAnsi="Times New Roman"/>
          <w:sz w:val="18"/>
          <w:szCs w:val="18"/>
          <w:color w:val="auto"/>
        </w:rPr>
        <w:t>In April 2016, the Group entered into a loan facility agreement with another domestic bank with maturity of twelve months. In December 2016, the Group obtained unsecured short-term bank loans of RMB4.0 million (US$0.6 million) with an interest rate of 4.35% per annum under this domestic bank loan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Cost of Revenues</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The cost of revenues is as follows </w:t>
      </w:r>
      <w:r>
        <w:rPr>
          <w:rFonts w:ascii="Times New Roman" w:cs="Times New Roman" w:eastAsia="Times New Roman" w:hAnsi="Times New Roman"/>
          <w:sz w:val="17"/>
          <w:szCs w:val="17"/>
          <w:color w:val="auto"/>
        </w:rPr>
        <w:t>(in thousands)</w:t>
      </w:r>
      <w:r>
        <w:rPr>
          <w:rFonts w:ascii="Times New Roman" w:cs="Times New Roman" w:eastAsia="Times New Roman" w:hAnsi="Times New Roman"/>
          <w:sz w:val="18"/>
          <w:szCs w:val="18"/>
          <w:color w:val="auto"/>
        </w:rPr>
        <w: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000" w:type="dxa"/>
            <w:vAlign w:val="bottom"/>
          </w:tcPr>
          <w:p>
            <w:pPr>
              <w:spacing w:after="0"/>
              <w:rPr>
                <w:sz w:val="12"/>
                <w:szCs w:val="12"/>
                <w:color w:val="auto"/>
              </w:rPr>
            </w:pPr>
          </w:p>
        </w:tc>
        <w:tc>
          <w:tcPr>
            <w:tcW w:w="136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Pr>
          <w:p>
            <w:pPr>
              <w:spacing w:after="0"/>
              <w:rPr>
                <w:sz w:val="12"/>
                <w:szCs w:val="12"/>
                <w:color w:val="auto"/>
              </w:rPr>
            </w:pPr>
          </w:p>
        </w:tc>
        <w:tc>
          <w:tcPr>
            <w:tcW w:w="1360" w:type="dxa"/>
            <w:vAlign w:val="bottom"/>
            <w:tcBorders>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2"/>
                <w:szCs w:val="12"/>
                <w:color w:val="auto"/>
              </w:rPr>
            </w:pPr>
          </w:p>
        </w:tc>
        <w:tc>
          <w:tcPr>
            <w:tcW w:w="138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5000" w:type="dxa"/>
            <w:vAlign w:val="bottom"/>
          </w:tcPr>
          <w:p>
            <w:pPr>
              <w:spacing w:after="0"/>
              <w:rPr>
                <w:sz w:val="12"/>
                <w:szCs w:val="12"/>
                <w:color w:val="auto"/>
              </w:rPr>
            </w:pPr>
          </w:p>
        </w:tc>
        <w:tc>
          <w:tcPr>
            <w:tcW w:w="1360" w:type="dxa"/>
            <w:vAlign w:val="bottom"/>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spacing w:after="0"/>
              <w:rPr>
                <w:sz w:val="12"/>
                <w:szCs w:val="12"/>
                <w:color w:val="auto"/>
              </w:rPr>
            </w:pPr>
          </w:p>
        </w:tc>
        <w:tc>
          <w:tcPr>
            <w:tcW w:w="1360" w:type="dxa"/>
            <w:vAlign w:val="bottom"/>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sharing fees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192,076</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216,972</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72,027</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10,374</w:t>
            </w:r>
          </w:p>
        </w:tc>
        <w:tc>
          <w:tcPr>
            <w:tcW w:w="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Content and operational costs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376,555</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406,741</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470,813</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67,811</w:t>
            </w:r>
          </w:p>
        </w:tc>
        <w:tc>
          <w:tcPr>
            <w:tcW w:w="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Bandwidth costs</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83,233</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83,171</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64,200</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9,247</w:t>
            </w:r>
          </w:p>
        </w:tc>
        <w:tc>
          <w:tcPr>
            <w:tcW w:w="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Sales taxes and surcharges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129,768</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122,502</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119,767</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17,250</w:t>
            </w:r>
          </w:p>
        </w:tc>
        <w:tc>
          <w:tcPr>
            <w:tcW w:w="40" w:type="dxa"/>
            <w:vAlign w:val="bottom"/>
          </w:tcPr>
          <w:p>
            <w:pPr>
              <w:spacing w:after="0"/>
              <w:rPr>
                <w:sz w:val="18"/>
                <w:szCs w:val="18"/>
                <w:color w:val="auto"/>
              </w:rPr>
            </w:pPr>
          </w:p>
        </w:tc>
      </w:tr>
      <w:tr>
        <w:trPr>
          <w:trHeight w:val="210"/>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781,632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829,386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726,807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5000" w:type="dxa"/>
            <w:vAlign w:val="bottom"/>
          </w:tcPr>
          <w:p>
            <w:pPr>
              <w:spacing w:after="0"/>
              <w:rPr>
                <w:sz w:val="24"/>
                <w:szCs w:val="24"/>
                <w:color w:val="auto"/>
              </w:rPr>
            </w:pPr>
          </w:p>
        </w:tc>
        <w:tc>
          <w:tcPr>
            <w:tcW w:w="16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F-31</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0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and Effective Tax Rate</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The provisions for income tax expense are summarized as follows </w:t>
      </w:r>
      <w:r>
        <w:rPr>
          <w:rFonts w:ascii="Times New Roman" w:cs="Times New Roman" w:eastAsia="Times New Roman" w:hAnsi="Times New Roman"/>
          <w:sz w:val="17"/>
          <w:szCs w:val="17"/>
          <w:color w:val="auto"/>
        </w:rPr>
        <w:t>(in thousands)</w:t>
      </w:r>
      <w:r>
        <w:rPr>
          <w:rFonts w:ascii="Times New Roman" w:cs="Times New Roman" w:eastAsia="Times New Roman" w:hAnsi="Times New Roman"/>
          <w:sz w:val="18"/>
          <w:szCs w:val="18"/>
          <w:color w:val="auto"/>
        </w:rPr>
        <w:t>:</w:t>
      </w:r>
    </w:p>
    <w:p>
      <w:pPr>
        <w:sectPr>
          <w:pgSz w:w="11900" w:h="16845" w:orient="portrait"/>
          <w:cols w:equalWidth="0" w:num="1">
            <w:col w:w="11460"/>
          </w:cols>
          <w:pgMar w:left="240" w:top="121" w:right="199" w:bottom="0" w:gutter="0" w:footer="0" w:header="0"/>
        </w:sectPr>
      </w:pPr>
    </w:p>
    <w:p>
      <w:pPr>
        <w:spacing w:after="0" w:line="219"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7620</wp:posOffset>
            </wp:positionV>
            <wp:extent cx="40132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ectPr>
          <w:pgSz w:w="11900" w:h="16845" w:orient="portrait"/>
          <w:cols w:equalWidth="0" w:num="1">
            <w:col w:w="11460"/>
          </w:cols>
          <w:pgMar w:left="240" w:top="121" w:right="199" w:bottom="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175"/>
        </w:trPr>
        <w:tc>
          <w:tcPr>
            <w:tcW w:w="5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5"/>
                <w:szCs w:val="15"/>
                <w:color w:val="auto"/>
              </w:rPr>
            </w:pPr>
          </w:p>
        </w:tc>
        <w:tc>
          <w:tcPr>
            <w:tcW w:w="13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5"/>
                <w:szCs w:val="15"/>
                <w:color w:val="auto"/>
              </w:rPr>
            </w:pPr>
          </w:p>
        </w:tc>
        <w:tc>
          <w:tcPr>
            <w:tcW w:w="138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5"/>
                <w:szCs w:val="15"/>
                <w:color w:val="auto"/>
              </w:rPr>
            </w:pPr>
          </w:p>
        </w:tc>
      </w:tr>
      <w:tr>
        <w:trPr>
          <w:trHeight w:val="142"/>
        </w:trPr>
        <w:tc>
          <w:tcPr>
            <w:tcW w:w="5000" w:type="dxa"/>
            <w:vAlign w:val="bottom"/>
          </w:tcPr>
          <w:p>
            <w:pPr>
              <w:spacing w:after="0"/>
              <w:rPr>
                <w:sz w:val="12"/>
                <w:szCs w:val="12"/>
                <w:color w:val="auto"/>
              </w:rPr>
            </w:pPr>
          </w:p>
        </w:tc>
        <w:tc>
          <w:tcPr>
            <w:tcW w:w="860" w:type="dxa"/>
            <w:vAlign w:val="bottom"/>
            <w:tcBorders>
              <w:top w:val="single" w:sz="8" w:color="auto"/>
            </w:tcBorders>
          </w:tcPr>
          <w:p>
            <w:pPr>
              <w:jc w:val="center"/>
              <w:ind w:left="428"/>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5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Borders>
              <w:top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60" w:type="dxa"/>
            <w:vAlign w:val="bottom"/>
            <w:tcBorders>
              <w:top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80" w:type="dxa"/>
            <w:vAlign w:val="bottom"/>
            <w:tcBorders>
              <w:top w:val="single" w:sz="8" w:color="auto"/>
            </w:tcBorders>
          </w:tcPr>
          <w:p>
            <w:pPr>
              <w:jc w:val="right"/>
              <w:ind w:right="477"/>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 expense</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51,603</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36,915</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32,433</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4,671</w:t>
            </w: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benefit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(3,226)</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(11,398)</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(18,344)</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(2,642)</w:t>
            </w:r>
          </w:p>
        </w:tc>
      </w:tr>
      <w:tr>
        <w:trPr>
          <w:trHeight w:val="210"/>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48,377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The components of income before tax and income tax expense for PRC and non-PRC operations are as follows </w:t>
      </w:r>
      <w:r>
        <w:rPr>
          <w:rFonts w:ascii="Times New Roman" w:cs="Times New Roman" w:eastAsia="Times New Roman" w:hAnsi="Times New Roman"/>
          <w:sz w:val="17"/>
          <w:szCs w:val="17"/>
          <w:color w:val="auto"/>
        </w:rPr>
        <w:t>(in thousands)</w:t>
      </w:r>
      <w:r>
        <w:rPr>
          <w:rFonts w:ascii="Times New Roman" w:cs="Times New Roman" w:eastAsia="Times New Roman" w:hAnsi="Times New Roman"/>
          <w:sz w:val="18"/>
          <w:szCs w:val="18"/>
          <w:color w:val="auto"/>
        </w:rPr>
        <w: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136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2"/>
                <w:szCs w:val="12"/>
                <w:color w:val="auto"/>
              </w:rPr>
            </w:pPr>
          </w:p>
        </w:tc>
        <w:tc>
          <w:tcPr>
            <w:tcW w:w="138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1360" w:type="dxa"/>
            <w:vAlign w:val="bottom"/>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arising from PRC operations</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358,667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159,318</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86,599</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12,473</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(Loss)/income arising from non-PRC operations</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(48,171)</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(61,416)</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5,710</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310,496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97,902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tax expense relating to PRC operations</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6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48,281</w:t>
            </w:r>
          </w:p>
        </w:tc>
        <w:tc>
          <w:tcPr>
            <w:tcW w:w="28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25,510</w:t>
            </w:r>
          </w:p>
        </w:tc>
        <w:tc>
          <w:tcPr>
            <w:tcW w:w="28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13,806</w:t>
            </w:r>
          </w:p>
        </w:tc>
        <w:tc>
          <w:tcPr>
            <w:tcW w:w="28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1,988</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relating to non-PRC operations</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96</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283</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48,377</w:t>
            </w: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25,517</w:t>
            </w:r>
          </w:p>
        </w:tc>
        <w:tc>
          <w:tcPr>
            <w:tcW w:w="28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14,089</w:t>
            </w: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9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Effective tax rate for PRC operations</w:t>
            </w:r>
          </w:p>
        </w:tc>
        <w:tc>
          <w:tcPr>
            <w:tcW w:w="164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164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16.0%</w:t>
            </w:r>
          </w:p>
        </w:tc>
        <w:tc>
          <w:tcPr>
            <w:tcW w:w="166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15.9%</w:t>
            </w:r>
          </w:p>
        </w:tc>
        <w:tc>
          <w:tcPr>
            <w:tcW w:w="1520" w:type="dxa"/>
            <w:vAlign w:val="bottom"/>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Cayman Islands (“Cayman”)</w:t>
      </w:r>
    </w:p>
    <w:p>
      <w:pPr>
        <w:spacing w:after="0" w:line="227" w:lineRule="exact"/>
        <w:rPr>
          <w:sz w:val="20"/>
          <w:szCs w:val="20"/>
          <w:color w:val="auto"/>
        </w:rPr>
      </w:pPr>
    </w:p>
    <w:p>
      <w:pPr>
        <w:ind w:right="720" w:firstLine="567"/>
        <w:spacing w:after="0" w:line="282" w:lineRule="auto"/>
        <w:rPr>
          <w:sz w:val="20"/>
          <w:szCs w:val="20"/>
          <w:color w:val="auto"/>
        </w:rPr>
      </w:pPr>
      <w:r>
        <w:rPr>
          <w:rFonts w:ascii="Times New Roman" w:cs="Times New Roman" w:eastAsia="Times New Roman" w:hAnsi="Times New Roman"/>
          <w:sz w:val="18"/>
          <w:szCs w:val="18"/>
          <w:color w:val="auto"/>
        </w:rPr>
        <w:t>Under the current laws of the Cayman Islands, the Company is not subject to tax on income or capital gains. Additionally, upon payments of dividends to the shareholders, no Cayman Islands withholding tax will be imposed.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British Virgin Islands (“BVI”)</w:t>
      </w:r>
    </w:p>
    <w:p>
      <w:pPr>
        <w:spacing w:after="0" w:line="2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Group is exempted from income tax on its foreign-derived income in the BVI. There are no withholding taxes in the BVI.</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2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Entities incorporated in Hong Kong are subject to the tax rate 16.5% on the estimated assessable profit arising in Hong Kong.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PRC</w:t>
      </w:r>
    </w:p>
    <w:p>
      <w:pPr>
        <w:spacing w:after="0" w:line="227" w:lineRule="exact"/>
        <w:rPr>
          <w:sz w:val="20"/>
          <w:szCs w:val="20"/>
          <w:color w:val="auto"/>
        </w:rPr>
      </w:pPr>
    </w:p>
    <w:p>
      <w:pPr>
        <w:ind w:right="140" w:firstLine="567"/>
        <w:spacing w:after="0" w:line="261" w:lineRule="auto"/>
        <w:rPr>
          <w:sz w:val="20"/>
          <w:szCs w:val="20"/>
          <w:color w:val="auto"/>
        </w:rPr>
      </w:pPr>
      <w:r>
        <w:rPr>
          <w:rFonts w:ascii="Times New Roman" w:cs="Times New Roman" w:eastAsia="Times New Roman" w:hAnsi="Times New Roman"/>
          <w:sz w:val="18"/>
          <w:szCs w:val="18"/>
          <w:color w:val="auto"/>
        </w:rPr>
        <w:t>The PRC Corporate Income Taxes Law (“CIT Law”) generally applies an income tax rate of 25% to all enterprises, but grants preferential tax treatment to High and New Technology Enterprises (“HNTEs”) and Software Enterprises. Under these preferential tax treatments, HNTEs are entitled to an income tax rate of 15%, subject to a requirement that they re-apply for HNTE status every three years and Software Enterprises are entitled to an income tax exemption for two years beginning with its first profitable year and a 50% reduction to a rate of 12.5% for the subsequent three years.</w:t>
      </w:r>
    </w:p>
    <w:p>
      <w:pPr>
        <w:spacing w:after="0" w:line="180" w:lineRule="exact"/>
        <w:rPr>
          <w:sz w:val="20"/>
          <w:szCs w:val="20"/>
          <w:color w:val="auto"/>
        </w:rPr>
      </w:pPr>
    </w:p>
    <w:p>
      <w:pPr>
        <w:ind w:right="260" w:firstLine="567"/>
        <w:spacing w:after="0" w:line="282" w:lineRule="auto"/>
        <w:rPr>
          <w:sz w:val="20"/>
          <w:szCs w:val="20"/>
          <w:color w:val="auto"/>
        </w:rPr>
      </w:pPr>
      <w:r>
        <w:rPr>
          <w:rFonts w:ascii="Times New Roman" w:cs="Times New Roman" w:eastAsia="Times New Roman" w:hAnsi="Times New Roman"/>
          <w:sz w:val="18"/>
          <w:szCs w:val="18"/>
          <w:color w:val="auto"/>
        </w:rPr>
        <w:t>Fenghuang On-line had been qualified as an HNTE in October 2011 and November 2014, respectively, and was entitled to a preferential tax rate of 15%. Therefore, Fenghuang On-line was subject to a 15% income tax rate for the years 2014 to 2016.</w:t>
      </w:r>
    </w:p>
    <w:p>
      <w:pPr>
        <w:spacing w:after="0" w:line="162" w:lineRule="exact"/>
        <w:rPr>
          <w:sz w:val="20"/>
          <w:szCs w:val="20"/>
          <w:color w:val="auto"/>
        </w:rPr>
      </w:pPr>
    </w:p>
    <w:p>
      <w:pPr>
        <w:ind w:right="320" w:firstLine="567"/>
        <w:spacing w:after="0" w:line="282" w:lineRule="auto"/>
        <w:rPr>
          <w:sz w:val="20"/>
          <w:szCs w:val="20"/>
          <w:color w:val="auto"/>
        </w:rPr>
      </w:pPr>
      <w:r>
        <w:rPr>
          <w:rFonts w:ascii="Times New Roman" w:cs="Times New Roman" w:eastAsia="Times New Roman" w:hAnsi="Times New Roman"/>
          <w:sz w:val="18"/>
          <w:szCs w:val="18"/>
          <w:color w:val="auto"/>
        </w:rPr>
        <w:t>In 2014, Tianying Jiuzhou resubmitted applications for qualification and was approved as an HNTE. Therefore, Tianying Jiuzhou was subject to a 15% income tax rate from 2014 to 2016.</w:t>
      </w:r>
    </w:p>
    <w:p>
      <w:pPr>
        <w:spacing w:after="0" w:line="162" w:lineRule="exact"/>
        <w:rPr>
          <w:sz w:val="20"/>
          <w:szCs w:val="20"/>
          <w:color w:val="auto"/>
        </w:rPr>
      </w:pPr>
    </w:p>
    <w:p>
      <w:pPr>
        <w:ind w:right="480" w:firstLine="567"/>
        <w:spacing w:after="0" w:line="282" w:lineRule="auto"/>
        <w:rPr>
          <w:sz w:val="20"/>
          <w:szCs w:val="20"/>
          <w:color w:val="auto"/>
        </w:rPr>
      </w:pPr>
      <w:r>
        <w:rPr>
          <w:rFonts w:ascii="Times New Roman" w:cs="Times New Roman" w:eastAsia="Times New Roman" w:hAnsi="Times New Roman"/>
          <w:sz w:val="18"/>
          <w:szCs w:val="18"/>
          <w:color w:val="auto"/>
        </w:rPr>
        <w:t>In 2012, Fenghuang Yutian was qualified as a Software Enterprise. As 2013 was the first year Fenghuang Yutian generated taxable profit, it was exempted from income taxes for years 2013 and 2014, and was subject to a 12.5% income tax rate from 2015 to 2017.</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 (Continued)</w:t>
      </w:r>
    </w:p>
    <w:p>
      <w:pPr>
        <w:spacing w:after="0" w:line="229" w:lineRule="exact"/>
        <w:rPr>
          <w:sz w:val="20"/>
          <w:szCs w:val="20"/>
          <w:color w:val="auto"/>
        </w:rPr>
      </w:pPr>
    </w:p>
    <w:p>
      <w:pPr>
        <w:ind w:right="540" w:firstLine="567"/>
        <w:spacing w:after="0" w:line="282" w:lineRule="auto"/>
        <w:rPr>
          <w:sz w:val="20"/>
          <w:szCs w:val="20"/>
          <w:color w:val="auto"/>
        </w:rPr>
      </w:pPr>
      <w:r>
        <w:rPr>
          <w:rFonts w:ascii="Times New Roman" w:cs="Times New Roman" w:eastAsia="Times New Roman" w:hAnsi="Times New Roman"/>
          <w:sz w:val="18"/>
          <w:szCs w:val="18"/>
          <w:color w:val="auto"/>
        </w:rPr>
        <w:t>In 2016, Fenghuang Borui qualified as a Software Enterprise. As 2016 was the first year Fenghuang Borui generated taxable profit, it would be exempted from income taxes for years 2016 and 2017, and subject to a 12.5% income tax rate from 2018 to 2020.</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All other PRC incorporated entities of the Group </w:t>
      </w:r>
      <w:r>
        <w:rPr>
          <w:rFonts w:ascii="Times New Roman" w:cs="Times New Roman" w:eastAsia="Times New Roman" w:hAnsi="Times New Roman"/>
          <w:sz w:val="17"/>
          <w:szCs w:val="17"/>
          <w:color w:val="auto"/>
        </w:rPr>
        <w:t>were subject to a 25%</w:t>
      </w:r>
      <w:r>
        <w:rPr>
          <w:rFonts w:ascii="Times New Roman" w:cs="Times New Roman" w:eastAsia="Times New Roman" w:hAnsi="Times New Roman"/>
          <w:sz w:val="18"/>
          <w:szCs w:val="18"/>
          <w:color w:val="auto"/>
        </w:rPr>
        <w:t xml:space="preserve"> income tax rate for all the years presented.</w:t>
      </w:r>
    </w:p>
    <w:p>
      <w:pPr>
        <w:spacing w:after="0" w:line="225" w:lineRule="exact"/>
        <w:rPr>
          <w:sz w:val="20"/>
          <w:szCs w:val="20"/>
          <w:color w:val="auto"/>
        </w:rPr>
      </w:pPr>
    </w:p>
    <w:p>
      <w:pPr>
        <w:ind w:right="40" w:firstLine="567"/>
        <w:spacing w:after="0" w:line="254" w:lineRule="auto"/>
        <w:rPr>
          <w:sz w:val="20"/>
          <w:szCs w:val="20"/>
          <w:color w:val="auto"/>
        </w:rPr>
      </w:pPr>
      <w:r>
        <w:rPr>
          <w:rFonts w:ascii="Times New Roman" w:cs="Times New Roman" w:eastAsia="Times New Roman" w:hAnsi="Times New Roman"/>
          <w:sz w:val="18"/>
          <w:szCs w:val="18"/>
          <w:color w:val="auto"/>
        </w:rPr>
        <w:t>The CIT Law also provides that an enterprise established under the laws of foreign countries or regions but whose “de facto management body” is located in the PRC be treated as a resident enterprise for PRC tax purposes and consequently be subject to the PRC income tax at the rate of 25% for its global income. On April 22, 2009, the State Administration of Taxation (“SAT”) issued a circular, known as Circular 82, which provides certain specific criteria for determining whether the “de facto management body” of a PRC-controlled enterprise that is incorporated offshore is located in China. Under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 The Company and its offshore subsidiaries had not ever been treated as resident enterprises for PRC tax purposes.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Withholding Tax on Undistributed Dividends</w:t>
      </w:r>
    </w:p>
    <w:p>
      <w:pPr>
        <w:sectPr>
          <w:pgSz w:w="11900" w:h="16838" w:orient="portrait"/>
          <w:cols w:equalWidth="0" w:num="1">
            <w:col w:w="11420"/>
          </w:cols>
          <w:pgMar w:left="240" w:top="114" w:right="239" w:bottom="25" w:gutter="0" w:footer="0" w:header="0"/>
        </w:sectPr>
      </w:pPr>
    </w:p>
    <w:bookmarkStart w:id="122" w:name="page123"/>
    <w:bookmarkEnd w:id="122"/>
    <w:p>
      <w:pPr>
        <w:ind w:right="140" w:firstLine="567"/>
        <w:spacing w:after="0" w:line="255" w:lineRule="auto"/>
        <w:rPr>
          <w:sz w:val="20"/>
          <w:szCs w:val="20"/>
          <w:color w:val="auto"/>
        </w:rPr>
      </w:pPr>
      <w:r>
        <w:rPr>
          <w:rFonts w:ascii="Times New Roman" w:cs="Times New Roman" w:eastAsia="Times New Roman" w:hAnsi="Times New Roman"/>
          <w:sz w:val="18"/>
          <w:szCs w:val="18"/>
          <w:color w:val="auto"/>
        </w:rPr>
        <w:t>The CIT Law imposes a 10% withholding income tax on dividends distributed by foreign invested enterprises in the PRC to their immediate holding companies outside the PRC. A lower withholding tax rate may be applied if there is a tax treaty between the PRC and the jurisdiction of the foreign holding company. A holding company in Hong Kong, for example, will be subject to a 5.0% withholding tax rate under an arrangement between the PRC and the Hong Kong Special Administrative Region on the “Avoidance of Double Taxation and Prevention of Fiscal Evasion with Respect to Taxes on Income and Capital,” if such holding company is considered a non-PRC resident enterprise and holds at least 25.0% of the equity interests in the PRC foreign invested enterprise distributing the dividends, subject to approval of the PRC local tax authority. However, if the Hong Kong holding company is not considered to be the beneficial owner of such dividends under applicable PRC tax regulations, such dividend will remain subject to a withholding tax rate of 10%.</w:t>
      </w:r>
    </w:p>
    <w:p>
      <w:pPr>
        <w:spacing w:after="0" w:line="189" w:lineRule="exact"/>
        <w:rPr>
          <w:sz w:val="20"/>
          <w:szCs w:val="20"/>
          <w:color w:val="auto"/>
        </w:rPr>
      </w:pPr>
    </w:p>
    <w:p>
      <w:pPr>
        <w:ind w:right="60" w:firstLine="567"/>
        <w:spacing w:after="0" w:line="25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7"/>
          <w:szCs w:val="17"/>
          <w:color w:val="auto"/>
        </w:rPr>
        <w:t>PRC subsidiaries</w:t>
      </w:r>
      <w:r>
        <w:rPr>
          <w:rFonts w:ascii="Times New Roman" w:cs="Times New Roman" w:eastAsia="Times New Roman" w:hAnsi="Times New Roman"/>
          <w:sz w:val="18"/>
          <w:szCs w:val="18"/>
          <w:color w:val="auto"/>
        </w:rPr>
        <w:t>, VIEs and subsidiaries of VIEs have not paid dividends in the past and do not have any present plans to declare and pay any dividends on the Company’s ordinary shares or ADSs in the near future and the Group currently intends to retain most, if not all, of its available funds and any future earnings to operate and expand the business. Accordingly, the Company does not intend to have its PRC subsidiaries distribute any undistributed profits of such subsidiaries to their direct overseas parent companies, but rather intends that such profits will be permanently reinvested in such subsidiaries to further expand their business in the PRC. As of December 31, 2016, the Company did not record any withholding tax on the retained earnings of its foreign invested enterprises in the PRC. Aggregate undistributed earnings of the Group’s entities located in the PRC that were available for distribution to the Company as of December 31, 2015 and 2016 were approximately RMB959.7 million and RMB1,030.2 million (US$148.4 million), respectively. The amounts of the unrecognized deferred tax liability on the permanently reinvested earnings were RMB96.0 million and RMB103.0 million (US$14.8 million) as of December 31, 2015 and 2016,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the Differences between Statutory Tax Rate and the Effective Tax Rate for PRC Operations</w:t>
      </w:r>
    </w:p>
    <w:p>
      <w:pPr>
        <w:spacing w:after="0" w:line="227" w:lineRule="exact"/>
        <w:rPr>
          <w:sz w:val="20"/>
          <w:szCs w:val="20"/>
          <w:color w:val="auto"/>
        </w:rPr>
      </w:pPr>
    </w:p>
    <w:p>
      <w:pPr>
        <w:ind w:right="280" w:firstLine="567"/>
        <w:spacing w:after="0" w:line="282" w:lineRule="auto"/>
        <w:rPr>
          <w:sz w:val="20"/>
          <w:szCs w:val="20"/>
          <w:color w:val="auto"/>
        </w:rPr>
      </w:pPr>
      <w:r>
        <w:rPr>
          <w:rFonts w:ascii="Times New Roman" w:cs="Times New Roman" w:eastAsia="Times New Roman" w:hAnsi="Times New Roman"/>
          <w:sz w:val="18"/>
          <w:szCs w:val="18"/>
          <w:color w:val="auto"/>
        </w:rPr>
        <w:t>Reconciliation of the differences between PRC statutory income tax rate and the Group’s effective income tax rate for PRC operations for the years ended December 31, 2014, 2015 and 2016 is as follows (in thousands):</w:t>
      </w:r>
    </w:p>
    <w:p>
      <w:pPr>
        <w:spacing w:after="0" w:line="155"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40" w:type="dxa"/>
            <w:vAlign w:val="bottom"/>
          </w:tcPr>
          <w:p>
            <w:pPr>
              <w:spacing w:after="0"/>
              <w:rPr>
                <w:sz w:val="12"/>
                <w:szCs w:val="12"/>
                <w:color w:val="auto"/>
              </w:rPr>
            </w:pPr>
          </w:p>
        </w:tc>
        <w:tc>
          <w:tcPr>
            <w:tcW w:w="92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80" w:type="dxa"/>
            <w:vAlign w:val="bottom"/>
            <w:tcBorders>
              <w:top w:val="single" w:sz="8" w:color="auto"/>
            </w:tcBorders>
            <w:gridSpan w:val="3"/>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920" w:type="dxa"/>
            <w:vAlign w:val="bottom"/>
            <w:tcBorders>
              <w:top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Borders>
              <w:top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Borders>
              <w:top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income tax rate</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25.0</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25.0</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40" w:type="dxa"/>
            <w:vAlign w:val="bottom"/>
          </w:tcPr>
          <w:p>
            <w:pPr>
              <w:spacing w:after="0"/>
              <w:rPr>
                <w:sz w:val="18"/>
                <w:szCs w:val="18"/>
                <w:color w:val="auto"/>
              </w:rPr>
            </w:pP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9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tcPr>
          <w:p>
            <w:pPr>
              <w:spacing w:after="0"/>
              <w:rPr>
                <w:sz w:val="18"/>
                <w:szCs w:val="18"/>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0.4</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tcPr>
          <w:p>
            <w:pPr>
              <w:spacing w:after="0"/>
              <w:rPr>
                <w:sz w:val="18"/>
                <w:szCs w:val="18"/>
                <w:color w:val="auto"/>
              </w:rPr>
            </w:pP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preferential tax benefits</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9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c>
          <w:tcPr>
            <w:tcW w:w="40" w:type="dxa"/>
            <w:vAlign w:val="bottom"/>
          </w:tcPr>
          <w:p>
            <w:pPr>
              <w:spacing w:after="0"/>
              <w:rPr>
                <w:sz w:val="18"/>
                <w:szCs w:val="18"/>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0.9</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9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80" w:type="dxa"/>
            <w:vAlign w:val="bottom"/>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7560" w:type="dxa"/>
            <w:vAlign w:val="bottom"/>
            <w:gridSpan w:val="2"/>
          </w:tcPr>
          <w:p>
            <w:pPr>
              <w:ind w:left="5540"/>
              <w:spacing w:after="0"/>
              <w:rPr>
                <w:sz w:val="20"/>
                <w:szCs w:val="20"/>
                <w:color w:val="auto"/>
              </w:rPr>
            </w:pPr>
            <w:r>
              <w:rPr>
                <w:rFonts w:ascii="Times New Roman" w:cs="Times New Roman" w:eastAsia="Times New Roman" w:hAnsi="Times New Roman"/>
                <w:sz w:val="18"/>
                <w:szCs w:val="18"/>
                <w:color w:val="auto"/>
              </w:rPr>
              <w:t>F-33</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6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 (Continued)</w:t>
      </w:r>
    </w:p>
    <w:p>
      <w:pPr>
        <w:spacing w:after="0" w:line="229" w:lineRule="exact"/>
        <w:rPr>
          <w:sz w:val="20"/>
          <w:szCs w:val="20"/>
          <w:color w:val="auto"/>
        </w:rPr>
      </w:pPr>
    </w:p>
    <w:p>
      <w:pPr>
        <w:ind w:right="380" w:firstLine="567"/>
        <w:spacing w:after="0" w:line="282" w:lineRule="auto"/>
        <w:rPr>
          <w:sz w:val="20"/>
          <w:szCs w:val="20"/>
          <w:color w:val="auto"/>
        </w:rPr>
      </w:pPr>
      <w:r>
        <w:rPr>
          <w:rFonts w:ascii="Times New Roman" w:cs="Times New Roman" w:eastAsia="Times New Roman" w:hAnsi="Times New Roman"/>
          <w:sz w:val="18"/>
          <w:szCs w:val="18"/>
          <w:color w:val="auto"/>
        </w:rPr>
        <w:t>The combined effects of the income tax expense exemption and other preferential tax benefits available to the Group are as follows (in thousands, except per share data):</w:t>
      </w:r>
    </w:p>
    <w:p>
      <w:pPr>
        <w:spacing w:after="0" w:line="155"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000" w:type="dxa"/>
            <w:vAlign w:val="bottom"/>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6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680" w:type="dxa"/>
            <w:vAlign w:val="bottom"/>
            <w:tcBorders>
              <w:top w:val="single" w:sz="8" w:color="auto"/>
            </w:tcBorders>
            <w:gridSpan w:val="3"/>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5000" w:type="dxa"/>
            <w:vAlign w:val="bottom"/>
          </w:tcPr>
          <w:p>
            <w:pPr>
              <w:spacing w:after="0"/>
              <w:rPr>
                <w:sz w:val="12"/>
                <w:szCs w:val="12"/>
                <w:color w:val="auto"/>
              </w:rPr>
            </w:pPr>
          </w:p>
        </w:tc>
        <w:tc>
          <w:tcPr>
            <w:tcW w:w="860" w:type="dxa"/>
            <w:vAlign w:val="bottom"/>
            <w:tcBorders>
              <w:top w:val="single" w:sz="8" w:color="auto"/>
            </w:tcBorders>
          </w:tcPr>
          <w:p>
            <w:pPr>
              <w:jc w:val="center"/>
              <w:ind w:left="428"/>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5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Borders>
              <w:top w:val="single" w:sz="8" w:color="auto"/>
            </w:tcBorders>
          </w:tcPr>
          <w:p>
            <w:pPr>
              <w:jc w:val="center"/>
              <w:ind w:left="40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Borders>
              <w:top w:val="single" w:sz="8" w:color="auto"/>
            </w:tcBorders>
          </w:tcPr>
          <w:p>
            <w:pPr>
              <w:jc w:val="center"/>
              <w:ind w:left="40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Borders>
              <w:top w:val="single" w:sz="8" w:color="auto"/>
            </w:tcBorders>
          </w:tcPr>
          <w:p>
            <w:pPr>
              <w:jc w:val="right"/>
              <w:ind w:right="47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Preferential tax rate effect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41,157</w:t>
            </w: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6"/>
              </w:rPr>
              <w:t>10,073</w:t>
            </w: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9,878</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1,423</w:t>
            </w:r>
          </w:p>
        </w:tc>
      </w:tr>
      <w:tr>
        <w:trPr>
          <w:trHeight w:val="234"/>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net income per share effect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0.07</w:t>
            </w:r>
          </w:p>
        </w:tc>
        <w:tc>
          <w:tcPr>
            <w:tcW w:w="860" w:type="dxa"/>
            <w:vAlign w:val="bottom"/>
          </w:tcPr>
          <w:p>
            <w:pPr>
              <w:spacing w:after="0"/>
              <w:rPr>
                <w:sz w:val="20"/>
                <w:szCs w:val="20"/>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0.02</w:t>
            </w:r>
          </w:p>
        </w:tc>
        <w:tc>
          <w:tcPr>
            <w:tcW w:w="900" w:type="dxa"/>
            <w:vAlign w:val="bottom"/>
          </w:tcPr>
          <w:p>
            <w:pPr>
              <w:spacing w:after="0"/>
              <w:rPr>
                <w:sz w:val="20"/>
                <w:szCs w:val="20"/>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0.02</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0.002</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Liabilities</w:t>
      </w:r>
    </w:p>
    <w:p>
      <w:pPr>
        <w:spacing w:after="0" w:line="229" w:lineRule="exact"/>
        <w:rPr>
          <w:sz w:val="20"/>
          <w:szCs w:val="20"/>
          <w:color w:val="auto"/>
        </w:rPr>
      </w:pPr>
    </w:p>
    <w:p>
      <w:pPr>
        <w:ind w:right="120" w:firstLine="567"/>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the deferred tax assets and liabilities balances at December 31, 2015 and 2016 are as follows (in thousands):</w:t>
      </w:r>
    </w:p>
    <w:p>
      <w:pPr>
        <w:spacing w:after="0" w:line="155"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center"/>
              <w:ind w:left="44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860" w:type="dxa"/>
            <w:vAlign w:val="bottom"/>
          </w:tcPr>
          <w:p>
            <w:pPr>
              <w:jc w:val="center"/>
              <w:ind w:left="4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 - current:</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of allowance for doubtful accounts</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13,229</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21,910</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3,156</w:t>
            </w:r>
          </w:p>
        </w:tc>
      </w:tr>
      <w:tr>
        <w:trPr>
          <w:trHeight w:val="216"/>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expenses and others</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22,734</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32,397</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4,666</w:t>
            </w:r>
          </w:p>
        </w:tc>
      </w:tr>
      <w:tr>
        <w:trPr>
          <w:trHeight w:val="250"/>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current deferred tax assets</w:t>
            </w:r>
          </w:p>
        </w:tc>
        <w:tc>
          <w:tcPr>
            <w:tcW w:w="8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35,963</w:t>
            </w: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54,307</w:t>
            </w:r>
          </w:p>
        </w:tc>
        <w:tc>
          <w:tcPr>
            <w:tcW w:w="28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100" w:type="dxa"/>
            <w:vAlign w:val="bottom"/>
            <w:tcBorders>
              <w:bottom w:val="single" w:sz="8" w:color="CCEEFF"/>
            </w:tcBorders>
          </w:tcPr>
          <w:p>
            <w:pPr>
              <w:spacing w:after="0"/>
              <w:rPr>
                <w:sz w:val="21"/>
                <w:szCs w:val="21"/>
                <w:color w:val="auto"/>
              </w:rPr>
            </w:pPr>
          </w:p>
        </w:tc>
      </w:tr>
      <w:tr>
        <w:trPr>
          <w:trHeight w:val="170"/>
        </w:trPr>
        <w:tc>
          <w:tcPr>
            <w:tcW w:w="664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Deferred tax assets - non-current:</w:t>
            </w: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4,676</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11,402</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1,642</w:t>
            </w:r>
          </w:p>
        </w:tc>
      </w:tr>
      <w:tr>
        <w:trPr>
          <w:trHeight w:val="216"/>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(4,676)</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(11,402)</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(1,642)</w:t>
            </w: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deferred tax assets, net</w:t>
            </w:r>
          </w:p>
        </w:tc>
        <w:tc>
          <w:tcPr>
            <w:tcW w:w="8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66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640" w:type="dxa"/>
            <w:vAlign w:val="bottom"/>
          </w:tcPr>
          <w:p>
            <w:pPr>
              <w:spacing w:after="0"/>
              <w:rPr>
                <w:sz w:val="12"/>
                <w:szCs w:val="12"/>
                <w:color w:val="auto"/>
              </w:rPr>
            </w:pPr>
          </w:p>
        </w:tc>
        <w:tc>
          <w:tcPr>
            <w:tcW w:w="860" w:type="dxa"/>
            <w:vAlign w:val="bottom"/>
            <w:tcBorders>
              <w:bottom w:val="single" w:sz="8" w:color="auto"/>
            </w:tcBorders>
          </w:tcPr>
          <w:p>
            <w:pPr>
              <w:jc w:val="center"/>
              <w:ind w:left="44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280" w:type="dxa"/>
            <w:vAlign w:val="bottom"/>
          </w:tcPr>
          <w:p>
            <w:pPr>
              <w:spacing w:after="0"/>
              <w:rPr>
                <w:sz w:val="12"/>
                <w:szCs w:val="12"/>
                <w:color w:val="auto"/>
              </w:rPr>
            </w:pPr>
          </w:p>
        </w:tc>
        <w:tc>
          <w:tcPr>
            <w:tcW w:w="1380" w:type="dxa"/>
            <w:vAlign w:val="bottom"/>
            <w:tcBorders>
              <w:bottom w:val="single" w:sz="8" w:color="auto"/>
            </w:tcBorders>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860" w:type="dxa"/>
            <w:vAlign w:val="bottom"/>
          </w:tcPr>
          <w:p>
            <w:pPr>
              <w:jc w:val="center"/>
              <w:ind w:left="4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 - non-current:</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investments acquired in disposal of subsidiaries</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1,312</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1,312</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r>
    </w:tbl>
    <w:p>
      <w:pPr>
        <w:spacing w:after="0" w:line="179" w:lineRule="exact"/>
        <w:rPr>
          <w:sz w:val="20"/>
          <w:szCs w:val="20"/>
          <w:color w:val="auto"/>
        </w:rPr>
      </w:pPr>
    </w:p>
    <w:p>
      <w:pPr>
        <w:ind w:right="140" w:firstLine="567"/>
        <w:spacing w:after="0" w:line="266" w:lineRule="auto"/>
        <w:rPr>
          <w:sz w:val="20"/>
          <w:szCs w:val="20"/>
          <w:color w:val="auto"/>
        </w:rPr>
      </w:pPr>
      <w:r>
        <w:rPr>
          <w:rFonts w:ascii="Times New Roman" w:cs="Times New Roman" w:eastAsia="Times New Roman" w:hAnsi="Times New Roman"/>
          <w:sz w:val="18"/>
          <w:szCs w:val="18"/>
          <w:color w:val="auto"/>
        </w:rPr>
        <w:t>As of December 31, 2016, the Group had net operating loss carryforward of approximately RMB45.6 million (US$6.6 million), which can be carried forward to offset future taxable income. Net operating loss carryforward of RMB3.6 million, RMB1.4 million, RMB5.0 million, RMB8.3 million and RMB27.3 million will expire in 2017, 2018, 2019, 2020 and 2021, respectively, if not utilized.</w:t>
      </w:r>
    </w:p>
    <w:p>
      <w:pPr>
        <w:sectPr>
          <w:pgSz w:w="11900" w:h="16838" w:orient="portrait"/>
          <w:cols w:equalWidth="0" w:num="1">
            <w:col w:w="11460"/>
          </w:cols>
          <w:pgMar w:left="240" w:top="121" w:right="199" w:bottom="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i w:val="1"/>
          <w:iCs w:val="1"/>
          <w:color w:val="auto"/>
        </w:rPr>
        <w:t>Movement of Valuation Allowance</w:t>
      </w:r>
    </w:p>
    <w:p>
      <w:pPr>
        <w:spacing w:after="0" w:line="227" w:lineRule="exact"/>
        <w:rPr>
          <w:sz w:val="20"/>
          <w:szCs w:val="20"/>
          <w:color w:val="auto"/>
        </w:rPr>
      </w:pPr>
    </w:p>
    <w:p>
      <w:pPr>
        <w:jc w:val="both"/>
        <w:ind w:right="60" w:firstLine="567"/>
        <w:spacing w:after="0" w:line="261" w:lineRule="auto"/>
        <w:rPr>
          <w:sz w:val="20"/>
          <w:szCs w:val="20"/>
          <w:color w:val="auto"/>
        </w:rPr>
      </w:pPr>
      <w:r>
        <w:rPr>
          <w:rFonts w:ascii="Times New Roman" w:cs="Times New Roman" w:eastAsia="Times New Roman" w:hAnsi="Times New Roman"/>
          <w:sz w:val="18"/>
          <w:szCs w:val="18"/>
          <w:color w:val="auto"/>
        </w:rPr>
        <w:t>Valuation allowance is provided against deferred tax assets when the Group determines that it is more likely than not that the deferred tax assets will not be utilized in the future. In making such determination, the Group considered factors including future reversals of existing taxable temporary differences, future profitability, and tax planning strategies. Valuation allowance was provided for net operating loss carryforward because it was more likely than not that such deferred tax assets will not be realized based on the Group’s estimate of its future taxable income.</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The following table sets forth the movement of the valuation allowance for deferred tax assets </w:t>
      </w:r>
      <w:r>
        <w:rPr>
          <w:rFonts w:ascii="Times New Roman" w:cs="Times New Roman" w:eastAsia="Times New Roman" w:hAnsi="Times New Roman"/>
          <w:sz w:val="17"/>
          <w:szCs w:val="17"/>
          <w:color w:val="auto"/>
        </w:rPr>
        <w:t>(in thousands)</w:t>
      </w:r>
      <w:r>
        <w:rPr>
          <w:rFonts w:ascii="Times New Roman" w:cs="Times New Roman" w:eastAsia="Times New Roman" w:hAnsi="Times New Roman"/>
          <w:sz w:val="18"/>
          <w:szCs w:val="18"/>
          <w:color w:val="auto"/>
        </w:rPr>
        <w: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80" w:type="dxa"/>
            <w:vAlign w:val="bottom"/>
            <w:gridSpan w:val="2"/>
          </w:tcPr>
          <w:p>
            <w:pPr>
              <w:ind w:left="5540"/>
              <w:spacing w:after="0"/>
              <w:rPr>
                <w:sz w:val="20"/>
                <w:szCs w:val="20"/>
                <w:color w:val="auto"/>
              </w:rPr>
            </w:pPr>
            <w:r>
              <w:rPr>
                <w:rFonts w:ascii="Times New Roman" w:cs="Times New Roman" w:eastAsia="Times New Roman" w:hAnsi="Times New Roman"/>
                <w:sz w:val="14"/>
                <w:szCs w:val="14"/>
                <w:b w:val="1"/>
                <w:bCs w:val="1"/>
                <w:color w:val="auto"/>
              </w:rPr>
              <w:t>2014</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5"/>
                <w:szCs w:val="15"/>
                <w:color w:val="auto"/>
              </w:rPr>
            </w:pPr>
          </w:p>
        </w:tc>
        <w:tc>
          <w:tcPr>
            <w:tcW w:w="13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5"/>
                <w:szCs w:val="15"/>
                <w:color w:val="auto"/>
              </w:rPr>
            </w:pPr>
          </w:p>
        </w:tc>
        <w:tc>
          <w:tcPr>
            <w:tcW w:w="13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000" w:type="dxa"/>
            <w:vAlign w:val="bottom"/>
          </w:tcPr>
          <w:p>
            <w:pPr>
              <w:spacing w:after="0"/>
              <w:rPr>
                <w:sz w:val="12"/>
                <w:szCs w:val="12"/>
                <w:color w:val="auto"/>
              </w:rPr>
            </w:pPr>
          </w:p>
        </w:tc>
        <w:tc>
          <w:tcPr>
            <w:tcW w:w="880" w:type="dxa"/>
            <w:vAlign w:val="bottom"/>
            <w:tcBorders>
              <w:top w:val="single" w:sz="8" w:color="auto"/>
            </w:tcBorders>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Borders>
              <w:top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60" w:type="dxa"/>
            <w:vAlign w:val="bottom"/>
            <w:tcBorders>
              <w:top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80" w:type="dxa"/>
            <w:vAlign w:val="bottom"/>
            <w:tcBorders>
              <w:top w:val="single" w:sz="8" w:color="auto"/>
            </w:tcBorders>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gridSpan w:val="2"/>
          </w:tcPr>
          <w:p>
            <w:pPr>
              <w:spacing w:after="0"/>
              <w:rPr>
                <w:sz w:val="12"/>
                <w:szCs w:val="12"/>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5,569</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7,101</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4,676</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673</w:t>
            </w:r>
          </w:p>
        </w:tc>
        <w:tc>
          <w:tcPr>
            <w:tcW w:w="80" w:type="dxa"/>
            <w:vAlign w:val="bottom"/>
            <w:shd w:val="clear" w:color="auto" w:fill="CCEEFF"/>
          </w:tcPr>
          <w:p>
            <w:pPr>
              <w:spacing w:after="0"/>
              <w:rPr>
                <w:sz w:val="18"/>
                <w:szCs w:val="18"/>
                <w:color w:val="auto"/>
              </w:rPr>
            </w:pPr>
          </w:p>
        </w:tc>
      </w:tr>
      <w:tr>
        <w:trPr>
          <w:trHeight w:val="216"/>
        </w:trPr>
        <w:tc>
          <w:tcPr>
            <w:tcW w:w="5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3,153</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2,121</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6,838</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985</w:t>
            </w:r>
          </w:p>
        </w:tc>
        <w:tc>
          <w:tcPr>
            <w:tcW w:w="80" w:type="dxa"/>
            <w:vAlign w:val="bottom"/>
          </w:tcPr>
          <w:p>
            <w:pPr>
              <w:spacing w:after="0"/>
              <w:rPr>
                <w:sz w:val="18"/>
                <w:szCs w:val="18"/>
                <w:color w:val="auto"/>
              </w:rPr>
            </w:pPr>
          </w:p>
        </w:tc>
      </w:tr>
      <w:tr>
        <w:trPr>
          <w:trHeight w:val="216"/>
        </w:trPr>
        <w:tc>
          <w:tcPr>
            <w:tcW w:w="5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Reversals</w:t>
            </w:r>
          </w:p>
        </w:tc>
        <w:tc>
          <w:tcPr>
            <w:tcW w:w="7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(1,621)</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(4,546)</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1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w:t>
            </w:r>
          </w:p>
        </w:tc>
        <w:tc>
          <w:tcPr>
            <w:tcW w:w="8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7,101</w:t>
            </w:r>
          </w:p>
        </w:tc>
        <w:tc>
          <w:tcPr>
            <w:tcW w:w="3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11,402</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liabilities associated with uncertain tax positions is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5"/>
                <w:szCs w:val="15"/>
                <w:color w:val="auto"/>
              </w:rPr>
            </w:pPr>
          </w:p>
        </w:tc>
        <w:tc>
          <w:tcPr>
            <w:tcW w:w="13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5"/>
                <w:szCs w:val="15"/>
                <w:color w:val="auto"/>
              </w:rPr>
            </w:pPr>
          </w:p>
        </w:tc>
        <w:tc>
          <w:tcPr>
            <w:tcW w:w="138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5"/>
                <w:szCs w:val="15"/>
                <w:color w:val="auto"/>
              </w:rPr>
            </w:pPr>
          </w:p>
        </w:tc>
      </w:tr>
      <w:tr>
        <w:trPr>
          <w:trHeight w:val="142"/>
        </w:trPr>
        <w:tc>
          <w:tcPr>
            <w:tcW w:w="5000" w:type="dxa"/>
            <w:vAlign w:val="bottom"/>
          </w:tcPr>
          <w:p>
            <w:pPr>
              <w:spacing w:after="0"/>
              <w:rPr>
                <w:sz w:val="12"/>
                <w:szCs w:val="12"/>
                <w:color w:val="auto"/>
              </w:rPr>
            </w:pPr>
          </w:p>
        </w:tc>
        <w:tc>
          <w:tcPr>
            <w:tcW w:w="860" w:type="dxa"/>
            <w:vAlign w:val="bottom"/>
            <w:tcBorders>
              <w:top w:val="single" w:sz="8" w:color="auto"/>
            </w:tcBorders>
          </w:tcPr>
          <w:p>
            <w:pPr>
              <w:jc w:val="center"/>
              <w:ind w:left="428"/>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5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Borders>
              <w:top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60" w:type="dxa"/>
            <w:vAlign w:val="bottom"/>
            <w:tcBorders>
              <w:top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80" w:type="dxa"/>
            <w:vAlign w:val="bottom"/>
            <w:tcBorders>
              <w:top w:val="single" w:sz="8" w:color="auto"/>
            </w:tcBorders>
          </w:tcPr>
          <w:p>
            <w:pPr>
              <w:jc w:val="right"/>
              <w:ind w:right="477"/>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12,231</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16,867</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18,368</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2,646</w:t>
            </w: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related to current year tax positions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1,501</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3,355</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483</w:t>
            </w:r>
          </w:p>
        </w:tc>
      </w:tr>
      <w:tr>
        <w:trPr>
          <w:trHeight w:val="210"/>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16,867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20" w:firstLine="567"/>
        <w:spacing w:after="0" w:line="282" w:lineRule="auto"/>
        <w:rPr>
          <w:sz w:val="20"/>
          <w:szCs w:val="20"/>
          <w:color w:val="auto"/>
        </w:rPr>
      </w:pPr>
      <w:r>
        <w:rPr>
          <w:rFonts w:ascii="Times New Roman" w:cs="Times New Roman" w:eastAsia="Times New Roman" w:hAnsi="Times New Roman"/>
          <w:sz w:val="18"/>
          <w:szCs w:val="18"/>
          <w:color w:val="auto"/>
        </w:rPr>
        <w:t>The Group did not accrue any potential penalties and interest related to these uncertain tax positions for all years presented on the basis that the likelihood of penalties and interest being charged is not considered to be high.</w:t>
      </w:r>
    </w:p>
    <w:p>
      <w:pPr>
        <w:spacing w:after="0" w:line="162" w:lineRule="exact"/>
        <w:rPr>
          <w:sz w:val="20"/>
          <w:szCs w:val="20"/>
          <w:color w:val="auto"/>
        </w:rPr>
      </w:pPr>
    </w:p>
    <w:p>
      <w:pPr>
        <w:ind w:right="40" w:firstLine="566"/>
        <w:spacing w:after="0" w:line="255" w:lineRule="auto"/>
        <w:rPr>
          <w:sz w:val="20"/>
          <w:szCs w:val="20"/>
          <w:color w:val="auto"/>
        </w:rPr>
      </w:pPr>
      <w:r>
        <w:rPr>
          <w:rFonts w:ascii="Times New Roman" w:cs="Times New Roman" w:eastAsia="Times New Roman" w:hAnsi="Times New Roman"/>
          <w:sz w:val="18"/>
          <w:szCs w:val="18"/>
          <w:color w:val="auto"/>
        </w:rPr>
        <w:t>The amounts of uncertain tax positions listed above are based on the recognition and measurement criteria of ASC 740. However, due to the uncertain and complex application of tax regulations, it is possible that the ultimate resolution of uncertain tax positions may result in liabilities which could be materially different from these estimates. In such an event, the Group will record additional tax expense or tax benefit in the period in which such resolution occurs. The Group does not expect changes in uncertain tax positions recognized as of December 31, 2016 to be material in the next twelve months. In accordance with PRC Tax Administration Law on the Levying and Collection of Taxes, the PRC tax authorities generally have up to five years to claw back underpaid tax plus penalties and interest for PRC entities’ tax filings. In the case of tax evasion, which is not clearly defined in the law, there is no limitation on the tax years open for investigation. Accordingly, the PRC entities’ tax years from 2012 to 2016 remain subject to examination by tax authorities. There are no ongoing examinations by tax authorities as of December 31, 2016.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Ordinary Shares</w:t>
      </w:r>
    </w:p>
    <w:p>
      <w:pPr>
        <w:spacing w:after="0" w:line="229" w:lineRule="exact"/>
        <w:rPr>
          <w:sz w:val="20"/>
          <w:szCs w:val="20"/>
          <w:color w:val="auto"/>
        </w:rPr>
      </w:pPr>
    </w:p>
    <w:p>
      <w:pPr>
        <w:ind w:right="20" w:firstLine="567"/>
        <w:spacing w:after="0" w:line="258" w:lineRule="auto"/>
        <w:rPr>
          <w:sz w:val="20"/>
          <w:szCs w:val="20"/>
          <w:color w:val="auto"/>
        </w:rPr>
      </w:pPr>
      <w:r>
        <w:rPr>
          <w:rFonts w:ascii="Times New Roman" w:cs="Times New Roman" w:eastAsia="Times New Roman" w:hAnsi="Times New Roman"/>
          <w:sz w:val="18"/>
          <w:szCs w:val="18"/>
          <w:color w:val="auto"/>
        </w:rPr>
        <w:t>The Company has Class A ordinary shares and Class B ordinary shares which are all at par value of US$0.01 each. Holders of Class A ordinary shares and Class B ordinary shares have the same rights except that holders of Class A ordinary shares are entitled to one vote per share, while holders of Class B ordinary shares are entitled to 1.3 votes per share. The Parent, which is wholly owned by Phoenix TV, holds Class B ordinary shares, each of which is convertible into one Class A ordinary share at any time by the holder thereof. Class A ordinary shares are not convertible into Class B ordinary shares under any circumstances.</w:t>
      </w:r>
    </w:p>
    <w:p>
      <w:pPr>
        <w:spacing w:after="0" w:line="184" w:lineRule="exact"/>
        <w:rPr>
          <w:sz w:val="20"/>
          <w:szCs w:val="20"/>
          <w:color w:val="auto"/>
        </w:rPr>
      </w:pPr>
    </w:p>
    <w:p>
      <w:pPr>
        <w:ind w:right="180" w:firstLine="567"/>
        <w:spacing w:after="0" w:line="282" w:lineRule="auto"/>
        <w:rPr>
          <w:sz w:val="20"/>
          <w:szCs w:val="20"/>
          <w:color w:val="auto"/>
        </w:rPr>
      </w:pPr>
      <w:r>
        <w:rPr>
          <w:rFonts w:ascii="Times New Roman" w:cs="Times New Roman" w:eastAsia="Times New Roman" w:hAnsi="Times New Roman"/>
          <w:sz w:val="18"/>
          <w:szCs w:val="18"/>
          <w:color w:val="auto"/>
        </w:rPr>
        <w:t>As of December 31, 2015, there were 253,250,854 and 317,325,360 Class A and Class B ordinary shares issued and outstanding, respectively. As of December 31, 2016, there were 254,909,790 and 317,325,360 Class A and Class B ordinary shares issued and outstanding,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Share-based Compensation</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Share-based compensation was recognized in costs and expenses for the years ended December 31, 2014, 2015 and 2016 as follows (in thousands):</w:t>
      </w:r>
    </w:p>
    <w:p>
      <w:pPr>
        <w:spacing w:after="0" w:line="219"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000" w:type="dxa"/>
            <w:vAlign w:val="bottom"/>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60" w:type="dxa"/>
            <w:vAlign w:val="bottom"/>
            <w:tcBorders>
              <w:top w:val="single" w:sz="8" w:color="auto"/>
            </w:tcBorders>
            <w:gridSpan w:val="3"/>
          </w:tcPr>
          <w:p>
            <w:pPr>
              <w:ind w:left="134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5000" w:type="dxa"/>
            <w:vAlign w:val="bottom"/>
          </w:tcPr>
          <w:p>
            <w:pPr>
              <w:spacing w:after="0"/>
              <w:rPr>
                <w:sz w:val="12"/>
                <w:szCs w:val="12"/>
                <w:color w:val="auto"/>
              </w:rPr>
            </w:pPr>
          </w:p>
        </w:tc>
        <w:tc>
          <w:tcPr>
            <w:tcW w:w="860" w:type="dxa"/>
            <w:vAlign w:val="bottom"/>
            <w:tcBorders>
              <w:top w:val="single" w:sz="8" w:color="auto"/>
            </w:tcBorders>
          </w:tcPr>
          <w:p>
            <w:pPr>
              <w:jc w:val="center"/>
              <w:ind w:left="428"/>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5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Borders>
              <w:top w:val="single" w:sz="8" w:color="auto"/>
            </w:tcBorders>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top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80" w:type="dxa"/>
            <w:vAlign w:val="bottom"/>
            <w:tcBorders>
              <w:top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16,295</w:t>
            </w: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6,335</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(4,367)</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(629)</w:t>
            </w: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10,200</w:t>
            </w:r>
          </w:p>
        </w:tc>
        <w:tc>
          <w:tcPr>
            <w:tcW w:w="8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3,043</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(2,842)</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20,927</w:t>
            </w: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6"/>
              </w:rPr>
              <w:t>21,836</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11,025</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1,588</w:t>
            </w: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 and product development expenses</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3"/>
              </w:rPr>
              <w:t>5,759</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3,140</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(1,926)</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w:t>
            </w:r>
          </w:p>
        </w:tc>
      </w:tr>
      <w:tr>
        <w:trPr>
          <w:trHeight w:val="210"/>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2"/>
              </w:rPr>
              <w:t>53,181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34,354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567"/>
        <w:spacing w:after="0" w:line="266" w:lineRule="auto"/>
        <w:rPr>
          <w:sz w:val="20"/>
          <w:szCs w:val="20"/>
          <w:color w:val="auto"/>
        </w:rPr>
      </w:pPr>
      <w:r>
        <w:rPr>
          <w:rFonts w:ascii="Times New Roman" w:cs="Times New Roman" w:eastAsia="Times New Roman" w:hAnsi="Times New Roman"/>
          <w:sz w:val="18"/>
          <w:szCs w:val="18"/>
          <w:color w:val="auto"/>
        </w:rPr>
        <w:t>The Company recognized share-based compensation, net of estimated forfeitures, on a graded-vesting basis over the vesting term of the awards. As of December 31, 2016, the Company increased the forfeiture rate estimate for share-based awards based on the actual forfeiture rate in 2016. Due to the effects of changes to the forfeiture rate, share-based compensation for the year ended December 31, 2016 was reduced by RMB27.6 million (US$4.1 million). There</w:t>
      </w:r>
    </w:p>
    <w:p>
      <w:pPr>
        <w:sectPr>
          <w:pgSz w:w="11900" w:h="16838" w:orient="portrait"/>
          <w:cols w:equalWidth="0" w:num="1">
            <w:col w:w="11420"/>
          </w:cols>
          <w:pgMar w:left="240" w:top="119" w:right="239" w:bottom="0" w:gutter="0" w:footer="0" w:header="0"/>
        </w:sectPr>
      </w:pPr>
    </w:p>
    <w:bookmarkStart w:id="124" w:name="page125"/>
    <w:bookmarkEnd w:id="124"/>
    <w:p>
      <w:pPr>
        <w:ind w:right="520"/>
        <w:spacing w:after="0" w:line="282" w:lineRule="auto"/>
        <w:rPr>
          <w:sz w:val="20"/>
          <w:szCs w:val="20"/>
          <w:color w:val="auto"/>
        </w:rPr>
      </w:pPr>
      <w:r>
        <w:rPr>
          <w:rFonts w:ascii="Times New Roman" w:cs="Times New Roman" w:eastAsia="Times New Roman" w:hAnsi="Times New Roman"/>
          <w:sz w:val="18"/>
          <w:szCs w:val="18"/>
          <w:color w:val="auto"/>
        </w:rPr>
        <w:t>was no income tax benefit recognized in the consolidated statements of comprehensive income for share-based compensation and the Company did not capitalize any of the share-based compensation as part of the cost of any asset in the years ended December 31, 2014, 2015 and 2016.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Share-based Compensation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Options</w:t>
      </w:r>
    </w:p>
    <w:p>
      <w:pPr>
        <w:spacing w:after="0" w:line="229" w:lineRule="exact"/>
        <w:rPr>
          <w:sz w:val="20"/>
          <w:szCs w:val="20"/>
          <w:color w:val="auto"/>
        </w:rPr>
      </w:pPr>
    </w:p>
    <w:p>
      <w:pPr>
        <w:ind w:right="20" w:firstLine="567"/>
        <w:spacing w:after="0" w:line="254" w:lineRule="auto"/>
        <w:rPr>
          <w:sz w:val="20"/>
          <w:szCs w:val="20"/>
          <w:color w:val="auto"/>
        </w:rPr>
      </w:pPr>
      <w:r>
        <w:rPr>
          <w:rFonts w:ascii="Times New Roman" w:cs="Times New Roman" w:eastAsia="Times New Roman" w:hAnsi="Times New Roman"/>
          <w:sz w:val="18"/>
          <w:szCs w:val="18"/>
          <w:color w:val="auto"/>
        </w:rPr>
        <w:t>In June 2008, the Company adopted the Share Option Scheme (the “June 2008 Scheme”) that provides for the granting of options to key employees to acquire ordinary shares of the Company. The June 2008 Scheme permits the grant of options to its eligible recipients for up to 10% of the ordinary shares in issue (the “Limit”) on the effective date of the June 2008 Scheme. The total number of ordinary shares which may be issued upon exercise of all outstanding options granted and yet to be exercised under the June 2008 Scheme and any other share option schemes of the Company shall not exceed 30% of the ordinary shares in issue from time to time. The Company may seek approval from its shareholders to refresh the Limit provided that the Limit as refreshed shall not exceed 10% of the ordinary shares of the Company in issue as at the date of approval, and options previously granted will not be counted for the purpose of calculating the Limit as refreshed. Any outstanding option lapse in accordance with the terms of the June 2008 Scheme will not be counted for the purpose of calculating the Limit. In August 2012, the Company’s shareholders approved to refresh the Limit, permitting the Company to grant no more than 31,410,107 additional options under the June 2008 Scheme.</w:t>
      </w:r>
    </w:p>
    <w:p>
      <w:pPr>
        <w:spacing w:after="0" w:line="189" w:lineRule="exact"/>
        <w:rPr>
          <w:sz w:val="20"/>
          <w:szCs w:val="20"/>
          <w:color w:val="auto"/>
        </w:rPr>
      </w:pPr>
    </w:p>
    <w:p>
      <w:pPr>
        <w:jc w:val="both"/>
        <w:ind w:right="80" w:firstLine="567"/>
        <w:spacing w:after="0" w:line="266" w:lineRule="auto"/>
        <w:rPr>
          <w:sz w:val="20"/>
          <w:szCs w:val="20"/>
          <w:color w:val="auto"/>
        </w:rPr>
      </w:pPr>
      <w:r>
        <w:rPr>
          <w:rFonts w:ascii="Times New Roman" w:cs="Times New Roman" w:eastAsia="Times New Roman" w:hAnsi="Times New Roman"/>
          <w:sz w:val="18"/>
          <w:szCs w:val="18"/>
          <w:color w:val="auto"/>
        </w:rPr>
        <w:t>The June 2008 Scheme will terminate automatically 10 years after its adoption, unless terminated earlier with the Company’s shareholders’ approval. Option awards are granted with an exercise price determined by the board of directors. Those option awards vest over a period of four years and expire in ten years.</w:t>
      </w:r>
    </w:p>
    <w:p>
      <w:pPr>
        <w:spacing w:after="0" w:line="176" w:lineRule="exact"/>
        <w:rPr>
          <w:sz w:val="20"/>
          <w:szCs w:val="20"/>
          <w:color w:val="auto"/>
        </w:rPr>
      </w:pPr>
    </w:p>
    <w:p>
      <w:pPr>
        <w:ind w:firstLine="567"/>
        <w:spacing w:after="0" w:line="255" w:lineRule="auto"/>
        <w:rPr>
          <w:sz w:val="20"/>
          <w:szCs w:val="20"/>
          <w:color w:val="auto"/>
        </w:rPr>
      </w:pPr>
      <w:r>
        <w:rPr>
          <w:rFonts w:ascii="Times New Roman" w:cs="Times New Roman" w:eastAsia="Times New Roman" w:hAnsi="Times New Roman"/>
          <w:sz w:val="18"/>
          <w:szCs w:val="18"/>
          <w:color w:val="auto"/>
        </w:rPr>
        <w:t>With the approvals of the board of directors and shareholders of the Company and Phoenix TV, the Company implemented an option exchange program from October 21, 2016 to November 1, 2016, whereby the Company’s directors, employees and consultants exchanged options to purchase 21,011,951 Class A ordinary shares of the Company granted under the Company’s June 2008 Scheme with various exercise prices greater than US$0.4823 per share (or US$3.8587 per ADS) for new options granted by the Company under the same plan with a new exercise price of US$0.4823 per share and a new vesting schedule that generally adds 12 months to each original vesting date, and the new options would vest no sooner than May 1, 2017. The Company accounted for the option exchange program as option modification and recognized the total incremental share-based compensation of RMB12.1 million (US$1.7 million), of which RMB2.7 million (US$0.4 million) was recognized in the year ended December 31, 2016.</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 summary of the Company’s share option activities for the years ended December 31, 2014, 2015 and 2016 is presented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66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166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300" w:type="dxa"/>
            <w:vAlign w:val="bottom"/>
          </w:tcPr>
          <w:p>
            <w:pPr>
              <w:spacing w:after="0"/>
              <w:rPr>
                <w:sz w:val="12"/>
                <w:szCs w:val="12"/>
                <w:color w:val="auto"/>
              </w:rPr>
            </w:pPr>
          </w:p>
        </w:tc>
        <w:tc>
          <w:tcPr>
            <w:tcW w:w="15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Years</w:t>
            </w:r>
          </w:p>
        </w:tc>
        <w:tc>
          <w:tcPr>
            <w:tcW w:w="28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 in Million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2014</w:t>
            </w: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39,770,121</w:t>
            </w:r>
          </w:p>
        </w:tc>
        <w:tc>
          <w:tcPr>
            <w:tcW w:w="1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0.44</w:t>
            </w:r>
          </w:p>
        </w:tc>
        <w:tc>
          <w:tcPr>
            <w:tcW w:w="1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21,052,758</w:t>
            </w: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1.30</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and expired</w:t>
            </w:r>
          </w:p>
        </w:tc>
        <w:tc>
          <w:tcPr>
            <w:tcW w:w="1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(4,013,850)</w:t>
            </w:r>
          </w:p>
        </w:tc>
        <w:tc>
          <w:tcPr>
            <w:tcW w:w="1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0.91</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(6,542,022)</w:t>
            </w: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0.23</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2014</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50,267,007</w:t>
            </w:r>
          </w:p>
        </w:tc>
        <w:tc>
          <w:tcPr>
            <w:tcW w:w="3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0.79</w:t>
            </w:r>
          </w:p>
        </w:tc>
        <w:tc>
          <w:tcPr>
            <w:tcW w:w="1860" w:type="dxa"/>
            <w:vAlign w:val="bottom"/>
            <w:tcBorders>
              <w:top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8.2</w:t>
            </w:r>
          </w:p>
        </w:tc>
        <w:tc>
          <w:tcPr>
            <w:tcW w:w="148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8,020,000</w:t>
            </w:r>
          </w:p>
        </w:tc>
        <w:tc>
          <w:tcPr>
            <w:tcW w:w="300" w:type="dxa"/>
            <w:vAlign w:val="bottom"/>
          </w:tcPr>
          <w:p>
            <w:pPr>
              <w:spacing w:after="0"/>
              <w:rPr>
                <w:sz w:val="18"/>
                <w:szCs w:val="18"/>
                <w:color w:val="auto"/>
              </w:rPr>
            </w:pP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0.92</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and expired</w:t>
            </w:r>
          </w:p>
        </w:tc>
        <w:tc>
          <w:tcPr>
            <w:tcW w:w="1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(8,379,197)</w:t>
            </w:r>
          </w:p>
        </w:tc>
        <w:tc>
          <w:tcPr>
            <w:tcW w:w="1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1.03</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(3,790,280)</w:t>
            </w: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0.36</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2015</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46,117,530</w:t>
            </w:r>
          </w:p>
        </w:tc>
        <w:tc>
          <w:tcPr>
            <w:tcW w:w="3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0.81</w:t>
            </w:r>
          </w:p>
        </w:tc>
        <w:tc>
          <w:tcPr>
            <w:tcW w:w="1860" w:type="dxa"/>
            <w:vAlign w:val="bottom"/>
            <w:tcBorders>
              <w:top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w:t>
            </w:r>
          </w:p>
        </w:tc>
        <w:tc>
          <w:tcPr>
            <w:tcW w:w="148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9,991,964</w:t>
            </w:r>
          </w:p>
        </w:tc>
        <w:tc>
          <w:tcPr>
            <w:tcW w:w="300" w:type="dxa"/>
            <w:vAlign w:val="bottom"/>
          </w:tcPr>
          <w:p>
            <w:pPr>
              <w:spacing w:after="0"/>
              <w:rPr>
                <w:sz w:val="18"/>
                <w:szCs w:val="18"/>
                <w:color w:val="auto"/>
              </w:rPr>
            </w:pP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0.47</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and expired</w:t>
            </w:r>
          </w:p>
        </w:tc>
        <w:tc>
          <w:tcPr>
            <w:tcW w:w="1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(10,005,413)</w:t>
            </w:r>
          </w:p>
        </w:tc>
        <w:tc>
          <w:tcPr>
            <w:tcW w:w="1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0.94</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(1,658,946)</w:t>
            </w: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0.22</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2016</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44,445,135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80" w:type="dxa"/>
            <w:vAlign w:val="bottom"/>
            <w:tcBorders>
              <w:top w:val="single" w:sz="8" w:color="CCEEFF"/>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0.43</w:t>
            </w:r>
          </w:p>
        </w:tc>
        <w:tc>
          <w:tcPr>
            <w:tcW w:w="186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w:t>
            </w:r>
          </w:p>
        </w:tc>
        <w:tc>
          <w:tcPr>
            <w:tcW w:w="14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as of December 31, 2016</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0.29</w:t>
            </w:r>
          </w:p>
        </w:tc>
        <w:tc>
          <w:tcPr>
            <w:tcW w:w="18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4.4</w:t>
            </w:r>
          </w:p>
        </w:tc>
        <w:tc>
          <w:tcPr>
            <w:tcW w:w="1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line="20" w:lineRule="exact"/>
              <w:rPr>
                <w:sz w:val="1"/>
                <w:szCs w:val="1"/>
                <w:color w:val="auto"/>
              </w:rPr>
            </w:pPr>
          </w:p>
        </w:tc>
      </w:tr>
      <w:tr>
        <w:trPr>
          <w:trHeight w:val="197"/>
        </w:trPr>
        <w:tc>
          <w:tcPr>
            <w:tcW w:w="454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12,802,895</w:t>
            </w:r>
          </w:p>
        </w:tc>
        <w:tc>
          <w:tcPr>
            <w:tcW w:w="300" w:type="dxa"/>
            <w:vAlign w:val="bottom"/>
            <w:vMerge w:val="continue"/>
          </w:tcPr>
          <w:p>
            <w:pPr>
              <w:spacing w:after="0"/>
              <w:rPr>
                <w:sz w:val="17"/>
                <w:szCs w:val="17"/>
                <w:color w:val="auto"/>
              </w:rPr>
            </w:pPr>
          </w:p>
        </w:tc>
        <w:tc>
          <w:tcPr>
            <w:tcW w:w="1880" w:type="dxa"/>
            <w:vAlign w:val="bottom"/>
            <w:gridSpan w:val="2"/>
            <w:vMerge w:val="continue"/>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as of December 31, 2016</w:t>
            </w: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30,349,765</w:t>
            </w:r>
          </w:p>
        </w:tc>
        <w:tc>
          <w:tcPr>
            <w:tcW w:w="1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0.40</w:t>
            </w:r>
          </w:p>
        </w:tc>
        <w:tc>
          <w:tcPr>
            <w:tcW w:w="1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6.5</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firstLine="576"/>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options outstanding, exercisable and vested and expected to vest as of December 31, 2016 was calculated as the difference between the Company’s closing stock price of US$3.14 per ADS, or US$0.3925 per share as of that date, and the exercise price of the underlying options. The aggregate intrinsic value of options exercised was calculated as the difference between the market value on the date of exercise and the exercise price of the underlying options.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Share-based Compensation (Continued)</w:t>
      </w:r>
    </w:p>
    <w:p>
      <w:pPr>
        <w:spacing w:after="0" w:line="229" w:lineRule="exact"/>
        <w:rPr>
          <w:sz w:val="20"/>
          <w:szCs w:val="20"/>
          <w:color w:val="auto"/>
        </w:rPr>
      </w:pPr>
    </w:p>
    <w:p>
      <w:pPr>
        <w:ind w:right="60" w:firstLine="567"/>
        <w:spacing w:after="0" w:line="313" w:lineRule="auto"/>
        <w:rPr>
          <w:sz w:val="20"/>
          <w:szCs w:val="20"/>
          <w:color w:val="auto"/>
        </w:rPr>
      </w:pPr>
      <w:r>
        <w:rPr>
          <w:rFonts w:ascii="Times New Roman" w:cs="Times New Roman" w:eastAsia="Times New Roman" w:hAnsi="Times New Roman"/>
          <w:sz w:val="17"/>
          <w:szCs w:val="17"/>
          <w:color w:val="auto"/>
        </w:rPr>
        <w:t>As disclosed in Note 2(t), the Company’s share-based compensation is measured at the value of the award as calculated under the Black-Scholes option pricing model. The Company estimated the expected volatility at the date of grant based on average annualized standard deviation of the share price of</w:t>
      </w:r>
    </w:p>
    <w:p>
      <w:pPr>
        <w:sectPr>
          <w:pgSz w:w="11900" w:h="16838" w:orient="portrait"/>
          <w:cols w:equalWidth="0" w:num="1">
            <w:col w:w="11420"/>
          </w:cols>
          <w:pgMar w:left="240" w:top="121" w:right="239" w:bottom="0" w:gutter="0" w:footer="0" w:header="0"/>
        </w:sectPr>
      </w:pPr>
    </w:p>
    <w:bookmarkStart w:id="125" w:name="page126"/>
    <w:bookmarkEnd w:id="125"/>
    <w:p>
      <w:pPr>
        <w:spacing w:after="0" w:line="3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comparable listed companies. The Company has no history or expectation of paying dividends on its ordinary shares. The Company estimated the expected term based on the vesting schedule and the exercise period of the options. Risk-free interest rates are based on the derived market yield of the</w:t>
      </w:r>
    </w:p>
    <w:p>
      <w:pPr>
        <w:ind w:right="20"/>
        <w:spacing w:after="0" w:line="261" w:lineRule="auto"/>
        <w:rPr>
          <w:sz w:val="20"/>
          <w:szCs w:val="20"/>
          <w:color w:val="auto"/>
        </w:rPr>
      </w:pPr>
      <w:r>
        <w:rPr>
          <w:rFonts w:ascii="Times New Roman" w:cs="Times New Roman" w:eastAsia="Times New Roman" w:hAnsi="Times New Roman"/>
          <w:sz w:val="18"/>
          <w:szCs w:val="18"/>
          <w:color w:val="auto"/>
        </w:rPr>
        <w:t>US$ denominated Chinese government bonds for the term approximating the expected life of award at the time of grant. The assumptions used in determining the fair value of options granted during the year ended December 31, 2014, 2015 and 2016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960" w:type="dxa"/>
            <w:vAlign w:val="bottom"/>
          </w:tcPr>
          <w:p>
            <w:pPr>
              <w:spacing w:after="0"/>
              <w:rPr>
                <w:sz w:val="12"/>
                <w:szCs w:val="12"/>
                <w:color w:val="auto"/>
              </w:rPr>
            </w:pPr>
          </w:p>
        </w:tc>
        <w:tc>
          <w:tcPr>
            <w:tcW w:w="1600" w:type="dxa"/>
            <w:vAlign w:val="bottom"/>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880" w:type="dxa"/>
            <w:vAlign w:val="bottom"/>
            <w:gridSpan w:val="2"/>
          </w:tcPr>
          <w:p>
            <w:pPr>
              <w:jc w:val="right"/>
              <w:ind w:right="57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2"/>
                <w:szCs w:val="12"/>
                <w:color w:val="auto"/>
              </w:rPr>
            </w:pPr>
          </w:p>
        </w:tc>
        <w:tc>
          <w:tcPr>
            <w:tcW w:w="1600" w:type="dxa"/>
            <w:vAlign w:val="bottom"/>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 rate</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56.1%-57.5%</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54.23%-54.32%</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50.67%-55.65%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5.81-6.16</w:t>
            </w:r>
          </w:p>
        </w:tc>
        <w:tc>
          <w:tcPr>
            <w:tcW w:w="21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5.91-6.16</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3.91-6.16</w:t>
            </w:r>
          </w:p>
        </w:tc>
      </w:t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(per annum)</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1.43%-1.88%</w:t>
            </w:r>
          </w:p>
        </w:tc>
        <w:tc>
          <w:tcPr>
            <w:tcW w:w="21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1.90%-1.98%</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1.30%-1.55%</w:t>
            </w:r>
          </w:p>
        </w:tc>
      </w:tr>
    </w:tbl>
    <w:p>
      <w:pPr>
        <w:spacing w:after="0" w:line="179" w:lineRule="exact"/>
        <w:rPr>
          <w:sz w:val="20"/>
          <w:szCs w:val="20"/>
          <w:color w:val="auto"/>
        </w:rPr>
      </w:pPr>
    </w:p>
    <w:p>
      <w:pPr>
        <w:ind w:right="260" w:firstLine="567"/>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for the years ended December 31, 2014, 2015 and 2016 were US$0.67, US$0.46 and US$0.23, respectively.</w:t>
      </w:r>
    </w:p>
    <w:p>
      <w:pPr>
        <w:spacing w:after="0" w:line="162" w:lineRule="exact"/>
        <w:rPr>
          <w:sz w:val="20"/>
          <w:szCs w:val="20"/>
          <w:color w:val="auto"/>
        </w:rPr>
      </w:pPr>
    </w:p>
    <w:p>
      <w:pPr>
        <w:ind w:right="40" w:firstLine="566"/>
        <w:spacing w:after="0" w:line="255" w:lineRule="auto"/>
        <w:rPr>
          <w:sz w:val="20"/>
          <w:szCs w:val="20"/>
          <w:color w:val="auto"/>
        </w:rPr>
      </w:pPr>
      <w:r>
        <w:rPr>
          <w:rFonts w:ascii="Times New Roman" w:cs="Times New Roman" w:eastAsia="Times New Roman" w:hAnsi="Times New Roman"/>
          <w:sz w:val="18"/>
          <w:szCs w:val="18"/>
          <w:color w:val="auto"/>
        </w:rPr>
        <w:t>During 2009, 2010 and 2011, some employees voluntarily left the Company and exercised their vested share options in exchange for future entitlement of the Company’s shares issuable after completion of the Company’s IPO and upon the request of the former employees. The proceeds from the exercise of these options could not be refunded to the former employees in any event, even if the Company did not complete an IPO. Accordingly, these share options are considered have been exercised and the proceeds have been included in the additional paid-in capital of the Company. The proceeds received from exercise of these options amounted to RMB1.5 million (US$0.2 million) as of December 31, 2016. The Company completed its IPO on May 17, 2011 and 5,019,865 shares have been issued to the former employees after that. There were 1,777,826 and 1,692,526 contingently issuable shares to be issued upon the former employees’ request as of December 31, 2015 and 2016, respectively.</w:t>
      </w:r>
    </w:p>
    <w:p>
      <w:pPr>
        <w:spacing w:after="0" w:line="189" w:lineRule="exact"/>
        <w:rPr>
          <w:sz w:val="20"/>
          <w:szCs w:val="20"/>
          <w:color w:val="auto"/>
        </w:rPr>
      </w:pPr>
    </w:p>
    <w:p>
      <w:pPr>
        <w:ind w:right="420" w:firstLine="567"/>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2014, 2015 and 2016, the Company has recognized share-based compensation net of forfeitures for options of RMB53.0 million, RMB34.4 million and RMB1.9 million (US$0.3 million), respectively.</w:t>
      </w:r>
    </w:p>
    <w:p>
      <w:pPr>
        <w:spacing w:after="0" w:line="162" w:lineRule="exact"/>
        <w:rPr>
          <w:sz w:val="20"/>
          <w:szCs w:val="20"/>
          <w:color w:val="auto"/>
        </w:rPr>
      </w:pPr>
    </w:p>
    <w:p>
      <w:pPr>
        <w:ind w:right="700" w:firstLine="567"/>
        <w:spacing w:after="0" w:line="282" w:lineRule="auto"/>
        <w:rPr>
          <w:sz w:val="20"/>
          <w:szCs w:val="20"/>
          <w:color w:val="auto"/>
        </w:rPr>
      </w:pPr>
      <w:r>
        <w:rPr>
          <w:rFonts w:ascii="Times New Roman" w:cs="Times New Roman" w:eastAsia="Times New Roman" w:hAnsi="Times New Roman"/>
          <w:sz w:val="18"/>
          <w:szCs w:val="18"/>
          <w:color w:val="auto"/>
        </w:rPr>
        <w:t>As of December 31, 2016, there was RMB23.8 million (US$3.4 million) of unrecognized share-based compensation for options, adjusted for estimated forfeitures. The unrecognized share-based compensation is expected to be recognized over a weighted-average period of 2.8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w:t>
      </w:r>
    </w:p>
    <w:p>
      <w:pPr>
        <w:spacing w:after="0" w:line="229" w:lineRule="exact"/>
        <w:rPr>
          <w:sz w:val="20"/>
          <w:szCs w:val="20"/>
          <w:color w:val="auto"/>
        </w:rPr>
      </w:pPr>
    </w:p>
    <w:p>
      <w:pPr>
        <w:jc w:val="both"/>
        <w:ind w:right="820" w:firstLine="567"/>
        <w:spacing w:after="0" w:line="313" w:lineRule="auto"/>
        <w:rPr>
          <w:sz w:val="20"/>
          <w:szCs w:val="20"/>
          <w:color w:val="auto"/>
        </w:rPr>
      </w:pPr>
      <w:r>
        <w:rPr>
          <w:rFonts w:ascii="Times New Roman" w:cs="Times New Roman" w:eastAsia="Times New Roman" w:hAnsi="Times New Roman"/>
          <w:sz w:val="17"/>
          <w:szCs w:val="17"/>
          <w:color w:val="auto"/>
        </w:rPr>
        <w:t>In March 2011, the Company adopted the 2011 restricted share and restricted share unit scheme. On March 17, 2011, the Company granted 10,050,958 restricted share units to the employees. Those restricted share units vested over a period of four years and all had been vested by 2015.</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 summary of restricted share units activity for the years ended December 31, 2014 and 2015 is presented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9"/>
        </w:trPr>
        <w:tc>
          <w:tcPr>
            <w:tcW w:w="7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Restricted Share Units</w:t>
            </w:r>
          </w:p>
        </w:tc>
        <w:tc>
          <w:tcPr>
            <w:tcW w:w="16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784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2"/>
        </w:trPr>
        <w:tc>
          <w:tcPr>
            <w:tcW w:w="75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January 1, 2014</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425,579</w:t>
            </w:r>
          </w:p>
        </w:tc>
        <w:tc>
          <w:tcPr>
            <w:tcW w:w="1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(386,763)</w:t>
            </w:r>
          </w:p>
        </w:tc>
        <w:tc>
          <w:tcPr>
            <w:tcW w:w="1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(6,316)</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0"/>
        </w:trPr>
        <w:tc>
          <w:tcPr>
            <w:tcW w:w="78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2014</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2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(32,500)</w:t>
            </w:r>
          </w:p>
        </w:tc>
        <w:tc>
          <w:tcPr>
            <w:tcW w:w="1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8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2015</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9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Share-based Compensation (Continued)</w:t>
      </w:r>
    </w:p>
    <w:p>
      <w:pPr>
        <w:spacing w:after="0" w:line="229" w:lineRule="exact"/>
        <w:rPr>
          <w:sz w:val="20"/>
          <w:szCs w:val="20"/>
          <w:color w:val="auto"/>
        </w:rPr>
      </w:pPr>
    </w:p>
    <w:p>
      <w:pPr>
        <w:ind w:right="160" w:firstLine="567"/>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2014, 2015 and 2016, total share-based compensation recognized for restricted share units were RMB0.3 million, RMB1.0 thousand and nil, respectively.</w:t>
      </w:r>
    </w:p>
    <w:p>
      <w:pPr>
        <w:spacing w:after="0" w:line="162" w:lineRule="exact"/>
        <w:rPr>
          <w:sz w:val="20"/>
          <w:szCs w:val="20"/>
          <w:color w:val="auto"/>
        </w:rPr>
      </w:pPr>
    </w:p>
    <w:p>
      <w:pPr>
        <w:ind w:right="360" w:firstLine="567"/>
        <w:spacing w:after="0" w:line="266" w:lineRule="auto"/>
        <w:rPr>
          <w:sz w:val="20"/>
          <w:szCs w:val="20"/>
          <w:color w:val="auto"/>
        </w:rPr>
      </w:pPr>
      <w:r>
        <w:rPr>
          <w:rFonts w:ascii="Times New Roman" w:cs="Times New Roman" w:eastAsia="Times New Roman" w:hAnsi="Times New Roman"/>
          <w:sz w:val="18"/>
          <w:szCs w:val="18"/>
          <w:color w:val="auto"/>
        </w:rPr>
        <w:t>As of December 31, 2015 and 2016, there was no unrecognized share-based compensation related to unvested restricted share units. The total fair value based on the respective vesting dates of the restricted share units vested were US$0.4 million, US$0.03 million and nil during the years ended December 31, 2014, 2015 and 2016,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Shares</w:t>
      </w:r>
    </w:p>
    <w:p>
      <w:pPr>
        <w:spacing w:after="0" w:line="229" w:lineRule="exact"/>
        <w:rPr>
          <w:sz w:val="20"/>
          <w:szCs w:val="20"/>
          <w:color w:val="auto"/>
        </w:rPr>
      </w:pPr>
    </w:p>
    <w:p>
      <w:pPr>
        <w:ind w:right="160" w:firstLine="567"/>
        <w:spacing w:after="0" w:line="258" w:lineRule="auto"/>
        <w:rPr>
          <w:sz w:val="20"/>
          <w:szCs w:val="20"/>
          <w:color w:val="auto"/>
        </w:rPr>
      </w:pPr>
      <w:r>
        <w:rPr>
          <w:rFonts w:ascii="Times New Roman" w:cs="Times New Roman" w:eastAsia="Times New Roman" w:hAnsi="Times New Roman"/>
          <w:sz w:val="18"/>
          <w:szCs w:val="18"/>
          <w:color w:val="auto"/>
        </w:rPr>
        <w:t>On March 15, 2011, the Company cancelled 18,778,200 stock options granted historically, and granted 19,008,200 restricted shares to 22 employees on March 17, 2011. Those restricted shares vested over a period of four years and all had been vested by 2014. The incremental share-based compensation was US$0.5 million. Total amount of unrecognized share-based compensation of unvested option and incremental share-based compensation was US$2.2 million, including US$0.2 million which was recognized immediately, and US$2.0 million which was recognized during the rest of vesting period of restricted shares.</w:t>
      </w:r>
    </w:p>
    <w:p>
      <w:pPr>
        <w:spacing w:after="0" w:line="1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 summary of restricted share activity for the years ended December 31, 2014 is presented below:</w:t>
      </w:r>
    </w:p>
    <w:p>
      <w:pPr>
        <w:sectPr>
          <w:pgSz w:w="11900" w:h="16874" w:orient="portrait"/>
          <w:cols w:equalWidth="0" w:num="1">
            <w:col w:w="11420"/>
          </w:cols>
          <w:pgMar w:left="240" w:top="121" w:right="239" w:bottom="0" w:gutter="0" w:footer="0" w:header="0"/>
        </w:sectPr>
      </w:pPr>
    </w:p>
    <w:p>
      <w:pPr>
        <w:spacing w:after="0" w:line="219"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3"/>
          <w:szCs w:val="13"/>
          <w:b w:val="1"/>
          <w:bCs w:val="1"/>
          <w:color w:val="auto"/>
        </w:rPr>
        <w:t>Weighted-Average</w:t>
      </w:r>
    </w:p>
    <w:p>
      <w:pPr>
        <w:sectPr>
          <w:pgSz w:w="11900" w:h="16874" w:orient="portrait"/>
          <w:cols w:equalWidth="0" w:num="1">
            <w:col w:w="11420"/>
          </w:cols>
          <w:pgMar w:left="240" w:top="121" w:right="239" w:bottom="0" w:gutter="0" w:footer="0" w:header="0"/>
          <w:type w:val="continuous"/>
        </w:sectPr>
      </w:pPr>
    </w:p>
    <w:bookmarkStart w:id="126" w:name="page127"/>
    <w:bookmarkEnd w:id="126"/>
    <w:tbl>
      <w:tblPr>
        <w:tblLayout w:type="fixed"/>
        <w:tblInd w:w="0" w:type="dxa"/>
        <w:tblCellMar>
          <w:top w:w="0" w:type="dxa"/>
          <w:left w:w="0" w:type="dxa"/>
          <w:bottom w:w="0" w:type="dxa"/>
          <w:right w:w="0" w:type="dxa"/>
        </w:tblCellMar>
      </w:tblPr>
      <w:tr>
        <w:trPr>
          <w:trHeight w:val="161"/>
        </w:trPr>
        <w:tc>
          <w:tcPr>
            <w:tcW w:w="7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Restricted Shares</w:t>
            </w:r>
          </w:p>
        </w:tc>
        <w:tc>
          <w:tcPr>
            <w:tcW w:w="17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Grant-Date</w:t>
            </w:r>
          </w:p>
        </w:tc>
      </w:tr>
      <w:tr>
        <w:trPr>
          <w:trHeight w:val="173"/>
        </w:trPr>
        <w:tc>
          <w:tcPr>
            <w:tcW w:w="7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42"/>
        </w:trPr>
        <w:tc>
          <w:tcPr>
            <w:tcW w:w="74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100" w:type="dxa"/>
            <w:vAlign w:val="bottom"/>
          </w:tcPr>
          <w:p>
            <w:pPr>
              <w:spacing w:after="0"/>
              <w:rPr>
                <w:sz w:val="12"/>
                <w:szCs w:val="12"/>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January 1, 2014</w:t>
            </w:r>
          </w:p>
        </w:tc>
        <w:tc>
          <w:tcPr>
            <w:tcW w:w="1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845,000</w:t>
            </w:r>
          </w:p>
        </w:tc>
        <w:tc>
          <w:tcPr>
            <w:tcW w:w="1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(676,250)</w:t>
            </w:r>
          </w:p>
        </w:tc>
        <w:tc>
          <w:tcPr>
            <w:tcW w:w="1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(168,750)</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r>
      <w:tr>
        <w:trPr>
          <w:trHeight w:val="210"/>
        </w:trPr>
        <w:tc>
          <w:tcPr>
            <w:tcW w:w="7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2014</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9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80" w:firstLine="567"/>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2014, 2015 and 2016, total share-based compensation recognized for restricted shares were negative RMB0.1 million, nil and nil, respectively.</w:t>
      </w:r>
    </w:p>
    <w:p>
      <w:pPr>
        <w:spacing w:after="0" w:line="162" w:lineRule="exact"/>
        <w:rPr>
          <w:sz w:val="20"/>
          <w:szCs w:val="20"/>
          <w:color w:val="auto"/>
        </w:rPr>
      </w:pPr>
    </w:p>
    <w:p>
      <w:pPr>
        <w:jc w:val="both"/>
        <w:ind w:right="280" w:firstLine="567"/>
        <w:spacing w:after="0" w:line="266" w:lineRule="auto"/>
        <w:rPr>
          <w:sz w:val="20"/>
          <w:szCs w:val="20"/>
          <w:color w:val="auto"/>
        </w:rPr>
      </w:pPr>
      <w:r>
        <w:rPr>
          <w:rFonts w:ascii="Times New Roman" w:cs="Times New Roman" w:eastAsia="Times New Roman" w:hAnsi="Times New Roman"/>
          <w:sz w:val="18"/>
          <w:szCs w:val="18"/>
          <w:color w:val="auto"/>
        </w:rPr>
        <w:t>As of December 31, 2015 and 2016, there was no unrecognized share-based compensation related to unvested restricted shares. The total fair value based on the respective vesting dates of the restricted shares vested were US$0.7 million, nil and nil during the years ended December 31, 2014, 2015 and 2016, respectively.</w:t>
      </w:r>
    </w:p>
    <w:p>
      <w:pPr>
        <w:spacing w:after="0" w:line="176" w:lineRule="exact"/>
        <w:rPr>
          <w:sz w:val="20"/>
          <w:szCs w:val="20"/>
          <w:color w:val="auto"/>
        </w:rPr>
      </w:pPr>
    </w:p>
    <w:p>
      <w:pPr>
        <w:ind w:right="220" w:firstLine="567"/>
        <w:spacing w:after="0" w:line="282" w:lineRule="auto"/>
        <w:rPr>
          <w:sz w:val="20"/>
          <w:szCs w:val="20"/>
          <w:color w:val="auto"/>
        </w:rPr>
      </w:pPr>
      <w:r>
        <w:rPr>
          <w:rFonts w:ascii="Times New Roman" w:cs="Times New Roman" w:eastAsia="Times New Roman" w:hAnsi="Times New Roman"/>
          <w:sz w:val="18"/>
          <w:szCs w:val="18"/>
          <w:color w:val="auto"/>
        </w:rPr>
        <w:t>The fair value of the restricted shares and restricted share units on March 17, 2011 was US$1.07 and the fair value of the underlying ordinary shares was US$1.14.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Segments</w:t>
      </w:r>
    </w:p>
    <w:p>
      <w:pPr>
        <w:spacing w:after="0" w:line="229" w:lineRule="exact"/>
        <w:rPr>
          <w:sz w:val="20"/>
          <w:szCs w:val="20"/>
          <w:color w:val="auto"/>
        </w:rPr>
      </w:pPr>
    </w:p>
    <w:p>
      <w:pPr>
        <w:ind w:right="60" w:firstLine="567"/>
        <w:spacing w:after="0" w:line="266" w:lineRule="auto"/>
        <w:rPr>
          <w:sz w:val="20"/>
          <w:szCs w:val="20"/>
          <w:color w:val="auto"/>
        </w:rPr>
      </w:pPr>
      <w:r>
        <w:rPr>
          <w:rFonts w:ascii="Times New Roman" w:cs="Times New Roman" w:eastAsia="Times New Roman" w:hAnsi="Times New Roman"/>
          <w:sz w:val="18"/>
          <w:szCs w:val="18"/>
          <w:color w:val="auto"/>
        </w:rPr>
        <w:t>The Group currently operates in two principal operating segments: net advertising services and paid services. Information provided to the CODM is at the gross margin level. The Group currently does not allocate operating expenses or assets to its segments, as its CODM does not use such information to allocate resources to or evaluate the performance of the operating segments.</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Segments (Continued)</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presents summarized information by segments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000" w:type="dxa"/>
            <w:vAlign w:val="bottom"/>
          </w:tcPr>
          <w:p>
            <w:pPr>
              <w:spacing w:after="0"/>
              <w:rPr>
                <w:sz w:val="12"/>
                <w:szCs w:val="12"/>
                <w:color w:val="auto"/>
              </w:rPr>
            </w:pPr>
          </w:p>
        </w:tc>
        <w:tc>
          <w:tcPr>
            <w:tcW w:w="136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Pr>
          <w:p>
            <w:pPr>
              <w:spacing w:after="0"/>
              <w:rPr>
                <w:sz w:val="12"/>
                <w:szCs w:val="12"/>
                <w:color w:val="auto"/>
              </w:rPr>
            </w:pPr>
          </w:p>
        </w:tc>
        <w:tc>
          <w:tcPr>
            <w:tcW w:w="136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2"/>
                <w:szCs w:val="12"/>
                <w:color w:val="auto"/>
              </w:rPr>
            </w:pPr>
          </w:p>
        </w:tc>
        <w:tc>
          <w:tcPr>
            <w:tcW w:w="138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5000" w:type="dxa"/>
            <w:vAlign w:val="bottom"/>
          </w:tcPr>
          <w:p>
            <w:pPr>
              <w:spacing w:after="0"/>
              <w:rPr>
                <w:sz w:val="12"/>
                <w:szCs w:val="12"/>
                <w:color w:val="auto"/>
              </w:rPr>
            </w:pPr>
          </w:p>
        </w:tc>
        <w:tc>
          <w:tcPr>
            <w:tcW w:w="136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spacing w:after="0"/>
              <w:rPr>
                <w:sz w:val="12"/>
                <w:szCs w:val="12"/>
                <w:color w:val="auto"/>
              </w:rPr>
            </w:pPr>
          </w:p>
        </w:tc>
        <w:tc>
          <w:tcPr>
            <w:tcW w:w="1360" w:type="dxa"/>
            <w:vAlign w:val="bottom"/>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gridSpan w:val="2"/>
          </w:tcPr>
          <w:p>
            <w:pPr>
              <w:spacing w:after="0"/>
              <w:rPr>
                <w:sz w:val="12"/>
                <w:szCs w:val="12"/>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advertising services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1,190,158</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1,226,516</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1,232,210</w:t>
            </w:r>
          </w:p>
        </w:tc>
        <w:tc>
          <w:tcPr>
            <w:tcW w:w="2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177,475</w:t>
            </w:r>
          </w:p>
        </w:tc>
        <w:tc>
          <w:tcPr>
            <w:tcW w:w="80" w:type="dxa"/>
            <w:vAlign w:val="bottom"/>
          </w:tcPr>
          <w:p>
            <w:pPr>
              <w:spacing w:after="0"/>
              <w:rPr>
                <w:sz w:val="18"/>
                <w:szCs w:val="18"/>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Paid services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447,702</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382,680</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212,697</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30,635</w:t>
            </w:r>
          </w:p>
        </w:tc>
        <w:tc>
          <w:tcPr>
            <w:tcW w:w="80" w:type="dxa"/>
            <w:vAlign w:val="bottom"/>
            <w:shd w:val="clear" w:color="auto" w:fill="CCEEFF"/>
          </w:tcPr>
          <w:p>
            <w:pPr>
              <w:spacing w:after="0"/>
              <w:rPr>
                <w:sz w:val="18"/>
                <w:szCs w:val="18"/>
                <w:color w:val="auto"/>
              </w:rPr>
            </w:pP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1,637,860</w:t>
            </w:r>
          </w:p>
        </w:tc>
        <w:tc>
          <w:tcPr>
            <w:tcW w:w="30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1,609,196</w:t>
            </w:r>
          </w:p>
        </w:tc>
        <w:tc>
          <w:tcPr>
            <w:tcW w:w="28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1,444,907</w:t>
            </w:r>
          </w:p>
        </w:tc>
        <w:tc>
          <w:tcPr>
            <w:tcW w:w="2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advertising services</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(522,553)</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(557,421)</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(598,040)</w:t>
            </w: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(86,136)</w:t>
            </w:r>
          </w:p>
        </w:tc>
      </w:tr>
      <w:tr>
        <w:trPr>
          <w:trHeight w:val="216"/>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Paid services</w:t>
            </w:r>
          </w:p>
        </w:tc>
        <w:tc>
          <w:tcPr>
            <w:tcW w:w="1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(259,079)</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(271,965)</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(128,767)</w:t>
            </w:r>
          </w:p>
        </w:tc>
        <w:tc>
          <w:tcPr>
            <w:tcW w:w="1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(18,546)</w:t>
            </w: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(781,632)</w:t>
            </w:r>
          </w:p>
        </w:tc>
        <w:tc>
          <w:tcPr>
            <w:tcW w:w="30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(829,386)</w:t>
            </w:r>
          </w:p>
        </w:tc>
        <w:tc>
          <w:tcPr>
            <w:tcW w:w="28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(726,807)</w:t>
            </w:r>
          </w:p>
        </w:tc>
        <w:tc>
          <w:tcPr>
            <w:tcW w:w="2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(104,682)</w:t>
            </w:r>
          </w:p>
        </w:tc>
        <w:tc>
          <w:tcPr>
            <w:tcW w:w="100" w:type="dxa"/>
            <w:vAlign w:val="bottom"/>
            <w:gridSpan w:val="2"/>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advertising services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667,605</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669,095</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634,170</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91,339</w:t>
            </w:r>
          </w:p>
        </w:tc>
        <w:tc>
          <w:tcPr>
            <w:tcW w:w="80" w:type="dxa"/>
            <w:vAlign w:val="bottom"/>
          </w:tcPr>
          <w:p>
            <w:pPr>
              <w:spacing w:after="0"/>
              <w:rPr>
                <w:sz w:val="18"/>
                <w:szCs w:val="18"/>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Paid services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188,623</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110,715</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83,930</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12,089</w:t>
            </w:r>
          </w:p>
        </w:tc>
        <w:tc>
          <w:tcPr>
            <w:tcW w:w="80" w:type="dxa"/>
            <w:vAlign w:val="bottom"/>
            <w:shd w:val="clear" w:color="auto" w:fill="CCEEFF"/>
          </w:tcPr>
          <w:p>
            <w:pPr>
              <w:spacing w:after="0"/>
              <w:rPr>
                <w:sz w:val="18"/>
                <w:szCs w:val="18"/>
                <w:color w:val="auto"/>
              </w:rPr>
            </w:pP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856,228</w:t>
            </w:r>
          </w:p>
        </w:tc>
        <w:tc>
          <w:tcPr>
            <w:tcW w:w="3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779,810</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718,100</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103,428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Fair Value Measurements</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sets forth the financial instruments, measured at fair value, by level within the fair value hierarchy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20" w:type="dxa"/>
            <w:vAlign w:val="bottom"/>
            <w:gridSpan w:val="6"/>
          </w:tcPr>
          <w:p>
            <w:pPr>
              <w:ind w:left="100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20" w:type="dxa"/>
            <w:vAlign w:val="bottom"/>
          </w:tcPr>
          <w:p>
            <w:pPr>
              <w:spacing w:after="0"/>
              <w:rPr>
                <w:sz w:val="10"/>
                <w:szCs w:val="10"/>
                <w:color w:val="auto"/>
              </w:rPr>
            </w:pPr>
          </w:p>
        </w:tc>
        <w:tc>
          <w:tcPr>
            <w:tcW w:w="17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80" w:type="dxa"/>
            <w:vAlign w:val="bottom"/>
            <w:tcBorders>
              <w:top w:val="single" w:sz="8" w:color="auto"/>
            </w:tcBorders>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Quote Prices in</w:t>
            </w:r>
          </w:p>
        </w:tc>
        <w:tc>
          <w:tcPr>
            <w:tcW w:w="1860" w:type="dxa"/>
            <w:vAlign w:val="bottom"/>
            <w:tcBorders>
              <w:top w:val="single" w:sz="8" w:color="auto"/>
            </w:tcBorders>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3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 for</w:t>
            </w:r>
          </w:p>
        </w:tc>
        <w:tc>
          <w:tcPr>
            <w:tcW w:w="1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7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8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17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on Balance Sheets</w:t>
            </w:r>
          </w:p>
        </w:tc>
        <w:tc>
          <w:tcPr>
            <w:tcW w:w="1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4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spacing w:after="0"/>
              <w:rPr>
                <w:sz w:val="12"/>
                <w:szCs w:val="12"/>
                <w:color w:val="auto"/>
              </w:rPr>
            </w:pPr>
          </w:p>
        </w:tc>
        <w:tc>
          <w:tcPr>
            <w:tcW w:w="15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spacing w:after="0"/>
              <w:rPr>
                <w:sz w:val="12"/>
                <w:szCs w:val="12"/>
                <w:color w:val="auto"/>
              </w:rPr>
            </w:pPr>
          </w:p>
        </w:tc>
        <w:tc>
          <w:tcPr>
            <w:tcW w:w="15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2015:</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Assets:</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Term deposits and short term investments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769,681</w:t>
            </w:r>
          </w:p>
        </w:tc>
        <w:tc>
          <w:tcPr>
            <w:tcW w:w="3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106,907</w:t>
            </w:r>
          </w:p>
        </w:tc>
        <w:tc>
          <w:tcPr>
            <w:tcW w:w="1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662,774</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300" w:type="dxa"/>
            <w:vAlign w:val="bottom"/>
          </w:tcPr>
          <w:p>
            <w:pPr>
              <w:spacing w:after="0"/>
              <w:rPr>
                <w:sz w:val="18"/>
                <w:szCs w:val="18"/>
                <w:color w:val="auto"/>
              </w:rPr>
            </w:pP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125,000</w:t>
            </w:r>
          </w:p>
        </w:tc>
        <w:tc>
          <w:tcPr>
            <w:tcW w:w="1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513,994</w:t>
            </w:r>
          </w:p>
        </w:tc>
        <w:tc>
          <w:tcPr>
            <w:tcW w:w="3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513,994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2016:</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Assets:</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Term deposits and short term investments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781,298</w:t>
            </w:r>
          </w:p>
        </w:tc>
        <w:tc>
          <w:tcPr>
            <w:tcW w:w="300" w:type="dxa"/>
            <w:vAlign w:val="bottom"/>
          </w:tcPr>
          <w:p>
            <w:pPr>
              <w:spacing w:after="0"/>
              <w:rPr>
                <w:sz w:val="18"/>
                <w:szCs w:val="18"/>
                <w:color w:val="auto"/>
              </w:rPr>
            </w:pP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22,198</w:t>
            </w:r>
          </w:p>
        </w:tc>
        <w:tc>
          <w:tcPr>
            <w:tcW w:w="1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759,100</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Restricted cash</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354,602</w:t>
            </w:r>
          </w:p>
        </w:tc>
        <w:tc>
          <w:tcPr>
            <w:tcW w:w="3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354,602</w:t>
            </w:r>
          </w:p>
        </w:tc>
        <w:tc>
          <w:tcPr>
            <w:tcW w:w="1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939,432</w:t>
            </w:r>
          </w:p>
        </w:tc>
        <w:tc>
          <w:tcPr>
            <w:tcW w:w="300" w:type="dxa"/>
            <w:vAlign w:val="bottom"/>
          </w:tcPr>
          <w:p>
            <w:pPr>
              <w:spacing w:after="0"/>
              <w:rPr>
                <w:sz w:val="20"/>
                <w:szCs w:val="20"/>
                <w:color w:val="auto"/>
              </w:rPr>
            </w:pP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939,432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420" w:type="dxa"/>
            <w:vAlign w:val="bottom"/>
          </w:tcPr>
          <w:p>
            <w:pPr>
              <w:spacing w:after="0"/>
              <w:rPr>
                <w:sz w:val="24"/>
                <w:szCs w:val="24"/>
                <w:color w:val="auto"/>
              </w:rPr>
            </w:pPr>
          </w:p>
        </w:tc>
        <w:tc>
          <w:tcPr>
            <w:tcW w:w="17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F-39</w:t>
            </w: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42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5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5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2" w:right="199" w:bottom="0" w:gutter="0" w:footer="0" w:header="0"/>
        </w:sectPr>
      </w:pPr>
    </w:p>
    <w:p>
      <w:pPr>
        <w:spacing w:after="0" w:line="330"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11460"/>
          </w:cols>
          <w:pgMar w:left="240" w:top="102" w:right="199" w:bottom="0" w:gutter="0" w:footer="0" w:header="0"/>
          <w:type w:val="continuous"/>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Fair Value Measurements (Continued)</w:t>
      </w:r>
    </w:p>
    <w:p>
      <w:pPr>
        <w:spacing w:after="0" w:line="229" w:lineRule="exact"/>
        <w:rPr>
          <w:sz w:val="20"/>
          <w:szCs w:val="20"/>
          <w:color w:val="auto"/>
        </w:rPr>
      </w:pPr>
    </w:p>
    <w:p>
      <w:pPr>
        <w:ind w:right="20" w:firstLine="567"/>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sets forth the reconciliation of the fair value measurements of available-for-sale investments using significant unobservable inputs (level 3) from January 1, 2015 to December 31, 2016 </w:t>
      </w:r>
      <w:r>
        <w:rPr>
          <w:rFonts w:ascii="Times New Roman" w:cs="Times New Roman" w:eastAsia="Times New Roman" w:hAnsi="Times New Roman"/>
          <w:sz w:val="17"/>
          <w:szCs w:val="17"/>
          <w:color w:val="auto"/>
        </w:rPr>
        <w:t>(in thousands)</w:t>
      </w:r>
      <w:r>
        <w:rPr>
          <w:rFonts w:ascii="Times New Roman" w:cs="Times New Roman" w:eastAsia="Times New Roman" w:hAnsi="Times New Roman"/>
          <w:sz w:val="18"/>
          <w:szCs w:val="18"/>
          <w:color w:val="auto"/>
        </w:rPr>
        <w: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560" w:type="dxa"/>
            <w:vAlign w:val="bottom"/>
          </w:tcPr>
          <w:p>
            <w:pPr>
              <w:spacing w:after="0"/>
              <w:rPr>
                <w:sz w:val="13"/>
                <w:szCs w:val="13"/>
                <w:color w:val="auto"/>
              </w:rPr>
            </w:pPr>
          </w:p>
        </w:tc>
        <w:tc>
          <w:tcPr>
            <w:tcW w:w="28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28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 Unobservable 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560" w:type="dxa"/>
            <w:vAlign w:val="bottom"/>
          </w:tcPr>
          <w:p>
            <w:pPr>
              <w:spacing w:after="0"/>
              <w:rPr>
                <w:sz w:val="15"/>
                <w:szCs w:val="15"/>
                <w:color w:val="auto"/>
              </w:rPr>
            </w:pPr>
          </w:p>
        </w:tc>
        <w:tc>
          <w:tcPr>
            <w:tcW w:w="28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560" w:type="dxa"/>
            <w:vAlign w:val="bottom"/>
          </w:tcPr>
          <w:p>
            <w:pPr>
              <w:spacing w:after="0"/>
              <w:rPr>
                <w:sz w:val="15"/>
                <w:szCs w:val="15"/>
                <w:color w:val="auto"/>
              </w:rPr>
            </w:pPr>
          </w:p>
        </w:tc>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85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as of January 1, 2015</w:t>
            </w:r>
          </w:p>
        </w:tc>
        <w:tc>
          <w:tcPr>
            <w:tcW w:w="2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77,093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investments</w:t>
            </w:r>
          </w:p>
        </w:tc>
        <w:tc>
          <w:tcPr>
            <w:tcW w:w="2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investments obtained from conversion of ordinary shares</w:t>
            </w:r>
          </w:p>
        </w:tc>
        <w:tc>
          <w:tcPr>
            <w:tcW w:w="2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40,538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w:t>
            </w:r>
          </w:p>
        </w:tc>
        <w:tc>
          <w:tcPr>
            <w:tcW w:w="2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2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28,486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as of December 31, 2015</w:t>
            </w:r>
          </w:p>
        </w:tc>
        <w:tc>
          <w:tcPr>
            <w:tcW w:w="2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513,994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investments obtained from conversion of convertible loans</w:t>
            </w:r>
          </w:p>
        </w:tc>
        <w:tc>
          <w:tcPr>
            <w:tcW w:w="2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143,820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w:t>
            </w:r>
          </w:p>
        </w:tc>
        <w:tc>
          <w:tcPr>
            <w:tcW w:w="2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247,336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2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34,282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as of December 31, 2016</w:t>
            </w:r>
          </w:p>
        </w:tc>
        <w:tc>
          <w:tcPr>
            <w:tcW w:w="2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939,432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140"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Restricted cash </w:t>
      </w:r>
      <w:r>
        <w:rPr>
          <w:rFonts w:ascii="Times New Roman" w:cs="Times New Roman" w:eastAsia="Times New Roman" w:hAnsi="Times New Roman"/>
          <w:sz w:val="18"/>
          <w:szCs w:val="18"/>
          <w:color w:val="auto"/>
        </w:rPr>
        <w:t>The Group’s restricted cash represents guarantee of banking facility which is restricted to withdrawal or usage. The fair values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cash are determined based on the pervasive interest rate in the market. The Group classifies the valuation techniques that use the pervasive interest rates input as Level 1 of fair value measurement.</w:t>
      </w:r>
    </w:p>
    <w:p>
      <w:pPr>
        <w:spacing w:after="0" w:line="174" w:lineRule="exact"/>
        <w:rPr>
          <w:sz w:val="20"/>
          <w:szCs w:val="20"/>
          <w:color w:val="auto"/>
        </w:rPr>
      </w:pPr>
    </w:p>
    <w:p>
      <w:pPr>
        <w:ind w:right="100"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Term deposits </w:t>
      </w:r>
      <w:r>
        <w:rPr>
          <w:rFonts w:ascii="Times New Roman" w:cs="Times New Roman" w:eastAsia="Times New Roman" w:hAnsi="Times New Roman"/>
          <w:sz w:val="18"/>
          <w:szCs w:val="18"/>
          <w:color w:val="auto"/>
        </w:rPr>
        <w:t>The fair values of term deposits placed with banks with original maturities of more than three months and up to one year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based on the pervasive interest rates in market as stated in the contracts with the banks. The Group classifies the valuation techniques that use the interest rates input as Level 1 of fair value measurement.</w:t>
      </w:r>
    </w:p>
    <w:p>
      <w:pPr>
        <w:spacing w:after="0" w:line="174" w:lineRule="exact"/>
        <w:rPr>
          <w:sz w:val="20"/>
          <w:szCs w:val="20"/>
          <w:color w:val="auto"/>
        </w:rPr>
      </w:pPr>
    </w:p>
    <w:p>
      <w:pPr>
        <w:ind w:right="20"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Short term investments </w:t>
      </w:r>
      <w:r>
        <w:rPr>
          <w:rFonts w:ascii="Times New Roman" w:cs="Times New Roman" w:eastAsia="Times New Roman" w:hAnsi="Times New Roman"/>
          <w:sz w:val="18"/>
          <w:szCs w:val="18"/>
          <w:color w:val="auto"/>
        </w:rPr>
        <w:t>Short term investments represent interest-bearing deposit placed with financial institutions which are restricted to withdrawal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use. The investments are issued by commercial bank in the PRC with a variable interest rate indexed to performance of underlying assets. To estimate fair value, the Group refers to the quoted rate of return provided by banks at the end of each period using the discounted cash flow method. The Group classifies the valuation techniques that use these inputs as Level 2 of fair value measurements.</w:t>
      </w:r>
    </w:p>
    <w:p>
      <w:pPr>
        <w:spacing w:after="0" w:line="180" w:lineRule="exact"/>
        <w:rPr>
          <w:sz w:val="20"/>
          <w:szCs w:val="20"/>
          <w:color w:val="auto"/>
        </w:rPr>
      </w:pPr>
    </w:p>
    <w:p>
      <w:pPr>
        <w:ind w:right="40"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Available-for-sale investments </w:t>
      </w:r>
      <w:r>
        <w:rPr>
          <w:rFonts w:ascii="Times New Roman" w:cs="Times New Roman" w:eastAsia="Times New Roman" w:hAnsi="Times New Roman"/>
          <w:sz w:val="18"/>
          <w:szCs w:val="18"/>
          <w:color w:val="auto"/>
        </w:rPr>
        <w:t>Available-for-sale investment represents the investments of convertible redeemable preferred shares in Particle.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ASC 820, the Group measures available-for-sale investments at fair value on a recurring basis. The fair values of the Group’s available-for-sale investments are determined based on the discounted cash flow model using the discount curve of market interest rates. The Group classifies the valuation techniques that use unobservable inputs as Level 3 of fair value measurements.</w:t>
      </w:r>
    </w:p>
    <w:p>
      <w:pPr>
        <w:spacing w:after="0" w:line="1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key inputs used in available-for-sale investments valuation as of December 31, 2015 and 2016 were as follow: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250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7680" w:type="dxa"/>
            <w:vAlign w:val="bottom"/>
            <w:tcBorders>
              <w:bottom w:val="single" w:sz="8" w:color="CCEEFF"/>
            </w:tcBorders>
          </w:tcPr>
          <w:p>
            <w:pPr>
              <w:spacing w:after="0"/>
              <w:rPr>
                <w:sz w:val="12"/>
                <w:szCs w:val="12"/>
                <w:color w:val="auto"/>
              </w:rPr>
            </w:pPr>
          </w:p>
        </w:tc>
        <w:tc>
          <w:tcPr>
            <w:tcW w:w="1600" w:type="dxa"/>
            <w:vAlign w:val="bottom"/>
            <w:tcBorders>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r>
      <w:tr>
        <w:trPr>
          <w:trHeight w:val="210"/>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25.5%</w:t>
            </w: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Lack of marketability discount (“DLOM”)</w:t>
            </w:r>
          </w:p>
        </w:tc>
        <w:tc>
          <w:tcPr>
            <w:tcW w:w="1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26.0%</w:t>
            </w:r>
          </w:p>
        </w:tc>
        <w:tc>
          <w:tcPr>
            <w:tcW w:w="5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50.3%</w:t>
            </w: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47.0%</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Revenue growth rate</w:t>
            </w:r>
          </w:p>
        </w:tc>
        <w:tc>
          <w:tcPr>
            <w:tcW w:w="1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5.0%-503.0%</w:t>
            </w:r>
          </w:p>
        </w:tc>
        <w:tc>
          <w:tcPr>
            <w:tcW w:w="5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10.0%-349.0%</w:t>
            </w: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Terminal growth rate</w:t>
            </w:r>
          </w:p>
        </w:tc>
        <w:tc>
          <w:tcPr>
            <w:tcW w:w="1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w:t>
            </w: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Fair Value Measurements (Continued)</w:t>
      </w:r>
    </w:p>
    <w:p>
      <w:pPr>
        <w:spacing w:after="0" w:line="229" w:lineRule="exact"/>
        <w:rPr>
          <w:sz w:val="20"/>
          <w:szCs w:val="20"/>
          <w:color w:val="auto"/>
        </w:rPr>
      </w:pPr>
    </w:p>
    <w:p>
      <w:pPr>
        <w:ind w:right="200" w:firstLine="567"/>
        <w:spacing w:after="0" w:line="282" w:lineRule="auto"/>
        <w:rPr>
          <w:sz w:val="20"/>
          <w:szCs w:val="20"/>
          <w:color w:val="auto"/>
        </w:rPr>
      </w:pPr>
      <w:r>
        <w:rPr>
          <w:rFonts w:ascii="Times New Roman" w:cs="Times New Roman" w:eastAsia="Times New Roman" w:hAnsi="Times New Roman"/>
          <w:sz w:val="18"/>
          <w:szCs w:val="18"/>
          <w:color w:val="auto"/>
        </w:rPr>
        <w:t>The following are other financial instruments not measured at fair value in the balance sheets but for which the fair value is estimated for disclosure purposes.</w:t>
      </w:r>
    </w:p>
    <w:p>
      <w:pPr>
        <w:spacing w:after="0" w:line="160" w:lineRule="exact"/>
        <w:rPr>
          <w:sz w:val="20"/>
          <w:szCs w:val="20"/>
          <w:color w:val="auto"/>
        </w:rPr>
      </w:pPr>
    </w:p>
    <w:p>
      <w:pPr>
        <w:ind w:right="300" w:firstLine="57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Short-term receivables and payables </w:t>
      </w:r>
      <w:r>
        <w:rPr>
          <w:rFonts w:ascii="Times New Roman" w:cs="Times New Roman" w:eastAsia="Times New Roman" w:hAnsi="Times New Roman"/>
          <w:sz w:val="18"/>
          <w:szCs w:val="18"/>
          <w:color w:val="auto"/>
        </w:rPr>
        <w:t>Accounts receivable, prepayment and other current assets, and amounts due from related parties are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with carrying values that approximate fair value due to their short term nature. Accounts payable, amounts due to related parties, advances from customers, salary and welfare payable, and accrued expenses and other current liabilities are financial liabilities with carrying values that approximate fair value due to their short term nature.</w:t>
      </w:r>
    </w:p>
    <w:p>
      <w:pPr>
        <w:spacing w:after="0" w:line="180" w:lineRule="exact"/>
        <w:rPr>
          <w:sz w:val="20"/>
          <w:szCs w:val="20"/>
          <w:color w:val="auto"/>
        </w:rPr>
      </w:pPr>
    </w:p>
    <w:p>
      <w:pPr>
        <w:ind w:right="80" w:firstLine="567"/>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Convertible loans due from a related party </w:t>
      </w:r>
      <w:r>
        <w:rPr>
          <w:rFonts w:ascii="Times New Roman" w:cs="Times New Roman" w:eastAsia="Times New Roman" w:hAnsi="Times New Roman"/>
          <w:sz w:val="18"/>
          <w:szCs w:val="18"/>
          <w:color w:val="auto"/>
        </w:rPr>
        <w:t>Convertible loans due from a related party represent short-term loans advanced to a related party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Group may at its option convert all or a portion into preferred shares. The fair value of the convertible loans due from a related party was based on the discounted cash flow model. As of December 31, 2016, the estimated fair value of convertible loans was US$15.8 million. The Group classifies the valuation techniques that use unobservable inputs as Level 3 of fair value measurements. The key inputs used in the valuation of convertible loans due from a related party as of December 31, 2016 were the same as the key inputs in available-for-sale investments valuation as of December 31, 2016.</w:t>
      </w:r>
    </w:p>
    <w:p>
      <w:pPr>
        <w:sectPr>
          <w:pgSz w:w="11900" w:h="16838" w:orient="portrait"/>
          <w:cols w:equalWidth="0" w:num="1">
            <w:col w:w="11420"/>
          </w:cols>
          <w:pgMar w:left="240" w:top="333" w:right="239" w:bottom="0" w:gutter="0" w:footer="0" w:header="0"/>
        </w:sectPr>
      </w:pPr>
    </w:p>
    <w:bookmarkStart w:id="128" w:name="page129"/>
    <w:bookmarkEnd w:id="128"/>
    <w:p>
      <w:pPr>
        <w:spacing w:after="0" w:line="52" w:lineRule="exact"/>
        <w:rPr>
          <w:sz w:val="20"/>
          <w:szCs w:val="20"/>
          <w:color w:val="auto"/>
        </w:rPr>
      </w:pPr>
    </w:p>
    <w:p>
      <w:pPr>
        <w:jc w:val="both"/>
        <w:ind w:right="100" w:firstLine="56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non-current assets </w:t>
      </w:r>
      <w:r>
        <w:rPr>
          <w:rFonts w:ascii="Times New Roman" w:cs="Times New Roman" w:eastAsia="Times New Roman" w:hAnsi="Times New Roman"/>
          <w:sz w:val="18"/>
          <w:szCs w:val="18"/>
          <w:color w:val="auto"/>
        </w:rPr>
        <w:t>Other non-current assets are financial assets with carrying values that approximate fair value due to the change in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considering the discount rate, being immaterial. The Group estimated fair values of other non-current assets using the discounted cash flow method. The Group classifies the valuation technique as Level 3 of fair value measurement, as it uses estimated cash flow input which is unobservable in the market.</w:t>
      </w:r>
    </w:p>
    <w:p>
      <w:pPr>
        <w:spacing w:after="0" w:line="174" w:lineRule="exact"/>
        <w:rPr>
          <w:sz w:val="20"/>
          <w:szCs w:val="20"/>
          <w:color w:val="auto"/>
        </w:rPr>
      </w:pPr>
    </w:p>
    <w:p>
      <w:pPr>
        <w:ind w:right="60"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Short-term bank loans </w:t>
      </w:r>
      <w:r>
        <w:rPr>
          <w:rFonts w:ascii="Times New Roman" w:cs="Times New Roman" w:eastAsia="Times New Roman" w:hAnsi="Times New Roman"/>
          <w:sz w:val="18"/>
          <w:szCs w:val="18"/>
          <w:color w:val="auto"/>
        </w:rPr>
        <w:t>The carrying value of the short-term bank loans approximates its fair value due to its short term nature. The rate of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loan agreement with the lending bank was determined based on the prevailing interest rates in the market. The Group estimated the fair value of the short-term bank loans using the discounted cash flow methodology. The Group classifies the valuation techniques that use these inputs as Level 2 of fair value measurements.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Net Income per Share</w:t>
      </w:r>
    </w:p>
    <w:p>
      <w:pPr>
        <w:spacing w:after="0" w:line="229" w:lineRule="exact"/>
        <w:rPr>
          <w:sz w:val="20"/>
          <w:szCs w:val="20"/>
          <w:color w:val="auto"/>
        </w:rPr>
      </w:pPr>
    </w:p>
    <w:p>
      <w:pPr>
        <w:ind w:right="420" w:firstLine="567"/>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for the years indicated (amounts in thousands, except for number of shares (or ADSs) and per share (or ADS)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460" w:type="dxa"/>
            <w:vAlign w:val="bottom"/>
          </w:tcPr>
          <w:p>
            <w:pPr>
              <w:spacing w:after="0"/>
              <w:rPr>
                <w:sz w:val="12"/>
                <w:szCs w:val="12"/>
                <w:color w:val="auto"/>
              </w:rPr>
            </w:pPr>
          </w:p>
        </w:tc>
        <w:tc>
          <w:tcPr>
            <w:tcW w:w="124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Pr>
          <w:p>
            <w:pPr>
              <w:spacing w:after="0"/>
              <w:rPr>
                <w:sz w:val="12"/>
                <w:szCs w:val="12"/>
                <w:color w:val="auto"/>
              </w:rPr>
            </w:pPr>
          </w:p>
        </w:tc>
        <w:tc>
          <w:tcPr>
            <w:tcW w:w="126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2"/>
                <w:szCs w:val="12"/>
                <w:color w:val="auto"/>
              </w:rPr>
            </w:pPr>
          </w:p>
        </w:tc>
        <w:tc>
          <w:tcPr>
            <w:tcW w:w="124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2"/>
                <w:szCs w:val="12"/>
                <w:color w:val="auto"/>
              </w:rPr>
            </w:pPr>
          </w:p>
        </w:tc>
        <w:tc>
          <w:tcPr>
            <w:tcW w:w="126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5460" w:type="dxa"/>
            <w:vAlign w:val="bottom"/>
          </w:tcPr>
          <w:p>
            <w:pPr>
              <w:spacing w:after="0"/>
              <w:rPr>
                <w:sz w:val="12"/>
                <w:szCs w:val="12"/>
                <w:color w:val="auto"/>
              </w:rPr>
            </w:pPr>
          </w:p>
        </w:tc>
        <w:tc>
          <w:tcPr>
            <w:tcW w:w="1240" w:type="dxa"/>
            <w:vAlign w:val="bottom"/>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spacing w:after="0"/>
              <w:rPr>
                <w:sz w:val="12"/>
                <w:szCs w:val="12"/>
                <w:color w:val="auto"/>
              </w:rPr>
            </w:pPr>
          </w:p>
        </w:tc>
        <w:tc>
          <w:tcPr>
            <w:tcW w:w="1260" w:type="dxa"/>
            <w:vAlign w:val="bottom"/>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240" w:type="dxa"/>
            <w:vAlign w:val="bottom"/>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260" w:type="dxa"/>
            <w:vAlign w:val="bottom"/>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Class A and Class B ordinary share - basic:</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Phoenix New Media Limited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263,091</w:t>
            </w: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73,584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80,611</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11,609</w:t>
            </w:r>
          </w:p>
        </w:tc>
        <w:tc>
          <w:tcPr>
            <w:tcW w:w="40" w:type="dxa"/>
            <w:vAlign w:val="bottom"/>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5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Class A and Class B ordinary shares</w:t>
            </w: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595,521,893</w:t>
            </w:r>
          </w:p>
        </w:tc>
        <w:tc>
          <w:tcPr>
            <w:tcW w:w="3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569,058,424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571,298,943</w:t>
            </w:r>
          </w:p>
        </w:tc>
        <w:tc>
          <w:tcPr>
            <w:tcW w:w="2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571,298,943</w:t>
            </w:r>
          </w:p>
        </w:tc>
        <w:tc>
          <w:tcPr>
            <w:tcW w:w="40" w:type="dxa"/>
            <w:vAlign w:val="bottom"/>
          </w:tcPr>
          <w:p>
            <w:pPr>
              <w:spacing w:after="0"/>
              <w:rPr>
                <w:sz w:val="20"/>
                <w:szCs w:val="20"/>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contingently issuable shares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2,094,730</w:t>
            </w:r>
          </w:p>
        </w:tc>
        <w:tc>
          <w:tcPr>
            <w:tcW w:w="3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2,189,299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2,222,593</w:t>
            </w: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2,222,593</w:t>
            </w:r>
          </w:p>
        </w:tc>
        <w:tc>
          <w:tcPr>
            <w:tcW w:w="40" w:type="dxa"/>
            <w:vAlign w:val="bottom"/>
          </w:tcPr>
          <w:p>
            <w:pPr>
              <w:spacing w:after="0"/>
              <w:rPr>
                <w:sz w:val="18"/>
                <w:szCs w:val="18"/>
                <w:color w:val="auto"/>
              </w:rPr>
            </w:pP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used in computing net income per share — basic</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597,616,623</w:t>
            </w:r>
          </w:p>
        </w:tc>
        <w:tc>
          <w:tcPr>
            <w:tcW w:w="3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571,247,723</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573,521,536</w:t>
            </w:r>
          </w:p>
        </w:tc>
        <w:tc>
          <w:tcPr>
            <w:tcW w:w="2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573,521,536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5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Class A and Class B ordinary share — basic</w:t>
            </w: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0.44</w:t>
            </w: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0.13</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0.14</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40" w:type="dxa"/>
            <w:vAlign w:val="bottom"/>
          </w:tcPr>
          <w:p>
            <w:pPr>
              <w:spacing w:after="0"/>
              <w:rPr>
                <w:sz w:val="22"/>
                <w:szCs w:val="22"/>
                <w:color w:val="auto"/>
              </w:rPr>
            </w:pPr>
          </w:p>
        </w:tc>
      </w:tr>
      <w:tr>
        <w:trPr>
          <w:trHeight w:val="170"/>
        </w:trPr>
        <w:tc>
          <w:tcPr>
            <w:tcW w:w="5460" w:type="dxa"/>
            <w:vAlign w:val="bottom"/>
            <w:tcBorders>
              <w:top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Net income per Class A and Class B ordinary share - diluted:</w:t>
            </w:r>
          </w:p>
        </w:tc>
        <w:tc>
          <w:tcPr>
            <w:tcW w:w="124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Phoenix New Media Limited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263,091</w:t>
            </w: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73,584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80,611</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11,609</w:t>
            </w:r>
          </w:p>
        </w:tc>
        <w:tc>
          <w:tcPr>
            <w:tcW w:w="40" w:type="dxa"/>
            <w:vAlign w:val="bottom"/>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used in computing net income per share — basic</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597,616,623</w:t>
            </w: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571,247,723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573,521,536</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573,521,536</w:t>
            </w:r>
          </w:p>
        </w:tc>
        <w:tc>
          <w:tcPr>
            <w:tcW w:w="40" w:type="dxa"/>
            <w:vAlign w:val="bottom"/>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Share-based awards</w:t>
            </w: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17,003,487</w:t>
            </w: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9,537,533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3,516,370</w:t>
            </w: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3,516,370</w:t>
            </w:r>
          </w:p>
        </w:tc>
        <w:tc>
          <w:tcPr>
            <w:tcW w:w="40" w:type="dxa"/>
            <w:vAlign w:val="bottom"/>
          </w:tcPr>
          <w:p>
            <w:pPr>
              <w:spacing w:after="0"/>
              <w:rPr>
                <w:sz w:val="18"/>
                <w:szCs w:val="18"/>
                <w:color w:val="auto"/>
              </w:rPr>
            </w:pP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used in computing net income per share — diluted</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614,620,110</w:t>
            </w:r>
          </w:p>
        </w:tc>
        <w:tc>
          <w:tcPr>
            <w:tcW w:w="3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580,785,256</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577,037,906</w:t>
            </w:r>
          </w:p>
        </w:tc>
        <w:tc>
          <w:tcPr>
            <w:tcW w:w="2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577,037,906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5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Class A and Class B ordinary share — diluted</w:t>
            </w: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0.43</w:t>
            </w: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0.13</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0.14</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40" w:type="dxa"/>
            <w:vAlign w:val="bottom"/>
          </w:tcPr>
          <w:p>
            <w:pPr>
              <w:spacing w:after="0"/>
              <w:rPr>
                <w:sz w:val="22"/>
                <w:szCs w:val="22"/>
                <w:color w:val="auto"/>
              </w:rPr>
            </w:pPr>
          </w:p>
        </w:tc>
      </w:tr>
      <w:tr>
        <w:trPr>
          <w:trHeight w:val="170"/>
        </w:trPr>
        <w:tc>
          <w:tcPr>
            <w:tcW w:w="5460" w:type="dxa"/>
            <w:vAlign w:val="bottom"/>
            <w:tcBorders>
              <w:top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Net income per ADS (1 ADS represents 8 Class A ordinary shares):</w:t>
            </w:r>
          </w:p>
        </w:tc>
        <w:tc>
          <w:tcPr>
            <w:tcW w:w="124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Denominator used in computing net income per ADS — basic</w:t>
            </w: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74,702,078</w:t>
            </w: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71,405,965</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71,690,192</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71,690,192</w:t>
            </w:r>
          </w:p>
        </w:tc>
        <w:tc>
          <w:tcPr>
            <w:tcW w:w="4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used in computing net income per ADS — diluted</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76,827,514</w:t>
            </w:r>
          </w:p>
        </w:tc>
        <w:tc>
          <w:tcPr>
            <w:tcW w:w="1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72,598,157</w:t>
            </w: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72,129,738</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72,129,738</w:t>
            </w:r>
          </w:p>
        </w:tc>
        <w:tc>
          <w:tcPr>
            <w:tcW w:w="40" w:type="dxa"/>
            <w:vAlign w:val="bottom"/>
          </w:tcPr>
          <w:p>
            <w:pPr>
              <w:spacing w:after="0"/>
              <w:rPr>
                <w:sz w:val="18"/>
                <w:szCs w:val="18"/>
                <w:color w:val="auto"/>
              </w:rPr>
            </w:pPr>
          </w:p>
        </w:tc>
      </w:tr>
      <w:tr>
        <w:trPr>
          <w:trHeight w:val="25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ADS — basic</w:t>
            </w: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3.52</w:t>
            </w: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1.12</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c>
          <w:tcPr>
            <w:tcW w:w="40" w:type="dxa"/>
            <w:vAlign w:val="bottom"/>
          </w:tcPr>
          <w:p>
            <w:pPr>
              <w:spacing w:after="0"/>
              <w:rPr>
                <w:sz w:val="22"/>
                <w:szCs w:val="22"/>
                <w:color w:val="auto"/>
              </w:rPr>
            </w:pPr>
          </w:p>
        </w:tc>
      </w:tr>
      <w:tr>
        <w:trPr>
          <w:trHeight w:val="197"/>
        </w:trPr>
        <w:tc>
          <w:tcPr>
            <w:tcW w:w="546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income per ADS — diluted</w:t>
            </w: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3.42</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54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5460" w:type="dxa"/>
            <w:vAlign w:val="bottom"/>
          </w:tcPr>
          <w:p>
            <w:pPr>
              <w:spacing w:after="0"/>
              <w:rPr>
                <w:sz w:val="24"/>
                <w:szCs w:val="24"/>
                <w:color w:val="auto"/>
              </w:rPr>
            </w:pPr>
          </w:p>
        </w:tc>
        <w:tc>
          <w:tcPr>
            <w:tcW w:w="154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F-41</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46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Net Income per Share (Continued)</w:t>
      </w:r>
    </w:p>
    <w:p>
      <w:pPr>
        <w:spacing w:after="0" w:line="229" w:lineRule="exact"/>
        <w:rPr>
          <w:sz w:val="20"/>
          <w:szCs w:val="20"/>
          <w:color w:val="auto"/>
        </w:rPr>
      </w:pPr>
    </w:p>
    <w:p>
      <w:pPr>
        <w:ind w:right="80" w:firstLine="566"/>
        <w:spacing w:after="0" w:line="258" w:lineRule="auto"/>
        <w:rPr>
          <w:sz w:val="20"/>
          <w:szCs w:val="20"/>
          <w:color w:val="auto"/>
        </w:rPr>
      </w:pPr>
      <w:r>
        <w:rPr>
          <w:rFonts w:ascii="Times New Roman" w:cs="Times New Roman" w:eastAsia="Times New Roman" w:hAnsi="Times New Roman"/>
          <w:sz w:val="18"/>
          <w:szCs w:val="18"/>
          <w:color w:val="auto"/>
        </w:rPr>
        <w:t>The Company has included 2,094,730, 2,189,299 and 2,222,593 contingently issuable shares in the denominator used in computing basic and diluted net income per share for the years ended December 31, 2014, 2015 and 2016, respectively. These shares are contingently issuable upon the holder’s request without other substantive conditions and for no further consideration. There were 27,823,275, 29,572,888 and 30,953,329 options to purchase ordinary shares have been excluded from the computation of diluted net income per share for the years ended December 31, 2014, 2015 and 2016, respectively, as their effects would be anti-dilutive.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Treasury Stock</w:t>
      </w:r>
    </w:p>
    <w:p>
      <w:pPr>
        <w:spacing w:after="0" w:line="229" w:lineRule="exact"/>
        <w:rPr>
          <w:sz w:val="20"/>
          <w:szCs w:val="20"/>
          <w:color w:val="auto"/>
        </w:rPr>
      </w:pPr>
    </w:p>
    <w:p>
      <w:pPr>
        <w:ind w:right="380" w:firstLine="567"/>
        <w:spacing w:after="0" w:line="282" w:lineRule="auto"/>
        <w:rPr>
          <w:sz w:val="20"/>
          <w:szCs w:val="20"/>
          <w:color w:val="auto"/>
        </w:rPr>
      </w:pPr>
      <w:r>
        <w:rPr>
          <w:rFonts w:ascii="Times New Roman" w:cs="Times New Roman" w:eastAsia="Times New Roman" w:hAnsi="Times New Roman"/>
          <w:sz w:val="18"/>
          <w:szCs w:val="18"/>
          <w:color w:val="auto"/>
        </w:rPr>
        <w:t>In May 2014, the Company’s board of directors approved a new share repurchase program (“New Share Repurchases Program”), under which the Company was authorized to repurchase up to US$50.0 million worth of its outstanding ADSs for a period not to exceed twelve months.</w:t>
      </w:r>
    </w:p>
    <w:p>
      <w:pPr>
        <w:spacing w:after="0" w:line="162" w:lineRule="exact"/>
        <w:rPr>
          <w:sz w:val="20"/>
          <w:szCs w:val="20"/>
          <w:color w:val="auto"/>
        </w:rPr>
      </w:pPr>
    </w:p>
    <w:p>
      <w:pPr>
        <w:ind w:right="200" w:firstLine="567"/>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2014 and 2015, the Company had repurchased 4,021,073 and 1,347,071 ADSs, respectively, from the open market for consideration of US$39.2 million (RMB241.3 million) and US$10.8 million (RMB65.9 million), respectively. As of December 31, 2015, the Company completed the New Share Repurchases Program for a total of 5,368,144 ADSs repurchased. All treasury stocks repurchased were cancelled for an aggregate consideration of US$50.3 million (RMB308.9 million) including cancellation fees of US$0.3 million (RMB1.7 million).</w:t>
      </w:r>
    </w:p>
    <w:p>
      <w:pPr>
        <w:spacing w:after="0" w:line="176" w:lineRule="exact"/>
        <w:rPr>
          <w:sz w:val="20"/>
          <w:szCs w:val="20"/>
          <w:color w:val="auto"/>
        </w:rPr>
      </w:pPr>
    </w:p>
    <w:p>
      <w:pPr>
        <w:ind w:left="320" w:hanging="312"/>
        <w:spacing w:after="0"/>
        <w:tabs>
          <w:tab w:leader="none" w:pos="32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Commitments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2016, future minimum commitments under non-cancelable agreements were as follows (in thousands):</w:t>
      </w:r>
    </w:p>
    <w:p>
      <w:pPr>
        <w:spacing w:after="0" w:line="206"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Cooperation</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Property and</w:t>
            </w: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Bandwidth</w:t>
            </w:r>
          </w:p>
        </w:tc>
        <w:tc>
          <w:tcPr>
            <w:tcW w:w="13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with</w:t>
            </w:r>
          </w:p>
        </w:tc>
        <w:tc>
          <w:tcPr>
            <w:tcW w:w="13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Content</w:t>
            </w:r>
          </w:p>
        </w:tc>
        <w:tc>
          <w:tcPr>
            <w:tcW w:w="15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Equipment,</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Rental</w:t>
            </w:r>
          </w:p>
        </w:tc>
        <w:tc>
          <w:tcPr>
            <w:tcW w:w="1380" w:type="dxa"/>
            <w:vAlign w:val="bottom"/>
            <w:gridSpan w:val="2"/>
            <w:vMerge w:val="continue"/>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Phoenix TV</w:t>
            </w:r>
          </w:p>
        </w:tc>
        <w:tc>
          <w:tcPr>
            <w:tcW w:w="1360" w:type="dxa"/>
            <w:vAlign w:val="bottom"/>
            <w:gridSpan w:val="2"/>
            <w:vMerge w:val="continue"/>
          </w:tcPr>
          <w:p>
            <w:pPr>
              <w:spacing w:after="0"/>
              <w:rPr>
                <w:sz w:val="12"/>
                <w:szCs w:val="12"/>
                <w:color w:val="auto"/>
              </w:rPr>
            </w:pPr>
          </w:p>
        </w:tc>
        <w:tc>
          <w:tcPr>
            <w:tcW w:w="15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and Intangible</w:t>
            </w: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104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260" w:type="dxa"/>
            <w:vAlign w:val="bottom"/>
            <w:gridSpan w:val="2"/>
            <w:vMerge w:val="continue"/>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4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040" w:type="dxa"/>
            <w:vAlign w:val="bottom"/>
            <w:tcBorders>
              <w:top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040" w:type="dxa"/>
            <w:vAlign w:val="bottom"/>
            <w:tcBorders>
              <w:top w:val="single" w:sz="8" w:color="auto"/>
            </w:tcBorders>
          </w:tcPr>
          <w:p>
            <w:pPr>
              <w:ind w:left="360"/>
              <w:spacing w:after="0" w:line="144"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90" w:orient="portrait"/>
          <w:cols w:equalWidth="0" w:num="1">
            <w:col w:w="11460"/>
          </w:cols>
          <w:pgMar w:left="240" w:top="119" w:right="199" w:bottom="0" w:gutter="0" w:footer="0" w:header="0"/>
        </w:sectPr>
      </w:pPr>
    </w:p>
    <w:p>
      <w:pPr>
        <w:spacing w:after="0"/>
        <w:tabs>
          <w:tab w:leader="none" w:pos="2600" w:val="left"/>
          <w:tab w:leader="none" w:pos="3980" w:val="left"/>
          <w:tab w:leader="none" w:pos="5440" w:val="left"/>
          <w:tab w:leader="none" w:pos="6740" w:val="left"/>
          <w:tab w:leader="none" w:pos="8400" w:val="left"/>
          <w:tab w:leader="none" w:pos="9640" w:val="left"/>
          <w:tab w:leader="none" w:pos="10800" w:val="left"/>
        </w:tabs>
        <w:rPr>
          <w:sz w:val="20"/>
          <w:szCs w:val="20"/>
          <w:color w:val="auto"/>
        </w:rPr>
      </w:pPr>
      <w:r>
        <w:rPr>
          <w:rFonts w:ascii="Times New Roman" w:cs="Times New Roman" w:eastAsia="Times New Roman" w:hAnsi="Times New Roman"/>
          <w:sz w:val="18"/>
          <w:szCs w:val="18"/>
          <w:color w:val="auto"/>
        </w:rPr>
        <w:t>2017</w:t>
      </w:r>
      <w:r>
        <w:rPr>
          <w:sz w:val="20"/>
          <w:szCs w:val="20"/>
          <w:color w:val="auto"/>
        </w:rPr>
        <w:tab/>
      </w:r>
      <w:r>
        <w:rPr>
          <w:rFonts w:ascii="Times New Roman" w:cs="Times New Roman" w:eastAsia="Times New Roman" w:hAnsi="Times New Roman"/>
          <w:sz w:val="18"/>
          <w:szCs w:val="18"/>
          <w:color w:val="auto"/>
        </w:rPr>
        <w:t>24,916</w:t>
      </w:r>
      <w:r>
        <w:rPr>
          <w:sz w:val="20"/>
          <w:szCs w:val="20"/>
          <w:color w:val="auto"/>
        </w:rPr>
        <w:tab/>
      </w:r>
      <w:r>
        <w:rPr>
          <w:rFonts w:ascii="Times New Roman" w:cs="Times New Roman" w:eastAsia="Times New Roman" w:hAnsi="Times New Roman"/>
          <w:sz w:val="18"/>
          <w:szCs w:val="18"/>
          <w:color w:val="auto"/>
        </w:rPr>
        <w:t>25,461</w:t>
      </w:r>
      <w:r>
        <w:rPr>
          <w:sz w:val="20"/>
          <w:szCs w:val="20"/>
          <w:color w:val="auto"/>
        </w:rPr>
        <w:tab/>
      </w:r>
      <w:r>
        <w:rPr>
          <w:rFonts w:ascii="Times New Roman" w:cs="Times New Roman" w:eastAsia="Times New Roman" w:hAnsi="Times New Roman"/>
          <w:sz w:val="18"/>
          <w:szCs w:val="18"/>
          <w:color w:val="auto"/>
        </w:rPr>
        <w:t>6,708</w:t>
      </w:r>
      <w:r>
        <w:rPr>
          <w:sz w:val="20"/>
          <w:szCs w:val="20"/>
          <w:color w:val="auto"/>
        </w:rPr>
        <w:tab/>
      </w:r>
      <w:r>
        <w:rPr>
          <w:rFonts w:ascii="Times New Roman" w:cs="Times New Roman" w:eastAsia="Times New Roman" w:hAnsi="Times New Roman"/>
          <w:sz w:val="18"/>
          <w:szCs w:val="18"/>
          <w:color w:val="auto"/>
        </w:rPr>
        <w:t>14,762</w:t>
      </w:r>
      <w:r>
        <w:rPr>
          <w:sz w:val="20"/>
          <w:szCs w:val="20"/>
          <w:color w:val="auto"/>
        </w:rPr>
        <w:tab/>
      </w:r>
      <w:r>
        <w:rPr>
          <w:rFonts w:ascii="Times New Roman" w:cs="Times New Roman" w:eastAsia="Times New Roman" w:hAnsi="Times New Roman"/>
          <w:sz w:val="18"/>
          <w:szCs w:val="18"/>
          <w:color w:val="auto"/>
        </w:rPr>
        <w:t>2,094</w:t>
      </w:r>
      <w:r>
        <w:rPr>
          <w:sz w:val="20"/>
          <w:szCs w:val="20"/>
          <w:color w:val="auto"/>
        </w:rPr>
        <w:tab/>
      </w:r>
      <w:r>
        <w:rPr>
          <w:rFonts w:ascii="Times New Roman" w:cs="Times New Roman" w:eastAsia="Times New Roman" w:hAnsi="Times New Roman"/>
          <w:sz w:val="18"/>
          <w:szCs w:val="18"/>
          <w:color w:val="auto"/>
        </w:rPr>
        <w:t>4,338</w:t>
      </w:r>
      <w:r>
        <w:rPr>
          <w:sz w:val="20"/>
          <w:szCs w:val="20"/>
          <w:color w:val="auto"/>
        </w:rPr>
        <w:tab/>
      </w:r>
      <w:r>
        <w:rPr>
          <w:rFonts w:ascii="Times New Roman" w:cs="Times New Roman" w:eastAsia="Times New Roman" w:hAnsi="Times New Roman"/>
          <w:sz w:val="18"/>
          <w:szCs w:val="18"/>
          <w:color w:val="auto"/>
        </w:rPr>
        <w:t>78,279</w:t>
      </w:r>
    </w:p>
    <w:p>
      <w:pPr>
        <w:sectPr>
          <w:pgSz w:w="11900" w:h="16890" w:orient="portrait"/>
          <w:cols w:equalWidth="0" w:num="1">
            <w:col w:w="11460"/>
          </w:cols>
          <w:pgMar w:left="240" w:top="119" w:right="199" w:bottom="0" w:gutter="0" w:footer="0" w:header="0"/>
          <w:type w:val="continuous"/>
        </w:sectPr>
      </w:pPr>
    </w:p>
    <w:bookmarkStart w:id="129" w:name="page130"/>
    <w:bookmarkEnd w:id="129"/>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7,932</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12,506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15,144</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36,100</w:t>
            </w:r>
          </w:p>
        </w:tc>
        <w:tc>
          <w:tcPr>
            <w:tcW w:w="80" w:type="dxa"/>
            <w:vAlign w:val="bottom"/>
          </w:tcPr>
          <w:p>
            <w:pPr>
              <w:spacing w:after="0"/>
              <w:rPr>
                <w:sz w:val="20"/>
                <w:szCs w:val="20"/>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5,702</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5,510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9,578</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20,790</w:t>
            </w:r>
          </w:p>
        </w:tc>
        <w:tc>
          <w:tcPr>
            <w:tcW w:w="80" w:type="dxa"/>
            <w:vAlign w:val="bottom"/>
            <w:shd w:val="clear" w:color="auto" w:fill="CCEEFF"/>
          </w:tcPr>
          <w:p>
            <w:pPr>
              <w:spacing w:after="0"/>
              <w:rPr>
                <w:sz w:val="18"/>
                <w:szCs w:val="18"/>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4,812</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5,095</w:t>
            </w:r>
          </w:p>
        </w:tc>
        <w:tc>
          <w:tcPr>
            <w:tcW w:w="80" w:type="dxa"/>
            <w:vAlign w:val="bottom"/>
          </w:tcPr>
          <w:p>
            <w:pPr>
              <w:spacing w:after="0"/>
              <w:rPr>
                <w:sz w:val="18"/>
                <w:szCs w:val="18"/>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 and thereafter</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3,960</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495</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4,455</w:t>
            </w:r>
          </w:p>
        </w:tc>
        <w:tc>
          <w:tcPr>
            <w:tcW w:w="80" w:type="dxa"/>
            <w:vAlign w:val="bottom"/>
            <w:shd w:val="clear" w:color="auto" w:fill="CCEEFF"/>
          </w:tcPr>
          <w:p>
            <w:pPr>
              <w:spacing w:after="0"/>
              <w:rPr>
                <w:sz w:val="18"/>
                <w:szCs w:val="18"/>
                <w:color w:val="auto"/>
              </w:rPr>
            </w:pPr>
          </w:p>
        </w:tc>
      </w:tr>
      <w:tr>
        <w:trPr>
          <w:trHeight w:val="21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47,322</w:t>
            </w:r>
          </w:p>
        </w:tc>
        <w:tc>
          <w:tcPr>
            <w:tcW w:w="2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25,734</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24,724</w:t>
            </w: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40,262</w:t>
            </w:r>
          </w:p>
        </w:tc>
        <w:tc>
          <w:tcPr>
            <w:tcW w:w="2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2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144,719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2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amounts of co</w:t>
      </w:r>
      <w:r>
        <w:rPr>
          <w:rFonts w:ascii="Times New Roman" w:cs="Times New Roman" w:eastAsia="Times New Roman" w:hAnsi="Times New Roman"/>
          <w:sz w:val="17"/>
          <w:szCs w:val="17"/>
          <w:color w:val="auto"/>
        </w:rPr>
        <w:t>operation with Phoenix TV Group</w:t>
      </w:r>
      <w:r>
        <w:rPr>
          <w:rFonts w:ascii="Times New Roman" w:cs="Times New Roman" w:eastAsia="Times New Roman" w:hAnsi="Times New Roman"/>
          <w:sz w:val="18"/>
          <w:szCs w:val="18"/>
          <w:color w:val="auto"/>
        </w:rPr>
        <w:t xml:space="preserve"> are calculated according to the New Agreements (see Note 2(a)).</w:t>
      </w:r>
    </w:p>
    <w:p>
      <w:pPr>
        <w:spacing w:after="0" w:line="225" w:lineRule="exact"/>
        <w:rPr>
          <w:sz w:val="20"/>
          <w:szCs w:val="20"/>
          <w:color w:val="auto"/>
        </w:rPr>
      </w:pPr>
    </w:p>
    <w:p>
      <w:pPr>
        <w:ind w:right="720" w:firstLine="504"/>
        <w:spacing w:after="0" w:line="282" w:lineRule="auto"/>
        <w:rPr>
          <w:sz w:val="20"/>
          <w:szCs w:val="20"/>
          <w:color w:val="auto"/>
        </w:rPr>
      </w:pPr>
      <w:r>
        <w:rPr>
          <w:rFonts w:ascii="Times New Roman" w:cs="Times New Roman" w:eastAsia="Times New Roman" w:hAnsi="Times New Roman"/>
          <w:sz w:val="18"/>
          <w:szCs w:val="18"/>
          <w:color w:val="auto"/>
        </w:rPr>
        <w:t>The rental expenses were approximately RMB39.8 million, RMB41.1 million and RMB 39.4 million (US$5.7 million) during the years ended December 31, 2014, 2015 and 2016, respectively, and were charged to the consolidated statements of comprehensive income when incurred.</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Group did not have any significant capital and other commitments, long-term obligations, or guarantees as of December 31, 2015 and 2016.</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320" w:hanging="312"/>
        <w:spacing w:after="0"/>
        <w:tabs>
          <w:tab w:leader="none" w:pos="32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 Litigation</w:t>
      </w:r>
    </w:p>
    <w:p>
      <w:pPr>
        <w:spacing w:after="0" w:line="229" w:lineRule="exact"/>
        <w:rPr>
          <w:sz w:val="20"/>
          <w:szCs w:val="20"/>
          <w:color w:val="auto"/>
        </w:rPr>
      </w:pPr>
    </w:p>
    <w:p>
      <w:pPr>
        <w:jc w:val="both"/>
        <w:ind w:right="200" w:firstLine="540"/>
        <w:spacing w:after="0" w:line="261" w:lineRule="auto"/>
        <w:rPr>
          <w:sz w:val="20"/>
          <w:szCs w:val="20"/>
          <w:color w:val="auto"/>
        </w:rPr>
      </w:pPr>
      <w:r>
        <w:rPr>
          <w:rFonts w:ascii="Times New Roman" w:cs="Times New Roman" w:eastAsia="Times New Roman" w:hAnsi="Times New Roman"/>
          <w:sz w:val="18"/>
          <w:szCs w:val="18"/>
          <w:color w:val="auto"/>
        </w:rPr>
        <w:t>From time to time, the Group is involved in claims and legal proceedings that arise in the ordinary course of business. The Group is currently a party to certain legal proceedings and claims which in the opinion of the Company’s management, adequate provisions have been recorded to cover the probable loss of those that can be reasonably estimated, while other claims are considered would not have material adverse effect, individually or in the aggregate, on the Group’s financial position, results of operations or cash flows.</w:t>
      </w:r>
    </w:p>
    <w:p>
      <w:pPr>
        <w:spacing w:after="0" w:line="180" w:lineRule="exact"/>
        <w:rPr>
          <w:sz w:val="20"/>
          <w:szCs w:val="20"/>
          <w:color w:val="auto"/>
        </w:rPr>
      </w:pPr>
    </w:p>
    <w:p>
      <w:pPr>
        <w:ind w:right="60" w:firstLine="540"/>
        <w:spacing w:after="0" w:line="258" w:lineRule="auto"/>
        <w:rPr>
          <w:sz w:val="20"/>
          <w:szCs w:val="20"/>
          <w:color w:val="auto"/>
        </w:rPr>
      </w:pPr>
      <w:r>
        <w:rPr>
          <w:rFonts w:ascii="Times New Roman" w:cs="Times New Roman" w:eastAsia="Times New Roman" w:hAnsi="Times New Roman"/>
          <w:sz w:val="18"/>
          <w:szCs w:val="18"/>
          <w:color w:val="auto"/>
        </w:rPr>
        <w:t>In relation to one of the claims in 2016 about the infringement of copyright and unauthorized selling on the Group’s website and mobile applications for a piece of literature work, the related claim for damage was approximately RMB235.8 million, however, the actual income the Group generated from such literature work was less than RMB1,500. As litigation is subject to inherent uncertainties and this case is at its preliminary stage, and based on the legal advice, the Group is currently unable to make an estimation of the amount of the reasonably possible loss or range of possible loss, if any. However, the Group’s view of these matters may change in the future and will review the need for any such liability on a regular basis.</w:t>
      </w:r>
    </w:p>
    <w:p>
      <w:pPr>
        <w:spacing w:after="0" w:line="184" w:lineRule="exact"/>
        <w:rPr>
          <w:sz w:val="20"/>
          <w:szCs w:val="20"/>
          <w:color w:val="auto"/>
        </w:rPr>
      </w:pPr>
    </w:p>
    <w:p>
      <w:pPr>
        <w:ind w:right="80" w:firstLine="566"/>
        <w:spacing w:after="0" w:line="266" w:lineRule="auto"/>
        <w:rPr>
          <w:sz w:val="20"/>
          <w:szCs w:val="20"/>
          <w:color w:val="auto"/>
        </w:rPr>
      </w:pPr>
      <w:r>
        <w:rPr>
          <w:rFonts w:ascii="Times New Roman" w:cs="Times New Roman" w:eastAsia="Times New Roman" w:hAnsi="Times New Roman"/>
          <w:sz w:val="18"/>
          <w:szCs w:val="18"/>
          <w:color w:val="auto"/>
        </w:rPr>
        <w:t>Litigation is subject to inherent uncertainties and the Group’s view of these matters may change in the future. There exists the possibility of a material adverse impact on the Group’s financial position, results of operations or cash flows for the period in which the unfavorable outcome occurs, and potentially in future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Long-term Liabilities for Uncertain Tax Positions</w:t>
      </w:r>
    </w:p>
    <w:p>
      <w:pPr>
        <w:spacing w:after="0" w:line="229" w:lineRule="exact"/>
        <w:rPr>
          <w:sz w:val="20"/>
          <w:szCs w:val="20"/>
          <w:color w:val="auto"/>
        </w:rPr>
      </w:pPr>
    </w:p>
    <w:p>
      <w:pPr>
        <w:ind w:right="480" w:firstLine="510"/>
        <w:spacing w:after="0" w:line="282" w:lineRule="auto"/>
        <w:rPr>
          <w:sz w:val="20"/>
          <w:szCs w:val="20"/>
          <w:color w:val="auto"/>
        </w:rPr>
      </w:pPr>
      <w:r>
        <w:rPr>
          <w:rFonts w:ascii="Times New Roman" w:cs="Times New Roman" w:eastAsia="Times New Roman" w:hAnsi="Times New Roman"/>
          <w:sz w:val="18"/>
          <w:szCs w:val="18"/>
          <w:color w:val="auto"/>
        </w:rPr>
        <w:t>As mentioned in Note 15, as of December 31, 2015 and 2016, the Group had recorded uncertain tax positions of RMB18.4 million and RMB21.7 million (US$3.1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Related Party Transactions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sets forth the major related parties and their relationships with the Group:</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Related Parties</w:t>
            </w:r>
          </w:p>
        </w:tc>
        <w:tc>
          <w:tcPr>
            <w:tcW w:w="180" w:type="dxa"/>
            <w:vAlign w:val="bottom"/>
            <w:tcBorders>
              <w:bottom w:val="single" w:sz="8" w:color="CCEEFF"/>
            </w:tcBorders>
          </w:tcPr>
          <w:p>
            <w:pPr>
              <w:spacing w:after="0"/>
              <w:rPr>
                <w:sz w:val="15"/>
                <w:szCs w:val="15"/>
                <w:color w:val="auto"/>
              </w:rPr>
            </w:pPr>
          </w:p>
        </w:tc>
        <w:tc>
          <w:tcPr>
            <w:tcW w:w="570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4"/>
                <w:szCs w:val="14"/>
                <w:b w:val="1"/>
                <w:bCs w:val="1"/>
                <w:color w:val="auto"/>
              </w:rPr>
              <w:t>Relationships with the Group</w:t>
            </w:r>
          </w:p>
        </w:tc>
        <w:tc>
          <w:tcPr>
            <w:tcW w:w="40" w:type="dxa"/>
            <w:vAlign w:val="bottom"/>
          </w:tcPr>
          <w:p>
            <w:pPr>
              <w:spacing w:after="0"/>
              <w:rPr>
                <w:sz w:val="15"/>
                <w:szCs w:val="15"/>
                <w:color w:val="auto"/>
              </w:rPr>
            </w:pPr>
          </w:p>
        </w:tc>
      </w:tr>
      <w:tr>
        <w:trPr>
          <w:trHeight w:val="21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within the non US listed part of the Phoenix TV Group</w:t>
            </w:r>
          </w:p>
        </w:tc>
        <w:tc>
          <w:tcPr>
            <w:tcW w:w="18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 common control by Phoenix TV</w:t>
            </w:r>
          </w:p>
        </w:tc>
        <w:tc>
          <w:tcPr>
            <w:tcW w:w="40" w:type="dxa"/>
            <w:vAlign w:val="bottom"/>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CMCC</w:t>
            </w:r>
          </w:p>
        </w:tc>
        <w:tc>
          <w:tcPr>
            <w:tcW w:w="1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 shareholder of Phoenix TV</w:t>
            </w:r>
          </w:p>
        </w:tc>
        <w:tc>
          <w:tcPr>
            <w:tcW w:w="4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Beijing Phoenix Lilita Information Technology Co., Ltd. (“Lilita”)</w:t>
            </w:r>
          </w:p>
        </w:tc>
        <w:tc>
          <w:tcPr>
            <w:tcW w:w="18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method investee, related party of Phoenix TV Group</w:t>
            </w:r>
          </w:p>
        </w:tc>
        <w:tc>
          <w:tcPr>
            <w:tcW w:w="40" w:type="dxa"/>
            <w:vAlign w:val="bottom"/>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Particle Inc. (“Particle”)</w:t>
            </w:r>
          </w:p>
        </w:tc>
        <w:tc>
          <w:tcPr>
            <w:tcW w:w="1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method investee, with common directors of the Company</w:t>
            </w:r>
          </w:p>
        </w:tc>
        <w:tc>
          <w:tcPr>
            <w:tcW w:w="4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Beijing Fenghuang Tianbo Network Technology Co., Ltd. (“Tianbo”)</w:t>
            </w:r>
          </w:p>
        </w:tc>
        <w:tc>
          <w:tcPr>
            <w:tcW w:w="18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investee</w:t>
            </w:r>
          </w:p>
        </w:tc>
        <w:tc>
          <w:tcPr>
            <w:tcW w:w="40" w:type="dxa"/>
            <w:vAlign w:val="bottom"/>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Phoenix FM Limited (“FM”)</w:t>
            </w:r>
          </w:p>
        </w:tc>
        <w:tc>
          <w:tcPr>
            <w:tcW w:w="1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investee</w:t>
            </w:r>
          </w:p>
        </w:tc>
        <w:tc>
          <w:tcPr>
            <w:tcW w:w="40" w:type="dxa"/>
            <w:vAlign w:val="bottom"/>
          </w:tcPr>
          <w:p>
            <w:pPr>
              <w:spacing w:after="0"/>
              <w:rPr>
                <w:sz w:val="18"/>
                <w:szCs w:val="18"/>
                <w:color w:val="auto"/>
              </w:rPr>
            </w:pPr>
          </w:p>
        </w:tc>
      </w:tr>
      <w:tr>
        <w:trPr>
          <w:trHeight w:val="198"/>
        </w:trPr>
        <w:tc>
          <w:tcPr>
            <w:tcW w:w="5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Shenzhenshi Fenghuang Jingcai Network Technology Co., Ltd.</w:t>
            </w:r>
          </w:p>
        </w:tc>
        <w:tc>
          <w:tcPr>
            <w:tcW w:w="18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method investee</w:t>
            </w:r>
          </w:p>
        </w:tc>
        <w:tc>
          <w:tcPr>
            <w:tcW w:w="40" w:type="dxa"/>
            <w:vAlign w:val="bottom"/>
          </w:tcPr>
          <w:p>
            <w:pPr>
              <w:spacing w:after="0"/>
              <w:rPr>
                <w:sz w:val="17"/>
                <w:szCs w:val="17"/>
                <w:color w:val="auto"/>
              </w:rPr>
            </w:pPr>
          </w:p>
        </w:tc>
      </w:tr>
      <w:tr>
        <w:trPr>
          <w:trHeight w:val="234"/>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(“Fenghuang Jingcai”)</w:t>
            </w:r>
          </w:p>
        </w:tc>
        <w:tc>
          <w:tcPr>
            <w:tcW w:w="180" w:type="dxa"/>
            <w:vAlign w:val="bottom"/>
            <w:shd w:val="clear" w:color="auto" w:fill="CCEEFF"/>
          </w:tcPr>
          <w:p>
            <w:pPr>
              <w:spacing w:after="0"/>
              <w:rPr>
                <w:sz w:val="20"/>
                <w:szCs w:val="20"/>
                <w:color w:val="auto"/>
              </w:rPr>
            </w:pPr>
          </w:p>
        </w:tc>
        <w:tc>
          <w:tcPr>
            <w:tcW w:w="57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Hangzhou Qike Technology Co., Ltd.</w:t>
            </w:r>
          </w:p>
        </w:tc>
        <w:tc>
          <w:tcPr>
            <w:tcW w:w="1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investee</w:t>
            </w:r>
          </w:p>
        </w:tc>
        <w:tc>
          <w:tcPr>
            <w:tcW w:w="4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Lifeix Inc.</w:t>
            </w:r>
          </w:p>
        </w:tc>
        <w:tc>
          <w:tcPr>
            <w:tcW w:w="18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method investee</w:t>
            </w:r>
          </w:p>
        </w:tc>
        <w:tc>
          <w:tcPr>
            <w:tcW w:w="40" w:type="dxa"/>
            <w:vAlign w:val="bottom"/>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Mr. Gao Ximin and Mr. Qiao Haiyan</w:t>
            </w:r>
          </w:p>
        </w:tc>
        <w:tc>
          <w:tcPr>
            <w:tcW w:w="1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Legal shareholders of Tianying Jiuzhou and employees of the Group</w:t>
            </w:r>
          </w:p>
        </w:tc>
        <w:tc>
          <w:tcPr>
            <w:tcW w:w="4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He Yansheng</w:t>
            </w:r>
          </w:p>
        </w:tc>
        <w:tc>
          <w:tcPr>
            <w:tcW w:w="18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shareholder of Yifeng Lianhe and employee of the Group</w:t>
            </w:r>
          </w:p>
        </w:tc>
        <w:tc>
          <w:tcPr>
            <w:tcW w:w="40" w:type="dxa"/>
            <w:vAlign w:val="bottom"/>
          </w:tcPr>
          <w:p>
            <w:pPr>
              <w:spacing w:after="0"/>
              <w:rPr>
                <w:sz w:val="18"/>
                <w:szCs w:val="18"/>
                <w:color w:val="auto"/>
              </w:rPr>
            </w:pPr>
          </w:p>
        </w:tc>
      </w:t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Mr. Wu Haipeng and Mr. He Yansheng</w:t>
            </w:r>
          </w:p>
        </w:tc>
        <w:tc>
          <w:tcPr>
            <w:tcW w:w="1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Legal shareholders of Chenhuan and employees of the Group</w:t>
            </w:r>
          </w:p>
        </w:tc>
        <w:tc>
          <w:tcPr>
            <w:tcW w:w="40" w:type="dxa"/>
            <w:vAlign w:val="bottom"/>
          </w:tcPr>
          <w:p>
            <w:pPr>
              <w:spacing w:after="0"/>
              <w:rPr>
                <w:sz w:val="20"/>
                <w:szCs w:val="20"/>
                <w:color w:val="auto"/>
              </w:rPr>
            </w:pPr>
          </w:p>
        </w:tc>
      </w:tr>
      <w:tr>
        <w:trPr>
          <w:trHeight w:val="414"/>
        </w:trPr>
        <w:tc>
          <w:tcPr>
            <w:tcW w:w="5540" w:type="dxa"/>
            <w:vAlign w:val="bottom"/>
          </w:tcPr>
          <w:p>
            <w:pPr>
              <w:spacing w:after="0"/>
              <w:rPr>
                <w:sz w:val="24"/>
                <w:szCs w:val="24"/>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F-43</w:t>
            </w:r>
          </w:p>
        </w:tc>
        <w:tc>
          <w:tcPr>
            <w:tcW w:w="40" w:type="dxa"/>
            <w:vAlign w:val="bottom"/>
          </w:tcPr>
          <w:p>
            <w:pPr>
              <w:spacing w:after="0"/>
              <w:rPr>
                <w:sz w:val="24"/>
                <w:szCs w:val="24"/>
                <w:color w:val="auto"/>
              </w:rPr>
            </w:pPr>
          </w:p>
        </w:tc>
      </w:tr>
      <w:tr>
        <w:trPr>
          <w:trHeight w:val="132"/>
        </w:trPr>
        <w:tc>
          <w:tcPr>
            <w:tcW w:w="55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Related Party Transactions (Continued)</w:t>
      </w:r>
    </w:p>
    <w:p>
      <w:pPr>
        <w:spacing w:after="0" w:line="229"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In addition to those disclosed elsewhere in the financial statements, the Group had the following significant related party transactions during the years ended December 31, 2014, 2015 and 2016 (in thousands):</w:t>
      </w:r>
    </w:p>
    <w:p>
      <w:pPr>
        <w:sectPr>
          <w:pgSz w:w="11900" w:h="16933" w:orient="portrait"/>
          <w:cols w:equalWidth="0" w:num="1">
            <w:col w:w="11460"/>
          </w:cols>
          <w:pgMar w:left="240" w:top="121" w:right="199" w:bottom="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the Non US Listed Part of Phoenix TV Group:</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00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30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280" w:type="dxa"/>
            <w:vAlign w:val="bottom"/>
          </w:tcPr>
          <w:p>
            <w:pPr>
              <w:spacing w:after="0"/>
              <w:rPr>
                <w:sz w:val="12"/>
                <w:szCs w:val="12"/>
                <w:color w:val="auto"/>
              </w:rPr>
            </w:pPr>
          </w:p>
        </w:tc>
        <w:tc>
          <w:tcPr>
            <w:tcW w:w="1380" w:type="dxa"/>
            <w:vAlign w:val="bottom"/>
            <w:tcBorders>
              <w:bottom w:val="single" w:sz="8" w:color="auto"/>
            </w:tcBorders>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50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3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Content provided by Phoenix TV Group</w:t>
            </w:r>
          </w:p>
        </w:tc>
        <w:tc>
          <w:tcPr>
            <w:tcW w:w="1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(3,757)</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(4,730)</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(7,447)</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(1,073)</w:t>
            </w:r>
          </w:p>
        </w:tc>
        <w:tc>
          <w:tcPr>
            <w:tcW w:w="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Data line services provided by Phoenix TV Group</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(363)</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198"/>
        </w:trPr>
        <w:tc>
          <w:tcPr>
            <w:tcW w:w="5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Advertising and promotion expenses charged by Phoenix TV</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Group</w:t>
            </w:r>
          </w:p>
        </w:tc>
        <w:tc>
          <w:tcPr>
            <w:tcW w:w="1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(1,246)</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(1,788)</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(1,277)</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w:t>
            </w:r>
          </w:p>
        </w:tc>
        <w:tc>
          <w:tcPr>
            <w:tcW w:w="40" w:type="dxa"/>
            <w:vAlign w:val="bottom"/>
          </w:tcPr>
          <w:p>
            <w:pPr>
              <w:spacing w:after="0"/>
              <w:rPr>
                <w:sz w:val="20"/>
                <w:szCs w:val="20"/>
                <w:color w:val="auto"/>
              </w:rPr>
            </w:pPr>
          </w:p>
        </w:tc>
      </w:tr>
      <w:tr>
        <w:trPr>
          <w:trHeight w:val="198"/>
        </w:trPr>
        <w:tc>
          <w:tcPr>
            <w:tcW w:w="5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Corporate administrative expenses charged by Phoenix TV</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Group</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(354)</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(1,812)</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tcPr>
          <w:p>
            <w:pPr>
              <w:spacing w:after="0"/>
              <w:rPr>
                <w:sz w:val="20"/>
                <w:szCs w:val="20"/>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 cost charged by Phoenix TV Group</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Revenues earned from Phoenix TV Group</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25,168</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16,510</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10,356</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1,492</w:t>
            </w:r>
          </w:p>
        </w:tc>
        <w:tc>
          <w:tcPr>
            <w:tcW w:w="40" w:type="dxa"/>
            <w:vAlign w:val="bottom"/>
          </w:tcPr>
          <w:p>
            <w:pPr>
              <w:spacing w:after="0"/>
              <w:rPr>
                <w:sz w:val="20"/>
                <w:szCs w:val="20"/>
                <w:color w:val="auto"/>
              </w:rPr>
            </w:pPr>
          </w:p>
        </w:tc>
      </w:tr>
      <w:tr>
        <w:trPr>
          <w:trHeight w:val="414"/>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CMCC :</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50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500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30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280" w:type="dxa"/>
            <w:vAlign w:val="bottom"/>
          </w:tcPr>
          <w:p>
            <w:pPr>
              <w:spacing w:after="0"/>
              <w:rPr>
                <w:sz w:val="12"/>
                <w:szCs w:val="12"/>
                <w:color w:val="auto"/>
              </w:rPr>
            </w:pPr>
          </w:p>
        </w:tc>
        <w:tc>
          <w:tcPr>
            <w:tcW w:w="1380" w:type="dxa"/>
            <w:vAlign w:val="bottom"/>
            <w:tcBorders>
              <w:bottom w:val="single" w:sz="8" w:color="auto"/>
            </w:tcBorders>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50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3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revenues earned from CMCC</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29,643</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35,787</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31,956</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4,603</w:t>
            </w:r>
          </w:p>
        </w:tc>
        <w:tc>
          <w:tcPr>
            <w:tcW w:w="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Paid services revenues earned from and through CMCC</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290,755</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273,510</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122,672</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17,668</w:t>
            </w:r>
          </w:p>
        </w:tc>
        <w:tc>
          <w:tcPr>
            <w:tcW w:w="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sharing fees and bandwidth costs to CMCC</w:t>
            </w:r>
          </w:p>
        </w:tc>
        <w:tc>
          <w:tcPr>
            <w:tcW w:w="1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(41,766)</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(44,359)</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(20,941)</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(3,016)</w:t>
            </w:r>
          </w:p>
        </w:tc>
        <w:tc>
          <w:tcPr>
            <w:tcW w:w="40" w:type="dxa"/>
            <w:vAlign w:val="bottom"/>
          </w:tcPr>
          <w:p>
            <w:pPr>
              <w:spacing w:after="0"/>
              <w:rPr>
                <w:sz w:val="18"/>
                <w:szCs w:val="18"/>
                <w:color w:val="auto"/>
              </w:rPr>
            </w:pPr>
          </w:p>
        </w:tc>
      </w:tr>
      <w:tr>
        <w:trPr>
          <w:trHeight w:val="432"/>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Investees:</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50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500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30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280" w:type="dxa"/>
            <w:vAlign w:val="bottom"/>
          </w:tcPr>
          <w:p>
            <w:pPr>
              <w:spacing w:after="0"/>
              <w:rPr>
                <w:sz w:val="12"/>
                <w:szCs w:val="12"/>
                <w:color w:val="auto"/>
              </w:rPr>
            </w:pPr>
          </w:p>
        </w:tc>
        <w:tc>
          <w:tcPr>
            <w:tcW w:w="1380" w:type="dxa"/>
            <w:vAlign w:val="bottom"/>
            <w:tcBorders>
              <w:bottom w:val="single" w:sz="8" w:color="auto"/>
            </w:tcBorders>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50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3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provided to FM</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8,000</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Advances provided to/(repaid from) FM</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482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repaid from FM</w:t>
            </w:r>
          </w:p>
        </w:tc>
        <w:tc>
          <w:tcPr>
            <w:tcW w:w="1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(800)</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(7,056)</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(1,016)</w:t>
            </w:r>
          </w:p>
        </w:tc>
        <w:tc>
          <w:tcPr>
            <w:tcW w:w="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Advertising revenues earned from Tianbo</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421</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4,384</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13,482</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1,942</w:t>
            </w:r>
          </w:p>
        </w:tc>
        <w:tc>
          <w:tcPr>
            <w:tcW w:w="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provided to/(repaid from) Tianbo</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1,177</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(1,177)</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c>
          <w:tcPr>
            <w:tcW w:w="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Advertising revenues earned from Lilita</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333</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14,414</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42,619</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6,138</w:t>
            </w:r>
          </w:p>
        </w:tc>
        <w:tc>
          <w:tcPr>
            <w:tcW w:w="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 license authorization revenues earned from Lilita</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855</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3,155</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172</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Advertising resources provided by Tianbo</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(670)</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c>
          <w:tcPr>
            <w:tcW w:w="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provided to Fenghuang Jingcai</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409</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Loans provided to Particle and related interest income</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50,337</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7,250</w:t>
            </w:r>
          </w:p>
        </w:tc>
        <w:tc>
          <w:tcPr>
            <w:tcW w:w="40" w:type="dxa"/>
            <w:vAlign w:val="bottom"/>
          </w:tcPr>
          <w:p>
            <w:pPr>
              <w:spacing w:after="0"/>
              <w:rPr>
                <w:sz w:val="18"/>
                <w:szCs w:val="18"/>
                <w:color w:val="auto"/>
              </w:rPr>
            </w:pPr>
          </w:p>
        </w:tc>
      </w:tr>
      <w:tr>
        <w:trPr>
          <w:trHeight w:val="198"/>
        </w:trPr>
        <w:tc>
          <w:tcPr>
            <w:tcW w:w="5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convertible loans to Particle and related interest</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248,249</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35,755</w:t>
            </w:r>
          </w:p>
        </w:tc>
        <w:tc>
          <w:tcPr>
            <w:tcW w:w="40" w:type="dxa"/>
            <w:vAlign w:val="bottom"/>
          </w:tcPr>
          <w:p>
            <w:pPr>
              <w:spacing w:after="0"/>
              <w:rPr>
                <w:sz w:val="20"/>
                <w:szCs w:val="20"/>
                <w:color w:val="auto"/>
              </w:rPr>
            </w:pPr>
          </w:p>
        </w:tc>
      </w:tr>
      <w:tr>
        <w:trPr>
          <w:trHeight w:val="432"/>
        </w:trPr>
        <w:tc>
          <w:tcPr>
            <w:tcW w:w="5000" w:type="dxa"/>
            <w:vAlign w:val="bottom"/>
          </w:tcPr>
          <w:p>
            <w:pPr>
              <w:spacing w:after="0"/>
              <w:rPr>
                <w:sz w:val="24"/>
                <w:szCs w:val="24"/>
                <w:color w:val="auto"/>
              </w:rPr>
            </w:pPr>
          </w:p>
        </w:tc>
        <w:tc>
          <w:tcPr>
            <w:tcW w:w="16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F-44</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0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Related Party Transactions (Continued)</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2015 and 2016, the amounts due from and due to related parties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138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280" w:type="dxa"/>
            <w:vAlign w:val="bottom"/>
          </w:tcPr>
          <w:p>
            <w:pPr>
              <w:spacing w:after="0"/>
              <w:rPr>
                <w:sz w:val="12"/>
                <w:szCs w:val="12"/>
                <w:color w:val="auto"/>
              </w:rPr>
            </w:pPr>
          </w:p>
        </w:tc>
        <w:tc>
          <w:tcPr>
            <w:tcW w:w="138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138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due from related parties: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Due from CMCC</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58,295</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48,831</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7,033</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Phoenix TV Group</w:t>
            </w: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20,144</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31,509</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4,538</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Due from Particle</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50,337</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7,250</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other investees</w:t>
            </w: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46,238</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25,583</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3,685</w:t>
            </w:r>
          </w:p>
        </w:tc>
      </w:tr>
      <w:tr>
        <w:trPr>
          <w:trHeight w:val="250"/>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124,677</w:t>
            </w: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156,260</w:t>
            </w:r>
          </w:p>
        </w:tc>
        <w:tc>
          <w:tcPr>
            <w:tcW w:w="28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22,506</w:t>
            </w:r>
          </w:p>
        </w:tc>
        <w:tc>
          <w:tcPr>
            <w:tcW w:w="100" w:type="dxa"/>
            <w:vAlign w:val="bottom"/>
            <w:tcBorders>
              <w:bottom w:val="single" w:sz="8" w:color="CCEEFF"/>
            </w:tcBorders>
          </w:tcPr>
          <w:p>
            <w:pPr>
              <w:spacing w:after="0"/>
              <w:rPr>
                <w:sz w:val="21"/>
                <w:szCs w:val="21"/>
                <w:color w:val="auto"/>
              </w:rPr>
            </w:pPr>
          </w:p>
        </w:tc>
      </w:tr>
      <w:tr>
        <w:trPr>
          <w:trHeight w:val="170"/>
        </w:trPr>
        <w:tc>
          <w:tcPr>
            <w:tcW w:w="664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Amounts due to related parties:</w:t>
            </w:r>
          </w:p>
        </w:tc>
        <w:tc>
          <w:tcPr>
            <w:tcW w:w="1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Due to CMCC</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1,808</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249</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Phoenix TV Group</w:t>
            </w: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17,060</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17,724</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2,553</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500</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747</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300" w:firstLine="510"/>
        <w:spacing w:after="0" w:line="266" w:lineRule="auto"/>
        <w:rPr>
          <w:sz w:val="20"/>
          <w:szCs w:val="20"/>
          <w:color w:val="auto"/>
        </w:rPr>
      </w:pPr>
      <w:r>
        <w:rPr>
          <w:rFonts w:ascii="Times New Roman" w:cs="Times New Roman" w:eastAsia="Times New Roman" w:hAnsi="Times New Roman"/>
          <w:sz w:val="18"/>
          <w:szCs w:val="18"/>
          <w:color w:val="auto"/>
        </w:rPr>
        <w:t>The amounts due from or amounts due to Phoenix TV Group were net amounts of other operating funds provided by Phoenix TV, expenses paid by Phoenix TV Group on behalf of the Group, expenses charged by Phoenix TV Group under the cooperation agreement (see Note 2 (a)), accounts receivable from Phoenix TV Group for the advertising services provided to its customers.</w:t>
      </w:r>
    </w:p>
    <w:p>
      <w:pPr>
        <w:spacing w:after="0" w:line="176" w:lineRule="exact"/>
        <w:rPr>
          <w:sz w:val="20"/>
          <w:szCs w:val="20"/>
          <w:color w:val="auto"/>
        </w:rPr>
      </w:pPr>
    </w:p>
    <w:p>
      <w:pPr>
        <w:ind w:right="140" w:firstLine="566"/>
        <w:spacing w:after="0" w:line="258" w:lineRule="auto"/>
        <w:rPr>
          <w:sz w:val="20"/>
          <w:szCs w:val="20"/>
          <w:color w:val="auto"/>
        </w:rPr>
      </w:pPr>
      <w:r>
        <w:rPr>
          <w:rFonts w:ascii="Times New Roman" w:cs="Times New Roman" w:eastAsia="Times New Roman" w:hAnsi="Times New Roman"/>
          <w:sz w:val="18"/>
          <w:szCs w:val="18"/>
          <w:color w:val="auto"/>
        </w:rPr>
        <w:t>In November 2016, the Company’s board of directors authorized to grant new unsecured short-term loans to Particle with an aggregate principal amount of RMB120.0 million or U.S. dollar equivalent at an interest rate of 9% per annum and with a term of no more than six months. The Group had granted a US$6.8 million (RMB45.9 million) loan to Particle in November 2016. In December 2016, the Company’s board of directors has authorized the Company to revise and extend the terms of this loan from six months to twelve months. As of December 31, 2016, the carrying value of this loan recorded in amounts due from related parties was RMB47.8 million (US$6.9 million).</w:t>
      </w:r>
    </w:p>
    <w:p>
      <w:pPr>
        <w:sectPr>
          <w:pgSz w:w="11900" w:h="16838" w:orient="portrait"/>
          <w:cols w:equalWidth="0" w:num="1">
            <w:col w:w="11460"/>
          </w:cols>
          <w:pgMar w:left="240" w:top="333" w:right="199" w:bottom="0" w:gutter="0" w:footer="0" w:header="0"/>
        </w:sectPr>
      </w:pPr>
    </w:p>
    <w:bookmarkStart w:id="131" w:name="page132"/>
    <w:bookmarkEnd w:id="131"/>
    <w:p>
      <w:pPr>
        <w:spacing w:after="0" w:line="62" w:lineRule="exact"/>
        <w:rPr>
          <w:sz w:val="20"/>
          <w:szCs w:val="20"/>
          <w:color w:val="auto"/>
        </w:rPr>
      </w:pPr>
    </w:p>
    <w:p>
      <w:pPr>
        <w:ind w:right="380" w:firstLine="5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2016, total interest income arising from loans provided to Particle, convertible loans due from Particle and bank interest expenses incurred by the Company but borne by Particle was RMB9.1 million (US$1.3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Restricted Net Assets</w:t>
      </w:r>
    </w:p>
    <w:p>
      <w:pPr>
        <w:spacing w:after="0" w:line="22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 xml:space="preserve">Relevant PRC laws and regulations permit payments of dividends by the Company’s subsidiaries, the VIEs and the subsidiaries of the VIEs incorporated in the PRC only out of their retained earnings, if any, as determined in accordance with PRC accounting standards and regulations. In addition, the Company’s subsidiaries, the VIEs and the subsidiaries of the VIEs incorporated in the PRC are required to annually appropriate 10% of their net after-tax income to the general reserve fund or the statutory surplus fund prior to payment of any dividends, unless such reserve funds have reached 50% of their respective registered capital. As a result of these and other restrictions under PRC laws and regulations, and in accordance with Securities and Exchange Commission Regulation S-X Rule 4-08 (e) (3), </w:t>
      </w:r>
      <w:r>
        <w:rPr>
          <w:rFonts w:ascii="Times New Roman" w:cs="Times New Roman" w:eastAsia="Times New Roman" w:hAnsi="Times New Roman"/>
          <w:sz w:val="18"/>
          <w:szCs w:val="18"/>
          <w:i w:val="1"/>
          <w:iCs w:val="1"/>
          <w:color w:val="auto"/>
        </w:rPr>
        <w:t>General Notes to Financial Statements</w:t>
      </w:r>
      <w:r>
        <w:rPr>
          <w:rFonts w:ascii="Times New Roman" w:cs="Times New Roman" w:eastAsia="Times New Roman" w:hAnsi="Times New Roman"/>
          <w:sz w:val="18"/>
          <w:szCs w:val="18"/>
          <w:color w:val="auto"/>
        </w:rPr>
        <w:t>, the Company’s subsidiaries, the VIEs and the subsidiaries of the VIEs incorporated in the PRC are restricted in their ability to transfer a portion of their net assets to the Company either in the form of dividends, loans or advances, which the restricted portion amounted to approximately RMB549.9 million and RMB551.8 million (US$79.5 million) as of December 31, 2015 and 2016, respectively.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the Company’s shareholders. Except for the above, there is no other restriction on use of proceeds generated by the Company’s subsidiaries, the VIEs and the subsidiaries of the VIEs to satisfy any obligations of the Company.</w:t>
      </w:r>
    </w:p>
    <w:p>
      <w:pPr>
        <w:spacing w:after="0" w:line="191" w:lineRule="exact"/>
        <w:rPr>
          <w:sz w:val="20"/>
          <w:szCs w:val="20"/>
          <w:color w:val="auto"/>
        </w:rPr>
      </w:pPr>
    </w:p>
    <w:p>
      <w:pPr>
        <w:ind w:right="80" w:firstLine="566"/>
        <w:spacing w:after="0" w:line="255" w:lineRule="auto"/>
        <w:rPr>
          <w:sz w:val="20"/>
          <w:szCs w:val="20"/>
          <w:color w:val="auto"/>
        </w:rPr>
      </w:pPr>
      <w:r>
        <w:rPr>
          <w:rFonts w:ascii="Times New Roman" w:cs="Times New Roman" w:eastAsia="Times New Roman" w:hAnsi="Times New Roman"/>
          <w:sz w:val="18"/>
          <w:szCs w:val="18"/>
          <w:color w:val="auto"/>
        </w:rPr>
        <w:t xml:space="preserve">The Company performed a test on the restricted net assets of the Company’s subsidiaries, the VIEs and the subsidiaries of the VIEs in accordance with Securities and Exchange Commission Regulation S-X Rule 4-08 (e) (3), </w:t>
      </w:r>
      <w:r>
        <w:rPr>
          <w:rFonts w:ascii="Times New Roman" w:cs="Times New Roman" w:eastAsia="Times New Roman" w:hAnsi="Times New Roman"/>
          <w:sz w:val="18"/>
          <w:szCs w:val="18"/>
          <w:i w:val="1"/>
          <w:iCs w:val="1"/>
          <w:color w:val="auto"/>
        </w:rPr>
        <w:t>General Notes to Financial Statement</w:t>
      </w:r>
      <w:r>
        <w:rPr>
          <w:rFonts w:ascii="Times New Roman" w:cs="Times New Roman" w:eastAsia="Times New Roman" w:hAnsi="Times New Roman"/>
          <w:sz w:val="18"/>
          <w:szCs w:val="18"/>
          <w:color w:val="auto"/>
        </w:rPr>
        <w:t>s and concluded that it was applicable for the Company to disclose its condensed financial information for the year ended December 31, 2016. For the purposes of presenting the Company’s separate financial information, the Company records its investments in its subsidiaries and VIEs under the equity method of accounting. Such investments are presented on the separate condensed balance sheets of the Company as “Investments using equity accounting” and “Share of profit of investments using equity accounting, including impairments and disposal gain” in the condensed statements of comprehensive income. See Note 26 for the Company’s information.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Subsequent Events</w:t>
      </w:r>
    </w:p>
    <w:p>
      <w:pPr>
        <w:spacing w:after="0" w:line="229" w:lineRule="exact"/>
        <w:rPr>
          <w:sz w:val="20"/>
          <w:szCs w:val="20"/>
          <w:color w:val="auto"/>
        </w:rPr>
      </w:pPr>
    </w:p>
    <w:p>
      <w:pPr>
        <w:ind w:right="360" w:firstLine="510"/>
        <w:spacing w:after="0" w:line="282" w:lineRule="auto"/>
        <w:rPr>
          <w:sz w:val="20"/>
          <w:szCs w:val="20"/>
          <w:color w:val="auto"/>
        </w:rPr>
      </w:pPr>
      <w:r>
        <w:rPr>
          <w:rFonts w:ascii="Times New Roman" w:cs="Times New Roman" w:eastAsia="Times New Roman" w:hAnsi="Times New Roman"/>
          <w:sz w:val="18"/>
          <w:szCs w:val="18"/>
          <w:color w:val="auto"/>
        </w:rPr>
        <w:t>In January 2017, the Group had granted an unsecured RMB74.0 million loan to Particle at an interest rate of 9.0% per annum and with maturity of twelve months. Particle is required to use the proceeds of the loan for its ordinary course working capital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Additional Information - Condensed Financial Statements of the Company</w:t>
      </w:r>
    </w:p>
    <w:p>
      <w:pPr>
        <w:spacing w:after="0" w:line="229" w:lineRule="exact"/>
        <w:rPr>
          <w:sz w:val="20"/>
          <w:szCs w:val="20"/>
          <w:color w:val="auto"/>
        </w:rPr>
      </w:pPr>
    </w:p>
    <w:p>
      <w:pPr>
        <w:ind w:right="520" w:firstLine="540"/>
        <w:spacing w:after="0" w:line="282" w:lineRule="auto"/>
        <w:rPr>
          <w:sz w:val="20"/>
          <w:szCs w:val="20"/>
          <w:color w:val="auto"/>
        </w:rPr>
      </w:pPr>
      <w:r>
        <w:rPr>
          <w:rFonts w:ascii="Times New Roman" w:cs="Times New Roman" w:eastAsia="Times New Roman" w:hAnsi="Times New Roman"/>
          <w:sz w:val="18"/>
          <w:szCs w:val="18"/>
          <w:color w:val="auto"/>
        </w:rPr>
        <w:t>The condensed financial statements of Phoenix New Media Limited have been prepared in accordance with SEC Regulation S-X Rule 5-04 and Rule 12-04.</w:t>
      </w:r>
    </w:p>
    <w:p>
      <w:pPr>
        <w:spacing w:after="0" w:line="162" w:lineRule="exact"/>
        <w:rPr>
          <w:sz w:val="20"/>
          <w:szCs w:val="20"/>
          <w:color w:val="auto"/>
        </w:rPr>
      </w:pPr>
    </w:p>
    <w:p>
      <w:pPr>
        <w:ind w:right="80" w:firstLine="540"/>
        <w:spacing w:after="0" w:line="266" w:lineRule="auto"/>
        <w:rPr>
          <w:sz w:val="20"/>
          <w:szCs w:val="20"/>
          <w:color w:val="auto"/>
        </w:rPr>
      </w:pPr>
      <w:r>
        <w:rPr>
          <w:rFonts w:ascii="Times New Roman" w:cs="Times New Roman" w:eastAsia="Times New Roman" w:hAnsi="Times New Roman"/>
          <w:sz w:val="18"/>
          <w:szCs w:val="18"/>
          <w:color w:val="auto"/>
        </w:rPr>
        <w:t>The Company records its investments in subsidiaries and VIEs under the equity method of accounting. Such investments are presented on the balance sheets as “Investments using equity accounting”, and the profit of subsidiaries and VIEs is presented as “Share of profit of investments using equity accounting, including impairments and disposal gain” in the statement of comprehensive income.</w:t>
      </w:r>
    </w:p>
    <w:p>
      <w:pPr>
        <w:spacing w:after="0" w:line="176" w:lineRule="exact"/>
        <w:rPr>
          <w:sz w:val="20"/>
          <w:szCs w:val="20"/>
          <w:color w:val="auto"/>
        </w:rPr>
      </w:pPr>
    </w:p>
    <w:p>
      <w:pPr>
        <w:ind w:right="560" w:firstLine="540"/>
        <w:spacing w:after="0" w:line="282" w:lineRule="auto"/>
        <w:rPr>
          <w:sz w:val="20"/>
          <w:szCs w:val="20"/>
          <w:color w:val="auto"/>
        </w:rPr>
      </w:pPr>
      <w:r>
        <w:rPr>
          <w:rFonts w:ascii="Times New Roman" w:cs="Times New Roman" w:eastAsia="Times New Roman" w:hAnsi="Times New Roman"/>
          <w:sz w:val="18"/>
          <w:szCs w:val="18"/>
          <w:color w:val="auto"/>
        </w:rPr>
        <w:t>As of December 31, 2015 and 2016, there were no material contingencies, significant provisions for long-term obligations, or guarantees of the Company, except for those, if any, which have been separately disclosed in the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Additional Information - Condensed Financial Statements of the Company (Continued)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Financial Information of the Company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for number of shares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138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280" w:type="dxa"/>
            <w:vAlign w:val="bottom"/>
          </w:tcPr>
          <w:p>
            <w:pPr>
              <w:spacing w:after="0"/>
              <w:rPr>
                <w:sz w:val="12"/>
                <w:szCs w:val="12"/>
                <w:color w:val="auto"/>
              </w:rPr>
            </w:pPr>
          </w:p>
        </w:tc>
        <w:tc>
          <w:tcPr>
            <w:tcW w:w="138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1380" w:type="dxa"/>
            <w:vAlign w:val="bottom"/>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14,022</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32,731</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4,714</w:t>
            </w: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 deposits and short term investments</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83,854</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50,343</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7,251</w:t>
            </w: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due from subsidiaries and VIEs</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216,451</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228,050</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32,846</w:t>
            </w: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1,991</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1,565</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loans due from a related party</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104,429</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15,041</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316,348</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417,118</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60,077</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66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Non-current assets:</w:t>
            </w: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65"/>
        </w:trPr>
        <w:tc>
          <w:tcPr>
            <w:tcW w:w="66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bl>
    <w:p>
      <w:pPr>
        <w:sectPr>
          <w:pgSz w:w="11900" w:h="16900" w:orient="portrait"/>
          <w:cols w:equalWidth="0" w:num="1">
            <w:col w:w="11420"/>
          </w:cols>
          <w:pgMar w:left="240" w:top="121" w:right="239" w:bottom="0" w:gutter="0" w:footer="0" w:header="0"/>
        </w:sectPr>
      </w:pPr>
    </w:p>
    <w:bookmarkStart w:id="132" w:name="page133"/>
    <w:bookmarkEnd w:id="1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 using equity accounting</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1,189,213</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1,251,578</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180,266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513,994</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939,432</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135,306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1,703,207</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2,191,010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315,572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2,019,555</w:t>
            </w:r>
          </w:p>
        </w:tc>
        <w:tc>
          <w:tcPr>
            <w:tcW w:w="28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2,608,128</w:t>
            </w:r>
          </w:p>
        </w:tc>
        <w:tc>
          <w:tcPr>
            <w:tcW w:w="28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375,649</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664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3,326</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4,609</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due to subsidiaries and VIEs</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205,268</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435,724</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5,326</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2,027</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213,920</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442,360</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63,713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213,920</w:t>
            </w:r>
          </w:p>
        </w:tc>
        <w:tc>
          <w:tcPr>
            <w:tcW w:w="2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442,360</w:t>
            </w:r>
          </w:p>
        </w:tc>
        <w:tc>
          <w:tcPr>
            <w:tcW w:w="2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Shareholders’ equity:</w:t>
            </w: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6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ordinary shares (US$0.01 par value, 680,000,000 shares authorized;</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253,250,854 and 254,909,790 shares issued and outstanding as of December 31,</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2015 and 2016, respectively)</w:t>
            </w: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16,733</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16,843</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6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ordinary shares (US$0.01 par value, 320,000,000 shares authorized;</w:t>
            </w: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317,325,360 and 317,325,360 shares issued and outstanding as of December 31,</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2015 and 2016, respectively)</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22,053</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22,053</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1,551,104</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1,555,511</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224,040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Statutory reserves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70,311</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77,946</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122,093</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195,069</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23,341</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298,346</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1,805,635</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2,165,768</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311,936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2,019,555</w:t>
            </w:r>
          </w:p>
        </w:tc>
        <w:tc>
          <w:tcPr>
            <w:tcW w:w="28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2,608,128</w:t>
            </w:r>
          </w:p>
        </w:tc>
        <w:tc>
          <w:tcPr>
            <w:tcW w:w="28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375,649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F-47</w:t>
            </w: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4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Additional Information - Condensed Financial Statements of the Company (Continued)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Financial Information of the Company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36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Pr>
          <w:p>
            <w:pPr>
              <w:spacing w:after="0"/>
              <w:rPr>
                <w:sz w:val="12"/>
                <w:szCs w:val="12"/>
                <w:color w:val="auto"/>
              </w:rPr>
            </w:pPr>
          </w:p>
        </w:tc>
        <w:tc>
          <w:tcPr>
            <w:tcW w:w="136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2"/>
                <w:szCs w:val="12"/>
                <w:color w:val="auto"/>
              </w:rPr>
            </w:pPr>
          </w:p>
        </w:tc>
        <w:tc>
          <w:tcPr>
            <w:tcW w:w="138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36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spacing w:after="0"/>
              <w:rPr>
                <w:sz w:val="12"/>
                <w:szCs w:val="12"/>
                <w:color w:val="auto"/>
              </w:rPr>
            </w:pPr>
          </w:p>
        </w:tc>
        <w:tc>
          <w:tcPr>
            <w:tcW w:w="1360" w:type="dxa"/>
            <w:vAlign w:val="bottom"/>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(9,131)</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(10,783)</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(8,649)</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(9,131)</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(8,649)</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19,187</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4,625</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10,016</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exchange (loss)/gain</w:t>
            </w:r>
          </w:p>
        </w:tc>
        <w:tc>
          <w:tcPr>
            <w:tcW w:w="1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(6,792)</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(4,948)</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2,512</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Gain on disposal of an equity investment and acquisition of</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4,643</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Others, net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6,242</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2,476</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 of profit of investments using equity accounting,</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including impairments and disposal gain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258,468</w:t>
            </w:r>
          </w:p>
        </w:tc>
        <w:tc>
          <w:tcPr>
            <w:tcW w:w="30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73,805</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74,256</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10,694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263,091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80,611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tcBorders>
              <w:bottom w:val="single" w:sz="8" w:color="CCEEFF"/>
            </w:tcBorders>
            <w:vMerge w:val="continue"/>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44,786</w:t>
            </w:r>
          </w:p>
        </w:tc>
        <w:tc>
          <w:tcPr>
            <w:tcW w:w="300" w:type="dxa"/>
            <w:vAlign w:val="bottom"/>
            <w:tcBorders>
              <w:bottom w:val="single" w:sz="8" w:color="CCEEFF"/>
            </w:tcBorders>
            <w:vMerge w:val="continue"/>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38,682</w:t>
            </w:r>
          </w:p>
        </w:tc>
        <w:tc>
          <w:tcPr>
            <w:tcW w:w="280" w:type="dxa"/>
            <w:vAlign w:val="bottom"/>
            <w:tcBorders>
              <w:bottom w:val="single" w:sz="8" w:color="CCEEFF"/>
            </w:tcBorders>
            <w:vMerge w:val="continue"/>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275,005</w:t>
            </w:r>
          </w:p>
        </w:tc>
        <w:tc>
          <w:tcPr>
            <w:tcW w:w="280" w:type="dxa"/>
            <w:vAlign w:val="bottom"/>
            <w:tcBorders>
              <w:bottom w:val="single" w:sz="8" w:color="CCEEFF"/>
            </w:tcBorders>
            <w:vMerge w:val="continue"/>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39,609</w:t>
            </w:r>
          </w:p>
        </w:tc>
        <w:tc>
          <w:tcPr>
            <w:tcW w:w="100" w:type="dxa"/>
            <w:vAlign w:val="bottom"/>
            <w:tcBorders>
              <w:bottom w:val="single" w:sz="8" w:color="CCEEFF"/>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307,877</w:t>
            </w:r>
          </w:p>
        </w:tc>
        <w:tc>
          <w:tcPr>
            <w:tcW w:w="3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112,266</w:t>
            </w: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355,616</w:t>
            </w:r>
          </w:p>
        </w:tc>
        <w:tc>
          <w:tcPr>
            <w:tcW w:w="2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00" w:type="dxa"/>
            <w:vAlign w:val="bottom"/>
          </w:tcPr>
          <w:p>
            <w:pPr>
              <w:spacing w:after="0"/>
              <w:rPr>
                <w:sz w:val="24"/>
                <w:szCs w:val="24"/>
                <w:color w:val="auto"/>
              </w:rPr>
            </w:pPr>
          </w:p>
        </w:tc>
        <w:tc>
          <w:tcPr>
            <w:tcW w:w="16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F-48</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0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Additional Information - Condensed Financial Statements of the Company (Continued)</w:t>
      </w:r>
    </w:p>
    <w:p>
      <w:pPr>
        <w:spacing w:after="0" w:line="22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Condensed Financial Information of the Company</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000" w:type="dxa"/>
            <w:vAlign w:val="bottom"/>
          </w:tcPr>
          <w:p>
            <w:pPr>
              <w:spacing w:after="0"/>
              <w:rPr>
                <w:sz w:val="12"/>
                <w:szCs w:val="12"/>
                <w:color w:val="auto"/>
              </w:rPr>
            </w:pPr>
          </w:p>
        </w:tc>
        <w:tc>
          <w:tcPr>
            <w:tcW w:w="1360" w:type="dxa"/>
            <w:vAlign w:val="bottom"/>
            <w:tcBorders>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Pr>
          <w:p>
            <w:pPr>
              <w:spacing w:after="0"/>
              <w:rPr>
                <w:sz w:val="12"/>
                <w:szCs w:val="12"/>
                <w:color w:val="auto"/>
              </w:rPr>
            </w:pPr>
          </w:p>
        </w:tc>
        <w:tc>
          <w:tcPr>
            <w:tcW w:w="136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2"/>
                <w:szCs w:val="12"/>
                <w:color w:val="auto"/>
              </w:rPr>
            </w:pPr>
          </w:p>
        </w:tc>
        <w:tc>
          <w:tcPr>
            <w:tcW w:w="1380" w:type="dxa"/>
            <w:vAlign w:val="bottom"/>
            <w:tcBorders>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50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300" w:type="dxa"/>
            <w:vAlign w:val="bottom"/>
          </w:tcPr>
          <w:p>
            <w:pPr>
              <w:spacing w:after="0"/>
              <w:rPr>
                <w:sz w:val="12"/>
                <w:szCs w:val="12"/>
                <w:color w:val="auto"/>
              </w:rPr>
            </w:pPr>
          </w:p>
        </w:tc>
        <w:tc>
          <w:tcPr>
            <w:tcW w:w="1360" w:type="dxa"/>
            <w:vAlign w:val="bottom"/>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jc w:val="right"/>
              <w:ind w:right="477"/>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27,590</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(8,754)</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(2,323)</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w:t>
            </w:r>
          </w:p>
        </w:tc>
      </w:tr>
      <w:tr>
        <w:trPr>
          <w:trHeight w:val="196"/>
        </w:trPr>
        <w:tc>
          <w:tcPr>
            <w:tcW w:w="5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Placement of term deposits and short term investments</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(335,493)</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(83,854)</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Maturity of term deposits and short term investments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386,427</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83,854</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12,077</w:t>
            </w:r>
          </w:p>
        </w:tc>
      </w:tr>
    </w:tbl>
    <w:p>
      <w:pPr>
        <w:sectPr>
          <w:pgSz w:w="11900" w:h="16838" w:orient="portrait"/>
          <w:cols w:equalWidth="0" w:num="1">
            <w:col w:w="11460"/>
          </w:cols>
          <w:pgMar w:left="240" w:top="140" w:right="199" w:bottom="0" w:gutter="0" w:footer="0" w:header="0"/>
        </w:sectPr>
      </w:pPr>
    </w:p>
    <w:bookmarkStart w:id="133" w:name="page134"/>
    <w:bookmarkEnd w:id="1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Investments in available-for-sale investments</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(36,810)</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(352,008)</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convertible loans to a related party</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(228,280)</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(32,879)</w:t>
            </w:r>
          </w:p>
        </w:tc>
        <w:tc>
          <w:tcPr>
            <w:tcW w:w="40" w:type="dxa"/>
            <w:vAlign w:val="bottom"/>
          </w:tcPr>
          <w:p>
            <w:pPr>
              <w:spacing w:after="0"/>
              <w:rPr>
                <w:sz w:val="18"/>
                <w:szCs w:val="18"/>
                <w:color w:val="auto"/>
              </w:rPr>
            </w:pPr>
          </w:p>
        </w:tc>
      </w:tr>
      <w:tr>
        <w:trPr>
          <w:trHeight w:val="216"/>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Loans provided to a related party</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(45,865)</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(6,606)</w:t>
            </w:r>
          </w:p>
        </w:tc>
        <w:tc>
          <w:tcPr>
            <w:tcW w:w="40" w:type="dxa"/>
            <w:vAlign w:val="bottom"/>
          </w:tcPr>
          <w:p>
            <w:pPr>
              <w:spacing w:after="0"/>
              <w:rPr>
                <w:sz w:val="18"/>
                <w:szCs w:val="18"/>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in investments using equity accounting</w:t>
            </w:r>
          </w:p>
        </w:tc>
        <w:tc>
          <w:tcPr>
            <w:tcW w:w="1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(69,365)</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(35,757)</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(3,554)</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(512)</w:t>
            </w:r>
          </w:p>
        </w:tc>
        <w:tc>
          <w:tcPr>
            <w:tcW w:w="40" w:type="dxa"/>
            <w:vAlign w:val="bottom"/>
          </w:tcPr>
          <w:p>
            <w:pPr>
              <w:spacing w:after="0"/>
              <w:rPr>
                <w:sz w:val="18"/>
                <w:szCs w:val="18"/>
                <w:color w:val="auto"/>
              </w:rPr>
            </w:pPr>
          </w:p>
        </w:tc>
      </w:tr>
      <w:tr>
        <w:trPr>
          <w:trHeight w:val="210"/>
        </w:trPr>
        <w:tc>
          <w:tcPr>
            <w:tcW w:w="5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(55,241)</w:t>
            </w:r>
          </w:p>
        </w:tc>
        <w:tc>
          <w:tcPr>
            <w:tcW w:w="30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(471,619)</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(193,845)</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5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Borrowings from subsidiaries an VIEs</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13,867</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212,435</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212,441</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30,598</w:t>
            </w:r>
          </w:p>
        </w:tc>
        <w:tc>
          <w:tcPr>
            <w:tcW w:w="40" w:type="dxa"/>
            <w:vAlign w:val="bottom"/>
          </w:tcPr>
          <w:p>
            <w:pPr>
              <w:spacing w:after="0"/>
              <w:rPr>
                <w:sz w:val="18"/>
                <w:szCs w:val="18"/>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8,756</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6,944</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2,436</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w:t>
            </w:r>
          </w:p>
        </w:tc>
        <w:tc>
          <w:tcPr>
            <w:tcW w:w="40" w:type="dxa"/>
            <w:vAlign w:val="bottom"/>
          </w:tcPr>
          <w:p>
            <w:pPr>
              <w:spacing w:after="0"/>
              <w:rPr>
                <w:sz w:val="18"/>
                <w:szCs w:val="18"/>
                <w:color w:val="auto"/>
              </w:rPr>
            </w:pPr>
          </w:p>
        </w:tc>
      </w:tr>
      <w:tr>
        <w:trPr>
          <w:trHeight w:val="216"/>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(242,500)</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(66,417)</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0"/>
        </w:trPr>
        <w:tc>
          <w:tcPr>
            <w:tcW w:w="50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in)/provided by financing activities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(219,877)</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152,962</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214,877</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(decrease)/increase in cash and cash equivalents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(247,528)</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(327,411)</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18,709</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beginning of the year</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588,961</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341,433</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14,022</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2,020</w:t>
            </w:r>
          </w:p>
        </w:tc>
        <w:tc>
          <w:tcPr>
            <w:tcW w:w="40" w:type="dxa"/>
            <w:vAlign w:val="bottom"/>
          </w:tcPr>
          <w:p>
            <w:pPr>
              <w:spacing w:after="0"/>
              <w:rPr>
                <w:sz w:val="18"/>
                <w:szCs w:val="18"/>
                <w:color w:val="auto"/>
              </w:rPr>
            </w:pP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year</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341,433</w:t>
            </w:r>
          </w:p>
        </w:tc>
        <w:tc>
          <w:tcPr>
            <w:tcW w:w="3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14,022</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32,731</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5000" w:type="dxa"/>
            <w:vAlign w:val="bottom"/>
          </w:tcPr>
          <w:p>
            <w:pPr>
              <w:spacing w:after="0"/>
              <w:rPr>
                <w:sz w:val="24"/>
                <w:szCs w:val="24"/>
                <w:color w:val="auto"/>
              </w:rPr>
            </w:pPr>
          </w:p>
        </w:tc>
        <w:tc>
          <w:tcPr>
            <w:tcW w:w="16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F-49</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0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34" w:name="page135"/>
    <w:bookmarkEnd w:id="134"/>
    <w:p>
      <w:pPr>
        <w:spacing w:after="0" w:line="62" w:lineRule="exact"/>
        <w:rPr>
          <w:sz w:val="20"/>
          <w:szCs w:val="20"/>
          <w:color w:val="auto"/>
        </w:rPr>
      </w:pPr>
    </w:p>
    <w:p>
      <w:pPr>
        <w:ind w:left="10480"/>
        <w:spacing w:after="0"/>
        <w:rPr>
          <w:sz w:val="20"/>
          <w:szCs w:val="20"/>
          <w:color w:val="auto"/>
        </w:rPr>
      </w:pPr>
      <w:r>
        <w:rPr>
          <w:rFonts w:ascii="Times New Roman" w:cs="Times New Roman" w:eastAsia="Times New Roman" w:hAnsi="Times New Roman"/>
          <w:sz w:val="18"/>
          <w:szCs w:val="18"/>
          <w:b w:val="1"/>
          <w:bCs w:val="1"/>
          <w:color w:val="auto"/>
        </w:rPr>
        <w:t>Exhibit 4.38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of Material Differences between:</w:t>
      </w:r>
    </w:p>
    <w:p>
      <w:pPr>
        <w:spacing w:after="0" w:line="229" w:lineRule="exact"/>
        <w:rPr>
          <w:sz w:val="20"/>
          <w:szCs w:val="20"/>
          <w:color w:val="auto"/>
        </w:rPr>
      </w:pPr>
    </w:p>
    <w:p>
      <w:pPr>
        <w:ind w:left="640" w:right="540" w:hanging="256"/>
        <w:spacing w:after="0" w:line="266" w:lineRule="auto"/>
        <w:tabs>
          <w:tab w:leader="none" w:pos="60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Cooperation Agreement, dated as of February 14, 2011, between China Mobile Communications Corporation and Beijing Tianying Jiuzhou Network Technology Co., Ltd. entered into in 2011, filed as Exhibit 10.25 to the Registration Statement on Form F-1 (File No. 333-173666) (“Cooperation Agreement 2011”),</w:t>
      </w:r>
    </w:p>
    <w:p>
      <w:pPr>
        <w:spacing w:after="0" w:line="176" w:lineRule="exact"/>
        <w:rPr>
          <w:rFonts w:ascii="Times New Roman" w:cs="Times New Roman" w:eastAsia="Times New Roman" w:hAnsi="Times New Roman"/>
          <w:sz w:val="18"/>
          <w:szCs w:val="18"/>
          <w:color w:val="auto"/>
        </w:rPr>
      </w:pPr>
    </w:p>
    <w:p>
      <w:pPr>
        <w:ind w:left="640" w:right="160" w:hanging="256"/>
        <w:spacing w:after="0" w:line="282" w:lineRule="auto"/>
        <w:tabs>
          <w:tab w:leader="none" w:pos="60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Cooperation Agreement, dated as of June 20, 2014, between China Mobile Communications Corporation and Beijing Tianying Jiuzhou Network Technology Co., Ltd. entered into in 2014 (“Cooperation Agreement 2014”),</w:t>
      </w:r>
    </w:p>
    <w:p>
      <w:pPr>
        <w:spacing w:after="0" w:line="161" w:lineRule="exact"/>
        <w:rPr>
          <w:rFonts w:ascii="Times New Roman" w:cs="Times New Roman" w:eastAsia="Times New Roman" w:hAnsi="Times New Roman"/>
          <w:sz w:val="18"/>
          <w:szCs w:val="18"/>
          <w:color w:val="auto"/>
        </w:rPr>
      </w:pPr>
    </w:p>
    <w:p>
      <w:pPr>
        <w:ind w:left="640" w:right="400" w:hanging="256"/>
        <w:spacing w:after="0" w:line="282" w:lineRule="auto"/>
        <w:tabs>
          <w:tab w:leader="none" w:pos="60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Cooperation Agreement, dated as of September 16, 2015, between China Mobile Communications Corporation and Beijing Tianying Jiuzhou Network Technology Co., Ltd. entered into in 2015 (“Cooperation Agreement 2015”), and</w:t>
      </w:r>
    </w:p>
    <w:p>
      <w:pPr>
        <w:spacing w:after="0" w:line="161" w:lineRule="exact"/>
        <w:rPr>
          <w:rFonts w:ascii="Times New Roman" w:cs="Times New Roman" w:eastAsia="Times New Roman" w:hAnsi="Times New Roman"/>
          <w:sz w:val="18"/>
          <w:szCs w:val="18"/>
          <w:color w:val="auto"/>
        </w:rPr>
      </w:pPr>
    </w:p>
    <w:p>
      <w:pPr>
        <w:ind w:left="640" w:right="620" w:hanging="256"/>
        <w:spacing w:after="0" w:line="282" w:lineRule="auto"/>
        <w:tabs>
          <w:tab w:leader="none" w:pos="60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Cooperation Agreement, dated as of January 16, 2017, between China Mobile Communications Corporation and Beijing Tianying Jiuzhou Network Technology Co., Ltd. entered into in 2017 and as to 2016 and 2017 (“Cooperation Agreement 2016”).</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5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Material difference</w:t>
            </w:r>
          </w:p>
        </w:tc>
        <w:tc>
          <w:tcPr>
            <w:tcW w:w="160" w:type="dxa"/>
            <w:vAlign w:val="bottom"/>
          </w:tcPr>
          <w:p>
            <w:pPr>
              <w:spacing w:after="0"/>
              <w:rPr>
                <w:sz w:val="13"/>
                <w:szCs w:val="13"/>
                <w:color w:val="auto"/>
              </w:rPr>
            </w:pPr>
          </w:p>
        </w:tc>
        <w:tc>
          <w:tcPr>
            <w:tcW w:w="246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Cooperation Agreement 2011</w:t>
            </w:r>
          </w:p>
        </w:tc>
        <w:tc>
          <w:tcPr>
            <w:tcW w:w="248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Cooperation Agreement 2014</w:t>
            </w:r>
          </w:p>
        </w:tc>
        <w:tc>
          <w:tcPr>
            <w:tcW w:w="248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Cooperation Agreement 2015</w:t>
            </w:r>
          </w:p>
        </w:tc>
        <w:tc>
          <w:tcPr>
            <w:tcW w:w="234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Cooperation Agreement 2016</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3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3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3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14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Article 1. Content of</w:t>
            </w:r>
          </w:p>
        </w:tc>
        <w:tc>
          <w:tcPr>
            <w:tcW w:w="2620" w:type="dxa"/>
            <w:vAlign w:val="bottom"/>
            <w:gridSpan w:val="3"/>
            <w:shd w:val="clear" w:color="auto" w:fill="CCEEFF"/>
          </w:tcPr>
          <w:p>
            <w:pPr>
              <w:ind w:left="160"/>
              <w:spacing w:after="0" w:line="117" w:lineRule="exact"/>
              <w:rPr>
                <w:sz w:val="20"/>
                <w:szCs w:val="20"/>
                <w:color w:val="auto"/>
              </w:rPr>
            </w:pPr>
            <w:r>
              <w:rPr>
                <w:rFonts w:ascii="Times New Roman" w:cs="Times New Roman" w:eastAsia="Times New Roman" w:hAnsi="Times New Roman"/>
                <w:sz w:val="13"/>
                <w:szCs w:val="13"/>
                <w:color w:val="auto"/>
              </w:rPr>
              <w:t>“Party B agrees to produce solely for Party A</w:t>
            </w:r>
          </w:p>
        </w:tc>
        <w:tc>
          <w:tcPr>
            <w:tcW w:w="248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“Party B agrees to produce solely for Party A</w:t>
            </w:r>
          </w:p>
        </w:tc>
        <w:tc>
          <w:tcPr>
            <w:tcW w:w="248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“Details on the content of cooperation</w:t>
            </w:r>
          </w:p>
        </w:tc>
        <w:tc>
          <w:tcPr>
            <w:tcW w:w="23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N/A — This article remains the same as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Cooperation — Section 1.1</w:t>
            </w: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three kinds of multimedia message products</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two kinds of multimedia message products</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provided by Party B to Party A are as set out</w:t>
            </w:r>
          </w:p>
        </w:tc>
        <w:tc>
          <w:tcPr>
            <w:tcW w:w="2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Cooperation Agreement 2015.: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namely ‘GoTone Phoenix Weekly’, ‘GoTone</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namely ‘GoTone Phoenix Weekly’ and</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 the scheduled Party A Project</w:t>
            </w:r>
          </w:p>
        </w:tc>
        <w:tc>
          <w:tcPr>
            <w:tcW w:w="2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“Details on the content of cooperation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Phoenix Observer’, and ‘Phoenix Express’</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‘GoTone Phoenix Observer’ based on the</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Specifications (Schedule II) and Party B’s</w:t>
            </w:r>
          </w:p>
        </w:tc>
        <w:tc>
          <w:tcPr>
            <w:tcW w:w="2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w w:val="99"/>
              </w:rPr>
              <w:t>provided by Party B to Party A are as set out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based on the programs of Phoenix Satellite</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programs of Phoenix Satellite TV. Among</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responses.”</w:t>
            </w:r>
          </w:p>
        </w:tc>
        <w:tc>
          <w:tcPr>
            <w:tcW w:w="2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 the scheduled Party A Project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TV. Among which, one ‘GoTone Phoenix</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which, one ‘GoTone Phoenix Weekly’</w:t>
            </w: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Specifications (Schedule II) and Party B’s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Observer’ message will be transmitted on a</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message will be transmitted on Monday,</w:t>
            </w: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responses.”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daily basis (excluding Saturday), one</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Wednesday, and Saturday each, two “GoTone</w:t>
            </w: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‘GoTone Phoenix Weekly’ message will be</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Phoenix Observer” message will be</w:t>
            </w: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transmitted on each Saturday, and three</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transmitted on a daily basis.”</w:t>
            </w: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‘Phoenix Express’ messages will be</w:t>
            </w: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transmitted irregularly in each month.”</w:t>
            </w:r>
          </w:p>
        </w:tc>
        <w:tc>
          <w:tcPr>
            <w:tcW w:w="2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sectPr>
          <w:pgSz w:w="11900" w:h="16900" w:orient="portrait"/>
          <w:cols w:equalWidth="0" w:num="1">
            <w:col w:w="11460"/>
          </w:cols>
          <w:pgMar w:left="240" w:top="117" w:right="199" w:bottom="0" w:gutter="0" w:footer="0" w:header="0"/>
        </w:sectPr>
      </w:pPr>
    </w:p>
    <w:p>
      <w:pPr>
        <w:spacing w:after="0"/>
        <w:tabs>
          <w:tab w:leader="none" w:pos="1640" w:val="left"/>
        </w:tabs>
        <w:rPr>
          <w:sz w:val="20"/>
          <w:szCs w:val="20"/>
          <w:color w:val="auto"/>
        </w:rPr>
      </w:pPr>
      <w:r>
        <w:rPr>
          <w:rFonts w:ascii="Times New Roman" w:cs="Times New Roman" w:eastAsia="Times New Roman" w:hAnsi="Times New Roman"/>
          <w:sz w:val="13"/>
          <w:szCs w:val="13"/>
          <w:color w:val="auto"/>
        </w:rPr>
        <w:t>Article 1. Content of</w:t>
      </w:r>
      <w:r>
        <w:rPr>
          <w:sz w:val="20"/>
          <w:szCs w:val="20"/>
          <w:color w:val="auto"/>
        </w:rPr>
        <w:tab/>
      </w:r>
      <w:r>
        <w:rPr>
          <w:rFonts w:ascii="Times New Roman" w:cs="Times New Roman" w:eastAsia="Times New Roman" w:hAnsi="Times New Roman"/>
          <w:sz w:val="12"/>
          <w:szCs w:val="12"/>
          <w:color w:val="auto"/>
        </w:rPr>
        <w:t>“Party B agrees that Party A shall have the</w:t>
      </w:r>
    </w:p>
    <w:p>
      <w:pPr>
        <w:spacing w:after="0" w:line="234" w:lineRule="auto"/>
        <w:tabs>
          <w:tab w:leader="none" w:pos="1640" w:val="left"/>
        </w:tabs>
        <w:rPr>
          <w:sz w:val="20"/>
          <w:szCs w:val="20"/>
          <w:color w:val="auto"/>
        </w:rPr>
      </w:pPr>
      <w:r>
        <w:rPr>
          <w:rFonts w:ascii="Times New Roman" w:cs="Times New Roman" w:eastAsia="Times New Roman" w:hAnsi="Times New Roman"/>
          <w:sz w:val="13"/>
          <w:szCs w:val="13"/>
          <w:color w:val="auto"/>
        </w:rPr>
        <w:t>Cooperation — Section 1.2</w:t>
      </w:r>
      <w:r>
        <w:rPr>
          <w:sz w:val="20"/>
          <w:szCs w:val="20"/>
          <w:color w:val="auto"/>
        </w:rPr>
        <w:tab/>
      </w:r>
      <w:r>
        <w:rPr>
          <w:rFonts w:ascii="Times New Roman" w:cs="Times New Roman" w:eastAsia="Times New Roman" w:hAnsi="Times New Roman"/>
          <w:sz w:val="12"/>
          <w:szCs w:val="12"/>
          <w:color w:val="auto"/>
        </w:rPr>
        <w:t>right to purchase the multimedia message</w:t>
      </w:r>
    </w:p>
    <w:p>
      <w:pPr>
        <w:ind w:left="1660"/>
        <w:spacing w:after="0" w:line="217" w:lineRule="auto"/>
        <w:rPr>
          <w:sz w:val="20"/>
          <w:szCs w:val="20"/>
          <w:color w:val="auto"/>
        </w:rPr>
      </w:pPr>
      <w:r>
        <w:rPr>
          <w:rFonts w:ascii="Times New Roman" w:cs="Times New Roman" w:eastAsia="Times New Roman" w:hAnsi="Times New Roman"/>
          <w:sz w:val="13"/>
          <w:szCs w:val="13"/>
          <w:color w:val="auto"/>
        </w:rPr>
        <w:t>products produced by Party B solely for</w:t>
      </w:r>
    </w:p>
    <w:p>
      <w:pPr>
        <w:ind w:left="1660"/>
        <w:spacing w:after="0"/>
        <w:rPr>
          <w:sz w:val="20"/>
          <w:szCs w:val="20"/>
          <w:color w:val="auto"/>
        </w:rPr>
      </w:pPr>
      <w:r>
        <w:rPr>
          <w:rFonts w:ascii="Times New Roman" w:cs="Times New Roman" w:eastAsia="Times New Roman" w:hAnsi="Times New Roman"/>
          <w:sz w:val="13"/>
          <w:szCs w:val="13"/>
          <w:color w:val="auto"/>
        </w:rPr>
        <w:t>Party A pursuant to Section 1.1 hereof.</w:t>
      </w:r>
    </w:p>
    <w:p>
      <w:pPr>
        <w:spacing w:after="0" w:line="107" w:lineRule="exact"/>
        <w:rPr>
          <w:sz w:val="20"/>
          <w:szCs w:val="20"/>
          <w:color w:val="auto"/>
        </w:rPr>
      </w:pPr>
    </w:p>
    <w:p>
      <w:pPr>
        <w:ind w:left="1660"/>
        <w:spacing w:after="0" w:line="242" w:lineRule="auto"/>
        <w:rPr>
          <w:sz w:val="20"/>
          <w:szCs w:val="20"/>
          <w:color w:val="auto"/>
        </w:rPr>
      </w:pPr>
      <w:r>
        <w:rPr>
          <w:rFonts w:ascii="Times New Roman" w:cs="Times New Roman" w:eastAsia="Times New Roman" w:hAnsi="Times New Roman"/>
          <w:sz w:val="12"/>
          <w:szCs w:val="12"/>
          <w:color w:val="auto"/>
        </w:rPr>
        <w:t>If changes to such multimedia message products are required, which changes include but not limited to changes to the title, content and delivery frequency of such multimedia message products, such changes may be carried out upon mutual agreement and written confirmation of the Parties.</w:t>
      </w:r>
    </w:p>
    <w:p>
      <w:pPr>
        <w:spacing w:after="0" w:line="106" w:lineRule="exact"/>
        <w:rPr>
          <w:sz w:val="20"/>
          <w:szCs w:val="20"/>
          <w:color w:val="auto"/>
        </w:rPr>
      </w:pPr>
    </w:p>
    <w:p>
      <w:pPr>
        <w:ind w:left="1660" w:right="140"/>
        <w:spacing w:after="0" w:line="228" w:lineRule="auto"/>
        <w:rPr>
          <w:sz w:val="20"/>
          <w:szCs w:val="20"/>
          <w:color w:val="auto"/>
        </w:rPr>
      </w:pPr>
      <w:r>
        <w:rPr>
          <w:rFonts w:ascii="Times New Roman" w:cs="Times New Roman" w:eastAsia="Times New Roman" w:hAnsi="Times New Roman"/>
          <w:sz w:val="13"/>
          <w:szCs w:val="13"/>
          <w:color w:val="auto"/>
        </w:rPr>
        <w:t>Party B covenants that it shall not provide, with or without consideration, such multimedia message products to any third party other than Party A.”</w:t>
      </w:r>
    </w:p>
    <w:p>
      <w:pPr>
        <w:spacing w:after="0" w:line="20" w:lineRule="exact"/>
        <w:rPr>
          <w:sz w:val="20"/>
          <w:szCs w:val="20"/>
          <w:color w:val="auto"/>
        </w:rPr>
      </w:pPr>
      <w:r>
        <w:rPr>
          <w:sz w:val="20"/>
          <w:szCs w:val="20"/>
          <w:color w:val="auto"/>
        </w:rPr>
        <w:br w:type="column"/>
      </w:r>
    </w:p>
    <w:p>
      <w:pPr>
        <w:ind w:right="80"/>
        <w:spacing w:after="0" w:line="250" w:lineRule="auto"/>
        <w:rPr>
          <w:sz w:val="20"/>
          <w:szCs w:val="20"/>
          <w:color w:val="auto"/>
        </w:rPr>
      </w:pPr>
      <w:r>
        <w:rPr>
          <w:rFonts w:ascii="Times New Roman" w:cs="Times New Roman" w:eastAsia="Times New Roman" w:hAnsi="Times New Roman"/>
          <w:sz w:val="12"/>
          <w:szCs w:val="12"/>
          <w:color w:val="auto"/>
        </w:rPr>
        <w:t>“ Party B agrees that Party A shall have the right to purchase the multimedia message products produced by Party B solely for Party A pursuant to Section 1.1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-353060</wp:posOffset>
            </wp:positionV>
            <wp:extent cx="7246620" cy="25730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2573020"/>
                    </a:xfrm>
                    <a:prstGeom prst="rect">
                      <a:avLst/>
                    </a:prstGeom>
                    <a:noFill/>
                  </pic:spPr>
                </pic:pic>
              </a:graphicData>
            </a:graphic>
          </wp:anchor>
        </w:drawing>
      </w:r>
    </w:p>
    <w:p>
      <w:pPr>
        <w:spacing w:after="0" w:line="80"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3"/>
          <w:szCs w:val="13"/>
          <w:color w:val="auto"/>
        </w:rPr>
        <w:t>Party B covenants that (1) it shall not provide, with or without consideration, such multimedia message products to any third party other than Party A; and (2) it shall not use such multimedia message products in its own name, unless such use if for the purpose of this Agreement.”</w:t>
      </w:r>
    </w:p>
    <w:p>
      <w:pPr>
        <w:spacing w:after="0" w:line="20" w:lineRule="exact"/>
        <w:rPr>
          <w:sz w:val="20"/>
          <w:szCs w:val="20"/>
          <w:color w:val="auto"/>
        </w:rPr>
      </w:pPr>
      <w:r>
        <w:rPr>
          <w:sz w:val="20"/>
          <w:szCs w:val="20"/>
          <w:color w:val="auto"/>
        </w:rPr>
        <w:br w:type="column"/>
      </w:r>
    </w:p>
    <w:p>
      <w:pPr>
        <w:ind w:left="1" w:right="60"/>
        <w:spacing w:after="0" w:line="246" w:lineRule="auto"/>
        <w:rPr>
          <w:sz w:val="20"/>
          <w:szCs w:val="20"/>
          <w:color w:val="auto"/>
        </w:rPr>
      </w:pPr>
      <w:r>
        <w:rPr>
          <w:rFonts w:ascii="Times New Roman" w:cs="Times New Roman" w:eastAsia="Times New Roman" w:hAnsi="Times New Roman"/>
          <w:sz w:val="12"/>
          <w:szCs w:val="12"/>
          <w:color w:val="auto"/>
        </w:rPr>
        <w:t>“The information service cooperation period for ‘GoTone Phoenix Mobile Newspaper’ during 2015 is between January 1 and December 31. The time limits for other contents of cooperation are as set out below:</w:t>
      </w:r>
    </w:p>
    <w:p>
      <w:pPr>
        <w:spacing w:after="0" w:line="103" w:lineRule="exact"/>
        <w:rPr>
          <w:sz w:val="20"/>
          <w:szCs w:val="20"/>
          <w:color w:val="auto"/>
        </w:rPr>
      </w:pPr>
    </w:p>
    <w:p>
      <w:pPr>
        <w:ind w:left="1" w:right="100" w:hanging="1"/>
        <w:spacing w:after="0" w:line="224" w:lineRule="auto"/>
        <w:tabs>
          <w:tab w:leader="none" w:pos="180"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Phase I service period: from the date the contract is signed through December 31, 2015;</w:t>
      </w:r>
    </w:p>
    <w:p>
      <w:pPr>
        <w:ind w:left="1" w:hanging="1"/>
        <w:spacing w:after="0" w:line="234" w:lineRule="auto"/>
        <w:tabs>
          <w:tab w:leader="none" w:pos="180"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Phase II service period: if the fiscal year 2016 connected transactions between Party A and Party B are approved by the shareholders of Party B’s parent (Phoenix Satellite Television Holdings Limited) at the shareholders’ general meeting, the Phase II service period will begin from the later of</w:t>
      </w:r>
    </w:p>
    <w:p>
      <w:pPr>
        <w:spacing w:after="0" w:line="3" w:lineRule="exact"/>
        <w:rPr>
          <w:rFonts w:ascii="Times New Roman" w:cs="Times New Roman" w:eastAsia="Times New Roman" w:hAnsi="Times New Roman"/>
          <w:sz w:val="12"/>
          <w:szCs w:val="12"/>
          <w:color w:val="auto"/>
        </w:rPr>
      </w:pPr>
    </w:p>
    <w:p>
      <w:pPr>
        <w:jc w:val="both"/>
        <w:ind w:left="1" w:right="20"/>
        <w:spacing w:after="0" w:line="21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(i) the date of such approval or (ii) January 1, 2016; and the total length of the Phases I and II service periods will be one year;</w:t>
      </w:r>
    </w:p>
    <w:p>
      <w:pPr>
        <w:spacing w:after="0" w:line="1" w:lineRule="exact"/>
        <w:rPr>
          <w:rFonts w:ascii="Times New Roman" w:cs="Times New Roman" w:eastAsia="Times New Roman" w:hAnsi="Times New Roman"/>
          <w:sz w:val="12"/>
          <w:szCs w:val="12"/>
          <w:color w:val="auto"/>
        </w:rPr>
      </w:pPr>
    </w:p>
    <w:p>
      <w:pPr>
        <w:ind w:left="1" w:hanging="1"/>
        <w:spacing w:after="0" w:line="219" w:lineRule="auto"/>
        <w:tabs>
          <w:tab w:leader="none" w:pos="180"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that the fiscal year 2016 connected transactions between Party A and Party B are not approved by the shareholders of Party B’s parent (Phoenix Satellite Television Holdings Limited) at the shareholders’ general meeting, this contract shall terminate; and the two parties will settle payments with respect to the service contents completed during the Phase I service period on the basis of the actual extent of completion.”</w:t>
      </w:r>
    </w:p>
    <w:p>
      <w:pPr>
        <w:spacing w:after="0" w:line="20" w:lineRule="exact"/>
        <w:rPr>
          <w:sz w:val="20"/>
          <w:szCs w:val="20"/>
          <w:color w:val="auto"/>
        </w:rPr>
      </w:pPr>
      <w:r>
        <w:rPr>
          <w:sz w:val="20"/>
          <w:szCs w:val="20"/>
          <w:color w:val="auto"/>
        </w:rPr>
        <w:br w:type="column"/>
      </w:r>
    </w:p>
    <w:p>
      <w:pPr>
        <w:ind w:right="60"/>
        <w:spacing w:after="0" w:line="222" w:lineRule="auto"/>
        <w:rPr>
          <w:sz w:val="20"/>
          <w:szCs w:val="20"/>
          <w:color w:val="auto"/>
        </w:rPr>
      </w:pPr>
      <w:r>
        <w:rPr>
          <w:rFonts w:ascii="Times New Roman" w:cs="Times New Roman" w:eastAsia="Times New Roman" w:hAnsi="Times New Roman"/>
          <w:sz w:val="13"/>
          <w:szCs w:val="13"/>
          <w:color w:val="auto"/>
        </w:rPr>
        <w:t>“The information service cooperation period for ‘GoTone Phoenix Mobile Newspaper’ during 2015 is between January 1, 2016 and April 30, 2017. The time limits for other contents of cooperation are between the date on which this agreement is signed January 16, 2017 and April 30, 2017 (for details of the contents of cooperation, see the Project Specifications in the schedules).”</w:t>
      </w:r>
    </w:p>
    <w:p>
      <w:pPr>
        <w:spacing w:after="0" w:line="2927" w:lineRule="exact"/>
        <w:rPr>
          <w:sz w:val="20"/>
          <w:szCs w:val="20"/>
          <w:color w:val="auto"/>
        </w:rPr>
      </w:pPr>
    </w:p>
    <w:p>
      <w:pPr>
        <w:sectPr>
          <w:pgSz w:w="11900" w:h="16900" w:orient="portrait"/>
          <w:cols w:equalWidth="0" w:num="4">
            <w:col w:w="3940" w:space="180"/>
            <w:col w:w="2280" w:space="199"/>
            <w:col w:w="2301" w:space="180"/>
            <w:col w:w="2380"/>
          </w:cols>
          <w:pgMar w:left="240" w:top="117" w:right="19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Article 1. Content of</w:t>
            </w:r>
          </w:p>
        </w:tc>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“Party B agrees that during the period of</w:t>
            </w:r>
          </w:p>
        </w:tc>
        <w:tc>
          <w:tcPr>
            <w:tcW w:w="2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N/A — this article is deleted</w:t>
            </w:r>
          </w:p>
        </w:tc>
        <w:tc>
          <w:tcPr>
            <w:tcW w:w="2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N/A — this article is deleted; all content of</w:t>
            </w:r>
          </w:p>
        </w:tc>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N/A — this article is deleted; all content of</w:t>
            </w:r>
          </w:p>
        </w:tc>
        <w:tc>
          <w:tcPr>
            <w:tcW w:w="40" w:type="dxa"/>
            <w:vAlign w:val="bottom"/>
          </w:tcPr>
          <w:p>
            <w:pPr>
              <w:spacing w:after="0"/>
              <w:rPr>
                <w:sz w:val="12"/>
                <w:szCs w:val="12"/>
                <w:color w:val="auto"/>
              </w:rPr>
            </w:pPr>
          </w:p>
        </w:tc>
      </w:tr>
      <w:tr>
        <w:trPr>
          <w:trHeight w:val="135"/>
        </w:trPr>
        <w:tc>
          <w:tcPr>
            <w:tcW w:w="15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Cooperation — Section 1.3</w:t>
            </w:r>
          </w:p>
        </w:tc>
        <w:tc>
          <w:tcPr>
            <w:tcW w:w="25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w w:val="99"/>
              </w:rPr>
              <w:t>cooperation, both Parties shall jointly explore</w:t>
            </w:r>
          </w:p>
        </w:tc>
        <w:tc>
          <w:tcPr>
            <w:tcW w:w="2040" w:type="dxa"/>
            <w:vAlign w:val="bottom"/>
            <w:shd w:val="clear" w:color="auto" w:fill="CCEEFF"/>
          </w:tcPr>
          <w:p>
            <w:pPr>
              <w:spacing w:after="0"/>
              <w:rPr>
                <w:sz w:val="11"/>
                <w:szCs w:val="11"/>
                <w:color w:val="auto"/>
              </w:rPr>
            </w:pPr>
          </w:p>
        </w:tc>
        <w:tc>
          <w:tcPr>
            <w:tcW w:w="2860" w:type="dxa"/>
            <w:vAlign w:val="bottom"/>
            <w:shd w:val="clear" w:color="auto" w:fill="CCEEFF"/>
          </w:tcPr>
          <w:p>
            <w:pPr>
              <w:ind w:left="520"/>
              <w:spacing w:after="0" w:line="135" w:lineRule="exact"/>
              <w:rPr>
                <w:sz w:val="20"/>
                <w:szCs w:val="20"/>
                <w:color w:val="auto"/>
              </w:rPr>
            </w:pPr>
            <w:r>
              <w:rPr>
                <w:rFonts w:ascii="Times New Roman" w:cs="Times New Roman" w:eastAsia="Times New Roman" w:hAnsi="Times New Roman"/>
                <w:sz w:val="13"/>
                <w:szCs w:val="13"/>
                <w:color w:val="auto"/>
              </w:rPr>
              <w:t>cooperation is consolidated under</w:t>
            </w:r>
          </w:p>
        </w:tc>
        <w:tc>
          <w:tcPr>
            <w:tcW w:w="248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w w:val="96"/>
              </w:rPr>
              <w:t>cooperation is consolidated under Section 2.2,</w:t>
            </w:r>
          </w:p>
        </w:tc>
        <w:tc>
          <w:tcPr>
            <w:tcW w:w="40" w:type="dxa"/>
            <w:vAlign w:val="bottom"/>
          </w:tcPr>
          <w:p>
            <w:pPr>
              <w:spacing w:after="0"/>
              <w:rPr>
                <w:sz w:val="11"/>
                <w:szCs w:val="11"/>
                <w:color w:val="auto"/>
              </w:rPr>
            </w:pPr>
          </w:p>
        </w:tc>
      </w:tr>
      <w:tr>
        <w:trPr>
          <w:trHeight w:val="135"/>
        </w:trPr>
        <w:tc>
          <w:tcPr>
            <w:tcW w:w="15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 2011)</w:t>
            </w:r>
          </w:p>
        </w:tc>
        <w:tc>
          <w:tcPr>
            <w:tcW w:w="25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the wireless ad business on the basis of the</w:t>
            </w:r>
          </w:p>
        </w:tc>
        <w:tc>
          <w:tcPr>
            <w:tcW w:w="2040" w:type="dxa"/>
            <w:vAlign w:val="bottom"/>
            <w:shd w:val="clear" w:color="auto" w:fill="CCEEFF"/>
          </w:tcPr>
          <w:p>
            <w:pPr>
              <w:spacing w:after="0"/>
              <w:rPr>
                <w:sz w:val="11"/>
                <w:szCs w:val="11"/>
                <w:color w:val="auto"/>
              </w:rPr>
            </w:pPr>
          </w:p>
        </w:tc>
        <w:tc>
          <w:tcPr>
            <w:tcW w:w="2860" w:type="dxa"/>
            <w:vAlign w:val="bottom"/>
            <w:shd w:val="clear" w:color="auto" w:fill="CCEEFF"/>
          </w:tcPr>
          <w:p>
            <w:pPr>
              <w:ind w:left="520"/>
              <w:spacing w:after="0" w:line="135" w:lineRule="exact"/>
              <w:rPr>
                <w:sz w:val="20"/>
                <w:szCs w:val="20"/>
                <w:color w:val="auto"/>
              </w:rPr>
            </w:pPr>
            <w:r>
              <w:rPr>
                <w:rFonts w:ascii="Times New Roman" w:cs="Times New Roman" w:eastAsia="Times New Roman" w:hAnsi="Times New Roman"/>
                <w:sz w:val="13"/>
                <w:szCs w:val="13"/>
                <w:color w:val="auto"/>
              </w:rPr>
              <w:t>Section 2.2.1, “Information Services”:</w:t>
            </w:r>
          </w:p>
        </w:tc>
        <w:tc>
          <w:tcPr>
            <w:tcW w:w="248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“Contents of Cooperation”, of the scheduled</w:t>
            </w:r>
          </w:p>
        </w:tc>
        <w:tc>
          <w:tcPr>
            <w:tcW w:w="40" w:type="dxa"/>
            <w:vAlign w:val="bottom"/>
          </w:tcPr>
          <w:p>
            <w:pPr>
              <w:spacing w:after="0"/>
              <w:rPr>
                <w:sz w:val="11"/>
                <w:szCs w:val="11"/>
                <w:color w:val="auto"/>
              </w:rPr>
            </w:pPr>
          </w:p>
        </w:tc>
      </w:tr>
      <w:tr>
        <w:trPr>
          <w:trHeight w:val="135"/>
        </w:trPr>
        <w:tc>
          <w:tcPr>
            <w:tcW w:w="1520" w:type="dxa"/>
            <w:vAlign w:val="bottom"/>
            <w:shd w:val="clear" w:color="auto" w:fill="CCEEFF"/>
          </w:tcPr>
          <w:p>
            <w:pPr>
              <w:spacing w:after="0"/>
              <w:rPr>
                <w:sz w:val="11"/>
                <w:szCs w:val="11"/>
                <w:color w:val="auto"/>
              </w:rPr>
            </w:pPr>
          </w:p>
        </w:tc>
        <w:tc>
          <w:tcPr>
            <w:tcW w:w="25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foregoing multimedia message products and</w:t>
            </w:r>
          </w:p>
        </w:tc>
        <w:tc>
          <w:tcPr>
            <w:tcW w:w="204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248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Party A Project Specifications (Schedule II)</w:t>
            </w:r>
          </w:p>
        </w:tc>
        <w:tc>
          <w:tcPr>
            <w:tcW w:w="40" w:type="dxa"/>
            <w:vAlign w:val="bottom"/>
          </w:tcPr>
          <w:p>
            <w:pPr>
              <w:spacing w:after="0"/>
              <w:rPr>
                <w:sz w:val="11"/>
                <w:szCs w:val="11"/>
                <w:color w:val="auto"/>
              </w:rPr>
            </w:pPr>
          </w:p>
        </w:tc>
      </w:tr>
      <w:tr>
        <w:trPr>
          <w:trHeight w:val="135"/>
        </w:trPr>
        <w:tc>
          <w:tcPr>
            <w:tcW w:w="1520" w:type="dxa"/>
            <w:vAlign w:val="bottom"/>
            <w:shd w:val="clear" w:color="auto" w:fill="CCEEFF"/>
          </w:tcPr>
          <w:p>
            <w:pPr>
              <w:spacing w:after="0"/>
              <w:rPr>
                <w:sz w:val="11"/>
                <w:szCs w:val="11"/>
                <w:color w:val="auto"/>
              </w:rPr>
            </w:pPr>
          </w:p>
        </w:tc>
        <w:tc>
          <w:tcPr>
            <w:tcW w:w="25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a back charge pattern, the specific</w:t>
            </w:r>
          </w:p>
        </w:tc>
        <w:tc>
          <w:tcPr>
            <w:tcW w:w="2040" w:type="dxa"/>
            <w:vAlign w:val="bottom"/>
            <w:shd w:val="clear" w:color="auto" w:fill="CCEEFF"/>
          </w:tcPr>
          <w:p>
            <w:pPr>
              <w:spacing w:after="0"/>
              <w:rPr>
                <w:sz w:val="11"/>
                <w:szCs w:val="11"/>
                <w:color w:val="auto"/>
              </w:rPr>
            </w:pPr>
          </w:p>
        </w:tc>
        <w:tc>
          <w:tcPr>
            <w:tcW w:w="2860" w:type="dxa"/>
            <w:vAlign w:val="bottom"/>
            <w:shd w:val="clear" w:color="auto" w:fill="CCEEFF"/>
          </w:tcPr>
          <w:p>
            <w:pPr>
              <w:ind w:left="520"/>
              <w:spacing w:after="0" w:line="135" w:lineRule="exact"/>
              <w:rPr>
                <w:sz w:val="20"/>
                <w:szCs w:val="20"/>
                <w:color w:val="auto"/>
              </w:rPr>
            </w:pPr>
            <w:r>
              <w:rPr>
                <w:rFonts w:ascii="Times New Roman" w:cs="Times New Roman" w:eastAsia="Times New Roman" w:hAnsi="Times New Roman"/>
                <w:sz w:val="13"/>
                <w:szCs w:val="13"/>
                <w:color w:val="auto"/>
              </w:rPr>
              <w:t>(Party A Project Specifications is as set out</w:t>
            </w:r>
          </w:p>
        </w:tc>
        <w:tc>
          <w:tcPr>
            <w:tcW w:w="248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and Party B’s responses:</w:t>
            </w:r>
          </w:p>
        </w:tc>
        <w:tc>
          <w:tcPr>
            <w:tcW w:w="40" w:type="dxa"/>
            <w:vAlign w:val="bottom"/>
          </w:tcPr>
          <w:p>
            <w:pPr>
              <w:spacing w:after="0"/>
              <w:rPr>
                <w:sz w:val="11"/>
                <w:szCs w:val="11"/>
                <w:color w:val="auto"/>
              </w:rPr>
            </w:pPr>
          </w:p>
        </w:tc>
      </w:tr>
      <w:tr>
        <w:trPr>
          <w:trHeight w:val="135"/>
        </w:trPr>
        <w:tc>
          <w:tcPr>
            <w:tcW w:w="1520" w:type="dxa"/>
            <w:vAlign w:val="bottom"/>
            <w:shd w:val="clear" w:color="auto" w:fill="CCEEFF"/>
          </w:tcPr>
          <w:p>
            <w:pPr>
              <w:spacing w:after="0"/>
              <w:rPr>
                <w:sz w:val="11"/>
                <w:szCs w:val="11"/>
                <w:color w:val="auto"/>
              </w:rPr>
            </w:pPr>
          </w:p>
        </w:tc>
        <w:tc>
          <w:tcPr>
            <w:tcW w:w="25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cooperation model of which shall be subject</w:t>
            </w:r>
          </w:p>
        </w:tc>
        <w:tc>
          <w:tcPr>
            <w:tcW w:w="2040" w:type="dxa"/>
            <w:vAlign w:val="bottom"/>
            <w:shd w:val="clear" w:color="auto" w:fill="CCEEFF"/>
          </w:tcPr>
          <w:p>
            <w:pPr>
              <w:spacing w:after="0"/>
              <w:rPr>
                <w:sz w:val="11"/>
                <w:szCs w:val="11"/>
                <w:color w:val="auto"/>
              </w:rPr>
            </w:pPr>
          </w:p>
        </w:tc>
        <w:tc>
          <w:tcPr>
            <w:tcW w:w="2860" w:type="dxa"/>
            <w:vAlign w:val="bottom"/>
            <w:shd w:val="clear" w:color="auto" w:fill="CCEEFF"/>
          </w:tcPr>
          <w:p>
            <w:pPr>
              <w:ind w:left="520"/>
              <w:spacing w:after="0" w:line="135" w:lineRule="exact"/>
              <w:rPr>
                <w:sz w:val="20"/>
                <w:szCs w:val="20"/>
                <w:color w:val="auto"/>
              </w:rPr>
            </w:pPr>
            <w:r>
              <w:rPr>
                <w:rFonts w:ascii="Times New Roman" w:cs="Times New Roman" w:eastAsia="Times New Roman" w:hAnsi="Times New Roman"/>
                <w:sz w:val="13"/>
                <w:szCs w:val="13"/>
                <w:color w:val="auto"/>
              </w:rPr>
              <w:t>below:</w:t>
            </w:r>
          </w:p>
        </w:tc>
        <w:tc>
          <w:tcPr>
            <w:tcW w:w="248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1520" w:type="dxa"/>
            <w:vAlign w:val="bottom"/>
            <w:shd w:val="clear" w:color="auto" w:fill="CCEEFF"/>
          </w:tcPr>
          <w:p>
            <w:pPr>
              <w:spacing w:after="0"/>
              <w:rPr>
                <w:sz w:val="11"/>
                <w:szCs w:val="11"/>
                <w:color w:val="auto"/>
              </w:rPr>
            </w:pPr>
          </w:p>
        </w:tc>
        <w:tc>
          <w:tcPr>
            <w:tcW w:w="25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to a separate supplemental agreement of the</w:t>
            </w:r>
          </w:p>
        </w:tc>
        <w:tc>
          <w:tcPr>
            <w:tcW w:w="204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248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(2.2 Contents of Cooperation</w:t>
            </w:r>
          </w:p>
        </w:tc>
        <w:tc>
          <w:tcPr>
            <w:tcW w:w="40" w:type="dxa"/>
            <w:vAlign w:val="bottom"/>
          </w:tcPr>
          <w:p>
            <w:pPr>
              <w:spacing w:after="0"/>
              <w:rPr>
                <w:sz w:val="11"/>
                <w:szCs w:val="11"/>
                <w:color w:val="auto"/>
              </w:rPr>
            </w:pPr>
          </w:p>
        </w:tc>
      </w:tr>
      <w:tr>
        <w:trPr>
          <w:trHeight w:val="153"/>
        </w:trPr>
        <w:tc>
          <w:tcPr>
            <w:tcW w:w="1520" w:type="dxa"/>
            <w:vAlign w:val="bottom"/>
            <w:shd w:val="clear" w:color="auto" w:fill="CCEEFF"/>
          </w:tcPr>
          <w:p>
            <w:pPr>
              <w:spacing w:after="0"/>
              <w:rPr>
                <w:sz w:val="13"/>
                <w:szCs w:val="13"/>
                <w:color w:val="auto"/>
              </w:rPr>
            </w:pPr>
          </w:p>
        </w:tc>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Parties.”</w:t>
            </w:r>
          </w:p>
        </w:tc>
        <w:tc>
          <w:tcPr>
            <w:tcW w:w="2040" w:type="dxa"/>
            <w:vAlign w:val="bottom"/>
            <w:shd w:val="clear" w:color="auto" w:fill="CCEEFF"/>
          </w:tcPr>
          <w:p>
            <w:pPr>
              <w:spacing w:after="0"/>
              <w:rPr>
                <w:sz w:val="13"/>
                <w:szCs w:val="13"/>
                <w:color w:val="auto"/>
              </w:rPr>
            </w:pPr>
          </w:p>
        </w:tc>
        <w:tc>
          <w:tcPr>
            <w:tcW w:w="28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2.2.1. Information Services</w:t>
            </w:r>
          </w:p>
        </w:tc>
        <w:tc>
          <w:tcPr>
            <w:tcW w:w="24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348"/>
        </w:trPr>
        <w:tc>
          <w:tcPr>
            <w:tcW w:w="152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00" w:type="dxa"/>
            <w:vAlign w:val="bottom"/>
            <w:gridSpan w:val="2"/>
          </w:tcPr>
          <w:p>
            <w:pPr>
              <w:jc w:val="center"/>
              <w:ind w:left="97"/>
              <w:spacing w:after="0"/>
              <w:rPr>
                <w:sz w:val="20"/>
                <w:szCs w:val="20"/>
                <w:color w:val="auto"/>
              </w:rPr>
            </w:pPr>
            <w:r>
              <w:rPr>
                <w:rFonts w:ascii="Times New Roman" w:cs="Times New Roman" w:eastAsia="Times New Roman" w:hAnsi="Times New Roman"/>
                <w:sz w:val="13"/>
                <w:szCs w:val="13"/>
                <w:b w:val="1"/>
                <w:bCs w:val="1"/>
                <w:color w:val="auto"/>
                <w:w w:val="99"/>
              </w:rPr>
              <w:t>2015</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40" w:type="dxa"/>
            <w:vAlign w:val="bottom"/>
            <w:gridSpan w:val="2"/>
          </w:tcPr>
          <w:p>
            <w:pPr>
              <w:jc w:val="center"/>
              <w:ind w:left="97"/>
              <w:spacing w:after="0"/>
              <w:rPr>
                <w:sz w:val="20"/>
                <w:szCs w:val="20"/>
                <w:color w:val="auto"/>
              </w:rPr>
            </w:pPr>
            <w:r>
              <w:rPr>
                <w:rFonts w:ascii="Times New Roman" w:cs="Times New Roman" w:eastAsia="Times New Roman" w:hAnsi="Times New Roman"/>
                <w:sz w:val="13"/>
                <w:szCs w:val="13"/>
                <w:b w:val="1"/>
                <w:bCs w:val="1"/>
                <w:color w:val="auto"/>
                <w:w w:val="99"/>
              </w:rPr>
              <w:t>2016</w:t>
            </w:r>
          </w:p>
        </w:tc>
      </w:tr>
      <w:tr>
        <w:trPr>
          <w:trHeight w:val="135"/>
        </w:trPr>
        <w:tc>
          <w:tcPr>
            <w:tcW w:w="4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Procurement</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Procurement</w:t>
            </w:r>
          </w:p>
        </w:tc>
      </w:tr>
      <w:tr>
        <w:trPr>
          <w:trHeight w:val="155"/>
        </w:trPr>
        <w:tc>
          <w:tcPr>
            <w:tcW w:w="436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Product</w:t>
            </w:r>
          </w:p>
        </w:tc>
        <w:tc>
          <w:tcPr>
            <w:tcW w:w="16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Requirements</w:t>
            </w:r>
          </w:p>
        </w:tc>
        <w:tc>
          <w:tcPr>
            <w:tcW w:w="1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657"/>
              <w:spacing w:after="0"/>
              <w:rPr>
                <w:sz w:val="20"/>
                <w:szCs w:val="20"/>
                <w:color w:val="auto"/>
              </w:rPr>
            </w:pPr>
            <w:r>
              <w:rPr>
                <w:rFonts w:ascii="Times New Roman" w:cs="Times New Roman" w:eastAsia="Times New Roman" w:hAnsi="Times New Roman"/>
                <w:sz w:val="13"/>
                <w:szCs w:val="13"/>
                <w:b w:val="1"/>
                <w:bCs w:val="1"/>
                <w:color w:val="auto"/>
                <w:w w:val="98"/>
              </w:rPr>
              <w:t>Product</w:t>
            </w:r>
          </w:p>
        </w:tc>
        <w:tc>
          <w:tcPr>
            <w:tcW w:w="16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Requirements</w:t>
            </w:r>
          </w:p>
        </w:tc>
      </w:tr>
      <w:tr>
        <w:trPr>
          <w:trHeight w:val="102"/>
        </w:trPr>
        <w:tc>
          <w:tcPr>
            <w:tcW w:w="4360" w:type="dxa"/>
            <w:vAlign w:val="bottom"/>
            <w:shd w:val="clear" w:color="auto" w:fill="CCEEFF"/>
          </w:tcPr>
          <w:p>
            <w:pPr>
              <w:ind w:left="3480"/>
              <w:spacing w:after="0" w:line="102" w:lineRule="exact"/>
              <w:rPr>
                <w:sz w:val="20"/>
                <w:szCs w:val="20"/>
                <w:color w:val="auto"/>
              </w:rPr>
            </w:pPr>
            <w:r>
              <w:rPr>
                <w:rFonts w:ascii="Times New Roman" w:cs="Times New Roman" w:eastAsia="Times New Roman" w:hAnsi="Times New Roman"/>
                <w:sz w:val="11"/>
                <w:szCs w:val="11"/>
                <w:b w:val="1"/>
                <w:bCs w:val="1"/>
                <w:color w:val="auto"/>
              </w:rPr>
              <w:t>Information</w:t>
            </w:r>
          </w:p>
        </w:tc>
        <w:tc>
          <w:tcPr>
            <w:tcW w:w="220" w:type="dxa"/>
            <w:vAlign w:val="bottom"/>
            <w:shd w:val="clear" w:color="auto" w:fill="CCEEFF"/>
          </w:tcPr>
          <w:p>
            <w:pPr>
              <w:spacing w:after="0"/>
              <w:rPr>
                <w:sz w:val="8"/>
                <w:szCs w:val="8"/>
                <w:color w:val="auto"/>
              </w:rPr>
            </w:pPr>
          </w:p>
        </w:tc>
        <w:tc>
          <w:tcPr>
            <w:tcW w:w="680" w:type="dxa"/>
            <w:vAlign w:val="bottom"/>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Mobile</w:t>
            </w:r>
          </w:p>
        </w:tc>
        <w:tc>
          <w:tcPr>
            <w:tcW w:w="1340" w:type="dxa"/>
            <w:vAlign w:val="bottom"/>
            <w:shd w:val="clear" w:color="auto" w:fill="CCEEFF"/>
          </w:tcPr>
          <w:p>
            <w:pPr>
              <w:ind w:left="400"/>
              <w:spacing w:after="0" w:line="102" w:lineRule="exact"/>
              <w:rPr>
                <w:sz w:val="20"/>
                <w:szCs w:val="20"/>
                <w:color w:val="auto"/>
              </w:rPr>
            </w:pPr>
            <w:r>
              <w:rPr>
                <w:rFonts w:ascii="Times New Roman" w:cs="Times New Roman" w:eastAsia="Times New Roman" w:hAnsi="Times New Roman"/>
                <w:sz w:val="11"/>
                <w:szCs w:val="11"/>
                <w:color w:val="auto"/>
              </w:rPr>
              <w:t>GoTone Phoenix</w:t>
            </w:r>
          </w:p>
        </w:tc>
        <w:tc>
          <w:tcPr>
            <w:tcW w:w="1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“GoTone Phoenix</w:t>
            </w:r>
          </w:p>
        </w:tc>
        <w:tc>
          <w:tcPr>
            <w:tcW w:w="180" w:type="dxa"/>
            <w:vAlign w:val="bottom"/>
            <w:shd w:val="clear" w:color="auto" w:fill="CCEEFF"/>
          </w:tcPr>
          <w:p>
            <w:pPr>
              <w:spacing w:after="0"/>
              <w:rPr>
                <w:sz w:val="8"/>
                <w:szCs w:val="8"/>
                <w:color w:val="auto"/>
              </w:rPr>
            </w:pPr>
          </w:p>
        </w:tc>
        <w:tc>
          <w:tcPr>
            <w:tcW w:w="2000" w:type="dxa"/>
            <w:vAlign w:val="bottom"/>
            <w:gridSpan w:val="2"/>
            <w:shd w:val="clear" w:color="auto" w:fill="CCEEFF"/>
          </w:tcPr>
          <w:p>
            <w:pPr>
              <w:jc w:val="center"/>
              <w:spacing w:after="0" w:line="102" w:lineRule="exact"/>
              <w:rPr>
                <w:sz w:val="20"/>
                <w:szCs w:val="20"/>
                <w:color w:val="auto"/>
              </w:rPr>
            </w:pPr>
            <w:r>
              <w:rPr>
                <w:rFonts w:ascii="Times New Roman" w:cs="Times New Roman" w:eastAsia="Times New Roman" w:hAnsi="Times New Roman"/>
                <w:sz w:val="11"/>
                <w:szCs w:val="11"/>
                <w:color w:val="auto"/>
              </w:rPr>
              <w:t>GoTone Phoenix Series Mobile</w:t>
            </w:r>
          </w:p>
        </w:tc>
        <w:tc>
          <w:tcPr>
            <w:tcW w:w="160" w:type="dxa"/>
            <w:vAlign w:val="bottom"/>
            <w:shd w:val="clear" w:color="auto" w:fill="CCEEFF"/>
          </w:tcPr>
          <w:p>
            <w:pPr>
              <w:spacing w:after="0"/>
              <w:rPr>
                <w:sz w:val="8"/>
                <w:szCs w:val="8"/>
                <w:color w:val="auto"/>
              </w:rPr>
            </w:pPr>
          </w:p>
        </w:tc>
        <w:tc>
          <w:tcPr>
            <w:tcW w:w="1180" w:type="dxa"/>
            <w:vAlign w:val="bottom"/>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“GoTone Phoenix</w:t>
            </w:r>
          </w:p>
        </w:tc>
      </w:tr>
      <w:tr>
        <w:trPr>
          <w:trHeight w:val="144"/>
        </w:trPr>
        <w:tc>
          <w:tcPr>
            <w:tcW w:w="4360" w:type="dxa"/>
            <w:vAlign w:val="bottom"/>
            <w:shd w:val="clear" w:color="auto" w:fill="CCEEFF"/>
          </w:tcPr>
          <w:p>
            <w:pPr>
              <w:ind w:left="3480"/>
              <w:spacing w:after="0" w:line="144" w:lineRule="exact"/>
              <w:rPr>
                <w:sz w:val="20"/>
                <w:szCs w:val="20"/>
                <w:color w:val="auto"/>
              </w:rPr>
            </w:pPr>
            <w:r>
              <w:rPr>
                <w:rFonts w:ascii="Times New Roman" w:cs="Times New Roman" w:eastAsia="Times New Roman" w:hAnsi="Times New Roman"/>
                <w:sz w:val="13"/>
                <w:szCs w:val="13"/>
                <w:b w:val="1"/>
                <w:bCs w:val="1"/>
                <w:color w:val="auto"/>
              </w:rPr>
              <w:t>Services</w:t>
            </w:r>
          </w:p>
        </w:tc>
        <w:tc>
          <w:tcPr>
            <w:tcW w:w="900" w:type="dxa"/>
            <w:vAlign w:val="bottom"/>
            <w:gridSpan w:val="2"/>
            <w:shd w:val="clear" w:color="auto" w:fill="CCEEFF"/>
          </w:tcPr>
          <w:p>
            <w:pPr>
              <w:ind w:left="220"/>
              <w:spacing w:after="0" w:line="144" w:lineRule="exact"/>
              <w:rPr>
                <w:sz w:val="20"/>
                <w:szCs w:val="20"/>
                <w:color w:val="auto"/>
              </w:rPr>
            </w:pPr>
            <w:r>
              <w:rPr>
                <w:rFonts w:ascii="Times New Roman" w:cs="Times New Roman" w:eastAsia="Times New Roman" w:hAnsi="Times New Roman"/>
                <w:sz w:val="13"/>
                <w:szCs w:val="13"/>
                <w:color w:val="auto"/>
              </w:rPr>
              <w:t>Newspaper</w:t>
            </w:r>
          </w:p>
        </w:tc>
        <w:tc>
          <w:tcPr>
            <w:tcW w:w="1340" w:type="dxa"/>
            <w:vAlign w:val="bottom"/>
            <w:shd w:val="clear" w:color="auto" w:fill="CCEEFF"/>
          </w:tcPr>
          <w:p>
            <w:pPr>
              <w:ind w:left="400"/>
              <w:spacing w:after="0" w:line="144" w:lineRule="exact"/>
              <w:rPr>
                <w:sz w:val="20"/>
                <w:szCs w:val="20"/>
                <w:color w:val="auto"/>
              </w:rPr>
            </w:pPr>
            <w:r>
              <w:rPr>
                <w:rFonts w:ascii="Times New Roman" w:cs="Times New Roman" w:eastAsia="Times New Roman" w:hAnsi="Times New Roman"/>
                <w:sz w:val="13"/>
                <w:szCs w:val="13"/>
                <w:color w:val="auto"/>
              </w:rPr>
              <w:t>Series Mobile</w:t>
            </w:r>
          </w:p>
        </w:tc>
        <w:tc>
          <w:tcPr>
            <w:tcW w:w="1300" w:type="dxa"/>
            <w:vAlign w:val="bottom"/>
            <w:gridSpan w:val="2"/>
            <w:shd w:val="clear" w:color="auto" w:fill="CCEEFF"/>
          </w:tcPr>
          <w:p>
            <w:pPr>
              <w:ind w:left="160"/>
              <w:spacing w:after="0" w:line="144" w:lineRule="exact"/>
              <w:rPr>
                <w:sz w:val="20"/>
                <w:szCs w:val="20"/>
                <w:color w:val="auto"/>
              </w:rPr>
            </w:pPr>
            <w:r>
              <w:rPr>
                <w:rFonts w:ascii="Times New Roman" w:cs="Times New Roman" w:eastAsia="Times New Roman" w:hAnsi="Times New Roman"/>
                <w:sz w:val="13"/>
                <w:szCs w:val="13"/>
                <w:color w:val="auto"/>
                <w:w w:val="93"/>
              </w:rPr>
              <w:t>Weekly” and “GoTone</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80" w:type="dxa"/>
            <w:vAlign w:val="bottom"/>
            <w:shd w:val="clear" w:color="auto" w:fill="CCEEFF"/>
          </w:tcPr>
          <w:p>
            <w:pPr>
              <w:jc w:val="center"/>
              <w:ind w:right="657"/>
              <w:spacing w:after="0" w:line="144" w:lineRule="exact"/>
              <w:rPr>
                <w:sz w:val="20"/>
                <w:szCs w:val="20"/>
                <w:color w:val="auto"/>
              </w:rPr>
            </w:pPr>
            <w:r>
              <w:rPr>
                <w:rFonts w:ascii="Times New Roman" w:cs="Times New Roman" w:eastAsia="Times New Roman" w:hAnsi="Times New Roman"/>
                <w:sz w:val="13"/>
                <w:szCs w:val="13"/>
                <w:color w:val="auto"/>
                <w:w w:val="95"/>
              </w:rPr>
              <w:t>Newspaper</w:t>
            </w:r>
          </w:p>
        </w:tc>
        <w:tc>
          <w:tcPr>
            <w:tcW w:w="1340" w:type="dxa"/>
            <w:vAlign w:val="bottom"/>
            <w:gridSpan w:val="2"/>
            <w:shd w:val="clear" w:color="auto" w:fill="CCEEFF"/>
          </w:tcPr>
          <w:p>
            <w:pPr>
              <w:ind w:left="160"/>
              <w:spacing w:after="0" w:line="144" w:lineRule="exact"/>
              <w:rPr>
                <w:sz w:val="20"/>
                <w:szCs w:val="20"/>
                <w:color w:val="auto"/>
              </w:rPr>
            </w:pPr>
            <w:r>
              <w:rPr>
                <w:rFonts w:ascii="Times New Roman" w:cs="Times New Roman" w:eastAsia="Times New Roman" w:hAnsi="Times New Roman"/>
                <w:sz w:val="13"/>
                <w:szCs w:val="13"/>
                <w:color w:val="auto"/>
                <w:w w:val="96"/>
              </w:rPr>
              <w:t>Weekly” and “GoTone</w:t>
            </w:r>
          </w:p>
        </w:tc>
      </w:tr>
      <w:tr>
        <w:trPr>
          <w:trHeight w:val="135"/>
        </w:trPr>
        <w:tc>
          <w:tcPr>
            <w:tcW w:w="4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34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Newspaper</w:t>
            </w:r>
          </w:p>
        </w:tc>
        <w:tc>
          <w:tcPr>
            <w:tcW w:w="130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Phoenix Observer”</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Phoenix Observer”</w:t>
            </w:r>
          </w:p>
        </w:tc>
      </w:tr>
      <w:tr>
        <w:trPr>
          <w:trHeight w:val="135"/>
        </w:trPr>
        <w:tc>
          <w:tcPr>
            <w:tcW w:w="4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series mobile</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series mobile</w:t>
            </w:r>
          </w:p>
        </w:tc>
      </w:tr>
      <w:tr>
        <w:trPr>
          <w:trHeight w:val="135"/>
        </w:trPr>
        <w:tc>
          <w:tcPr>
            <w:tcW w:w="4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newspaper 2015 full</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w w:val="96"/>
              </w:rPr>
              <w:t>newspaper information</w:t>
            </w:r>
          </w:p>
        </w:tc>
      </w:tr>
      <w:tr>
        <w:trPr>
          <w:trHeight w:val="135"/>
        </w:trPr>
        <w:tc>
          <w:tcPr>
            <w:tcW w:w="4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year information</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between January 1,</w:t>
            </w:r>
          </w:p>
        </w:tc>
      </w:tr>
      <w:tr>
        <w:trPr>
          <w:trHeight w:val="135"/>
        </w:trPr>
        <w:tc>
          <w:tcPr>
            <w:tcW w:w="4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2016 and April 30,</w:t>
            </w:r>
          </w:p>
        </w:tc>
      </w:tr>
      <w:tr>
        <w:trPr>
          <w:trHeight w:val="153"/>
        </w:trPr>
        <w:tc>
          <w:tcPr>
            <w:tcW w:w="4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2017</w:t>
            </w:r>
          </w:p>
        </w:tc>
      </w:tr>
      <w:tr>
        <w:trPr>
          <w:trHeight w:val="149"/>
        </w:trPr>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17"/>
        </w:trPr>
        <w:tc>
          <w:tcPr>
            <w:tcW w:w="4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900" w:type="dxa"/>
            <w:vAlign w:val="bottom"/>
            <w:gridSpan w:val="2"/>
            <w:shd w:val="clear" w:color="auto" w:fill="CCEEFF"/>
          </w:tcPr>
          <w:p>
            <w:pPr>
              <w:ind w:left="180"/>
              <w:spacing w:after="0" w:line="117" w:lineRule="exact"/>
              <w:rPr>
                <w:sz w:val="20"/>
                <w:szCs w:val="20"/>
                <w:color w:val="auto"/>
              </w:rPr>
            </w:pPr>
            <w:r>
              <w:rPr>
                <w:rFonts w:ascii="Times New Roman" w:cs="Times New Roman" w:eastAsia="Times New Roman" w:hAnsi="Times New Roman"/>
                <w:sz w:val="13"/>
                <w:szCs w:val="13"/>
                <w:color w:val="auto"/>
                <w:w w:val="96"/>
              </w:rPr>
              <w:t>Club Member</w:t>
            </w:r>
          </w:p>
        </w:tc>
        <w:tc>
          <w:tcPr>
            <w:tcW w:w="1280" w:type="dxa"/>
            <w:vAlign w:val="bottom"/>
            <w:shd w:val="clear" w:color="auto" w:fill="CCEEFF"/>
          </w:tcPr>
          <w:p>
            <w:pPr>
              <w:ind w:left="360"/>
              <w:spacing w:after="0" w:line="117" w:lineRule="exact"/>
              <w:rPr>
                <w:sz w:val="20"/>
                <w:szCs w:val="20"/>
                <w:color w:val="auto"/>
              </w:rPr>
            </w:pPr>
            <w:r>
              <w:rPr>
                <w:rFonts w:ascii="Times New Roman" w:cs="Times New Roman" w:eastAsia="Times New Roman" w:hAnsi="Times New Roman"/>
                <w:sz w:val="13"/>
                <w:szCs w:val="13"/>
                <w:color w:val="auto"/>
              </w:rPr>
              <w:t>GoTone</w:t>
            </w:r>
          </w:p>
        </w:tc>
        <w:tc>
          <w:tcPr>
            <w:tcW w:w="1340" w:type="dxa"/>
            <w:vAlign w:val="bottom"/>
            <w:gridSpan w:val="2"/>
            <w:shd w:val="clear" w:color="auto" w:fill="CCEEFF"/>
          </w:tcPr>
          <w:p>
            <w:pPr>
              <w:ind w:left="160"/>
              <w:spacing w:after="0" w:line="117" w:lineRule="exact"/>
              <w:rPr>
                <w:sz w:val="20"/>
                <w:szCs w:val="20"/>
                <w:color w:val="auto"/>
              </w:rPr>
            </w:pPr>
            <w:r>
              <w:rPr>
                <w:rFonts w:ascii="Times New Roman" w:cs="Times New Roman" w:eastAsia="Times New Roman" w:hAnsi="Times New Roman"/>
                <w:sz w:val="13"/>
                <w:szCs w:val="13"/>
                <w:color w:val="auto"/>
              </w:rPr>
              <w:t>1 issue per week</w:t>
            </w:r>
          </w:p>
        </w:tc>
      </w:tr>
      <w:tr>
        <w:trPr>
          <w:trHeight w:val="153"/>
        </w:trPr>
        <w:tc>
          <w:tcPr>
            <w:tcW w:w="4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Magazines</w:t>
            </w:r>
          </w:p>
        </w:tc>
        <w:tc>
          <w:tcPr>
            <w:tcW w:w="1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Magazine</w:t>
            </w: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49"/>
        </w:trPr>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17"/>
        </w:trPr>
        <w:tc>
          <w:tcPr>
            <w:tcW w:w="4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340" w:type="dxa"/>
            <w:vAlign w:val="bottom"/>
            <w:shd w:val="clear" w:color="auto" w:fill="CCEEFF"/>
          </w:tcPr>
          <w:p>
            <w:pPr>
              <w:ind w:left="400"/>
              <w:spacing w:after="0" w:line="117" w:lineRule="exact"/>
              <w:rPr>
                <w:sz w:val="20"/>
                <w:szCs w:val="20"/>
                <w:color w:val="auto"/>
              </w:rPr>
            </w:pPr>
            <w:r>
              <w:rPr>
                <w:rFonts w:ascii="Times New Roman" w:cs="Times New Roman" w:eastAsia="Times New Roman" w:hAnsi="Times New Roman"/>
                <w:sz w:val="13"/>
                <w:szCs w:val="13"/>
                <w:color w:val="auto"/>
              </w:rPr>
              <w:t>Mobile</w:t>
            </w:r>
          </w:p>
        </w:tc>
        <w:tc>
          <w:tcPr>
            <w:tcW w:w="1300" w:type="dxa"/>
            <w:vAlign w:val="bottom"/>
            <w:gridSpan w:val="2"/>
            <w:shd w:val="clear" w:color="auto" w:fill="CCEEFF"/>
          </w:tcPr>
          <w:p>
            <w:pPr>
              <w:ind w:left="160"/>
              <w:spacing w:after="0" w:line="117" w:lineRule="exact"/>
              <w:rPr>
                <w:sz w:val="20"/>
                <w:szCs w:val="20"/>
                <w:color w:val="auto"/>
              </w:rPr>
            </w:pPr>
            <w:r>
              <w:rPr>
                <w:rFonts w:ascii="Times New Roman" w:cs="Times New Roman" w:eastAsia="Times New Roman" w:hAnsi="Times New Roman"/>
                <w:sz w:val="13"/>
                <w:szCs w:val="13"/>
                <w:color w:val="auto"/>
              </w:rPr>
              <w:t>Once</w:t>
            </w: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80" w:type="dxa"/>
            <w:vAlign w:val="bottom"/>
            <w:shd w:val="clear" w:color="auto" w:fill="CCEEFF"/>
          </w:tcPr>
          <w:p>
            <w:pPr>
              <w:ind w:left="360"/>
              <w:spacing w:after="0" w:line="117" w:lineRule="exact"/>
              <w:rPr>
                <w:sz w:val="20"/>
                <w:szCs w:val="20"/>
                <w:color w:val="auto"/>
              </w:rPr>
            </w:pPr>
            <w:r>
              <w:rPr>
                <w:rFonts w:ascii="Times New Roman" w:cs="Times New Roman" w:eastAsia="Times New Roman" w:hAnsi="Times New Roman"/>
                <w:sz w:val="13"/>
                <w:szCs w:val="13"/>
                <w:color w:val="auto"/>
              </w:rPr>
              <w:t>DongGan DiDai</w:t>
            </w:r>
          </w:p>
        </w:tc>
        <w:tc>
          <w:tcPr>
            <w:tcW w:w="1340" w:type="dxa"/>
            <w:vAlign w:val="bottom"/>
            <w:gridSpan w:val="2"/>
            <w:shd w:val="clear" w:color="auto" w:fill="CCEEFF"/>
          </w:tcPr>
          <w:p>
            <w:pPr>
              <w:ind w:left="160"/>
              <w:spacing w:after="0" w:line="117" w:lineRule="exact"/>
              <w:rPr>
                <w:sz w:val="20"/>
                <w:szCs w:val="20"/>
                <w:color w:val="auto"/>
              </w:rPr>
            </w:pPr>
            <w:r>
              <w:rPr>
                <w:rFonts w:ascii="Times New Roman" w:cs="Times New Roman" w:eastAsia="Times New Roman" w:hAnsi="Times New Roman"/>
                <w:sz w:val="13"/>
                <w:szCs w:val="13"/>
                <w:color w:val="auto"/>
              </w:rPr>
              <w:t>1 issue per week</w:t>
            </w:r>
          </w:p>
        </w:tc>
      </w:tr>
      <w:tr>
        <w:trPr>
          <w:trHeight w:val="135"/>
        </w:trPr>
        <w:tc>
          <w:tcPr>
            <w:tcW w:w="4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34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Newspaper</w:t>
            </w: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80" w:type="dxa"/>
            <w:vAlign w:val="bottom"/>
            <w:shd w:val="clear" w:color="auto" w:fill="CCEEFF"/>
          </w:tcPr>
          <w:p>
            <w:pPr>
              <w:ind w:left="360"/>
              <w:spacing w:after="0" w:line="135" w:lineRule="exact"/>
              <w:rPr>
                <w:sz w:val="20"/>
                <w:szCs w:val="20"/>
                <w:color w:val="auto"/>
              </w:rPr>
            </w:pPr>
            <w:r>
              <w:rPr>
                <w:rFonts w:ascii="Times New Roman" w:cs="Times New Roman" w:eastAsia="Times New Roman" w:hAnsi="Times New Roman"/>
                <w:sz w:val="13"/>
                <w:szCs w:val="13"/>
                <w:color w:val="auto"/>
              </w:rPr>
              <w:t>Magazine</w:t>
            </w:r>
          </w:p>
        </w:tc>
        <w:tc>
          <w:tcPr>
            <w:tcW w:w="1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135"/>
        </w:trPr>
        <w:tc>
          <w:tcPr>
            <w:tcW w:w="4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34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Products Annual</w:t>
            </w: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135"/>
        </w:trPr>
        <w:tc>
          <w:tcPr>
            <w:tcW w:w="4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34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Satisfaction</w:t>
            </w: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153"/>
        </w:trPr>
        <w:tc>
          <w:tcPr>
            <w:tcW w:w="4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Survey</w:t>
            </w: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49"/>
        </w:trPr>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17"/>
        </w:trPr>
        <w:tc>
          <w:tcPr>
            <w:tcW w:w="4360" w:type="dxa"/>
            <w:vAlign w:val="bottom"/>
            <w:shd w:val="clear" w:color="auto" w:fill="CCEEFF"/>
          </w:tcPr>
          <w:p>
            <w:pPr>
              <w:spacing w:after="0"/>
              <w:rPr>
                <w:sz w:val="10"/>
                <w:szCs w:val="10"/>
                <w:color w:val="auto"/>
              </w:rPr>
            </w:pPr>
          </w:p>
        </w:tc>
        <w:tc>
          <w:tcPr>
            <w:tcW w:w="2240" w:type="dxa"/>
            <w:vAlign w:val="bottom"/>
            <w:gridSpan w:val="3"/>
            <w:shd w:val="clear" w:color="auto" w:fill="CCEEFF"/>
          </w:tcPr>
          <w:p>
            <w:pPr>
              <w:ind w:left="220"/>
              <w:spacing w:after="0" w:line="117" w:lineRule="exact"/>
              <w:rPr>
                <w:sz w:val="20"/>
                <w:szCs w:val="20"/>
                <w:color w:val="auto"/>
              </w:rPr>
            </w:pPr>
            <w:r>
              <w:rPr>
                <w:rFonts w:ascii="Times New Roman" w:cs="Times New Roman" w:eastAsia="Times New Roman" w:hAnsi="Times New Roman"/>
                <w:sz w:val="13"/>
                <w:szCs w:val="13"/>
                <w:color w:val="auto"/>
              </w:rPr>
              <w:t>Phoenix Forum Events</w:t>
            </w:r>
          </w:p>
        </w:tc>
        <w:tc>
          <w:tcPr>
            <w:tcW w:w="1300" w:type="dxa"/>
            <w:vAlign w:val="bottom"/>
            <w:gridSpan w:val="2"/>
            <w:shd w:val="clear" w:color="auto" w:fill="CCEEFF"/>
          </w:tcPr>
          <w:p>
            <w:pPr>
              <w:ind w:left="160"/>
              <w:spacing w:after="0" w:line="117" w:lineRule="exact"/>
              <w:rPr>
                <w:sz w:val="20"/>
                <w:szCs w:val="20"/>
                <w:color w:val="auto"/>
              </w:rPr>
            </w:pPr>
            <w:r>
              <w:rPr>
                <w:rFonts w:ascii="Times New Roman" w:cs="Times New Roman" w:eastAsia="Times New Roman" w:hAnsi="Times New Roman"/>
                <w:sz w:val="13"/>
                <w:szCs w:val="13"/>
                <w:color w:val="auto"/>
              </w:rPr>
              <w:t>No fewer than 25</w:t>
            </w:r>
          </w:p>
        </w:tc>
        <w:tc>
          <w:tcPr>
            <w:tcW w:w="900" w:type="dxa"/>
            <w:vAlign w:val="bottom"/>
            <w:gridSpan w:val="2"/>
            <w:shd w:val="clear" w:color="auto" w:fill="CCEEFF"/>
          </w:tcPr>
          <w:p>
            <w:pPr>
              <w:ind w:left="180"/>
              <w:spacing w:after="0" w:line="117" w:lineRule="exact"/>
              <w:rPr>
                <w:sz w:val="20"/>
                <w:szCs w:val="20"/>
                <w:color w:val="auto"/>
              </w:rPr>
            </w:pPr>
            <w:r>
              <w:rPr>
                <w:rFonts w:ascii="Times New Roman" w:cs="Times New Roman" w:eastAsia="Times New Roman" w:hAnsi="Times New Roman"/>
                <w:sz w:val="13"/>
                <w:szCs w:val="13"/>
                <w:color w:val="auto"/>
                <w:w w:val="95"/>
              </w:rPr>
              <w:t>Forum Events</w:t>
            </w:r>
          </w:p>
        </w:tc>
        <w:tc>
          <w:tcPr>
            <w:tcW w:w="128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ind w:left="160"/>
              <w:spacing w:after="0" w:line="117" w:lineRule="exact"/>
              <w:rPr>
                <w:sz w:val="20"/>
                <w:szCs w:val="20"/>
                <w:color w:val="auto"/>
              </w:rPr>
            </w:pPr>
            <w:r>
              <w:rPr>
                <w:rFonts w:ascii="Times New Roman" w:cs="Times New Roman" w:eastAsia="Times New Roman" w:hAnsi="Times New Roman"/>
                <w:sz w:val="13"/>
                <w:szCs w:val="13"/>
                <w:color w:val="auto"/>
              </w:rPr>
              <w:t>No fewer than 20</w:t>
            </w:r>
          </w:p>
        </w:tc>
      </w:tr>
      <w:tr>
        <w:trPr>
          <w:trHeight w:val="153"/>
        </w:trPr>
        <w:tc>
          <w:tcPr>
            <w:tcW w:w="4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events.</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events</w:t>
            </w:r>
          </w:p>
        </w:tc>
      </w:tr>
      <w:tr>
        <w:trPr>
          <w:trHeight w:val="149"/>
        </w:trPr>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35"/>
        </w:trPr>
        <w:tc>
          <w:tcPr>
            <w:tcW w:w="4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180" w:type="dxa"/>
            <w:vAlign w:val="bottom"/>
            <w:gridSpan w:val="3"/>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iFeng.com tier-1 channel</w:t>
            </w:r>
          </w:p>
        </w:tc>
        <w:tc>
          <w:tcPr>
            <w:tcW w:w="134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1</w:t>
            </w:r>
          </w:p>
        </w:tc>
      </w:tr>
      <w:tr>
        <w:trPr>
          <w:trHeight w:val="149"/>
        </w:trPr>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17"/>
        </w:trPr>
        <w:tc>
          <w:tcPr>
            <w:tcW w:w="4360" w:type="dxa"/>
            <w:vAlign w:val="bottom"/>
            <w:shd w:val="clear" w:color="auto" w:fill="CCEEFF"/>
          </w:tcPr>
          <w:p>
            <w:pPr>
              <w:spacing w:after="0"/>
              <w:rPr>
                <w:sz w:val="10"/>
                <w:szCs w:val="10"/>
                <w:color w:val="auto"/>
              </w:rPr>
            </w:pPr>
          </w:p>
        </w:tc>
        <w:tc>
          <w:tcPr>
            <w:tcW w:w="2240" w:type="dxa"/>
            <w:vAlign w:val="bottom"/>
            <w:gridSpan w:val="3"/>
            <w:shd w:val="clear" w:color="auto" w:fill="CCEEFF"/>
          </w:tcPr>
          <w:p>
            <w:pPr>
              <w:ind w:left="220"/>
              <w:spacing w:after="0" w:line="117" w:lineRule="exact"/>
              <w:rPr>
                <w:sz w:val="20"/>
                <w:szCs w:val="20"/>
                <w:color w:val="auto"/>
              </w:rPr>
            </w:pPr>
            <w:r>
              <w:rPr>
                <w:rFonts w:ascii="Times New Roman" w:cs="Times New Roman" w:eastAsia="Times New Roman" w:hAnsi="Times New Roman"/>
                <w:sz w:val="13"/>
                <w:szCs w:val="13"/>
                <w:color w:val="auto"/>
              </w:rPr>
              <w:t>Phoenix Reading Club</w:t>
            </w:r>
          </w:p>
        </w:tc>
        <w:tc>
          <w:tcPr>
            <w:tcW w:w="1300" w:type="dxa"/>
            <w:vAlign w:val="bottom"/>
            <w:gridSpan w:val="2"/>
            <w:shd w:val="clear" w:color="auto" w:fill="CCEEFF"/>
          </w:tcPr>
          <w:p>
            <w:pPr>
              <w:ind w:left="160"/>
              <w:spacing w:after="0" w:line="117" w:lineRule="exact"/>
              <w:rPr>
                <w:sz w:val="20"/>
                <w:szCs w:val="20"/>
                <w:color w:val="auto"/>
              </w:rPr>
            </w:pPr>
            <w:r>
              <w:rPr>
                <w:rFonts w:ascii="Times New Roman" w:cs="Times New Roman" w:eastAsia="Times New Roman" w:hAnsi="Times New Roman"/>
                <w:sz w:val="13"/>
                <w:szCs w:val="13"/>
                <w:color w:val="auto"/>
              </w:rPr>
              <w:t>No fewer than 750</w:t>
            </w:r>
          </w:p>
        </w:tc>
        <w:tc>
          <w:tcPr>
            <w:tcW w:w="900" w:type="dxa"/>
            <w:vAlign w:val="bottom"/>
            <w:gridSpan w:val="2"/>
            <w:shd w:val="clear" w:color="auto" w:fill="CCEEFF"/>
          </w:tcPr>
          <w:p>
            <w:pPr>
              <w:ind w:left="180"/>
              <w:spacing w:after="0" w:line="117" w:lineRule="exact"/>
              <w:rPr>
                <w:sz w:val="20"/>
                <w:szCs w:val="20"/>
                <w:color w:val="auto"/>
              </w:rPr>
            </w:pPr>
            <w:r>
              <w:rPr>
                <w:rFonts w:ascii="Times New Roman" w:cs="Times New Roman" w:eastAsia="Times New Roman" w:hAnsi="Times New Roman"/>
                <w:sz w:val="13"/>
                <w:szCs w:val="13"/>
                <w:color w:val="auto"/>
                <w:w w:val="94"/>
              </w:rPr>
              <w:t>Club Platform</w:t>
            </w:r>
          </w:p>
        </w:tc>
        <w:tc>
          <w:tcPr>
            <w:tcW w:w="1280" w:type="dxa"/>
            <w:vAlign w:val="bottom"/>
            <w:shd w:val="clear" w:color="auto" w:fill="CCEEFF"/>
          </w:tcPr>
          <w:p>
            <w:pPr>
              <w:ind w:left="360"/>
              <w:spacing w:after="0" w:line="117" w:lineRule="exact"/>
              <w:rPr>
                <w:sz w:val="20"/>
                <w:szCs w:val="20"/>
                <w:color w:val="auto"/>
              </w:rPr>
            </w:pPr>
            <w:r>
              <w:rPr>
                <w:rFonts w:ascii="Times New Roman" w:cs="Times New Roman" w:eastAsia="Times New Roman" w:hAnsi="Times New Roman"/>
                <w:sz w:val="13"/>
                <w:szCs w:val="13"/>
                <w:color w:val="auto"/>
              </w:rPr>
              <w:t>Channels</w:t>
            </w:r>
          </w:p>
        </w:tc>
        <w:tc>
          <w:tcPr>
            <w:tcW w:w="1340" w:type="dxa"/>
            <w:vAlign w:val="bottom"/>
            <w:gridSpan w:val="2"/>
            <w:shd w:val="clear" w:color="auto" w:fill="CCEEFF"/>
          </w:tcPr>
          <w:p>
            <w:pPr>
              <w:ind w:left="160"/>
              <w:spacing w:after="0" w:line="117" w:lineRule="exact"/>
              <w:rPr>
                <w:sz w:val="20"/>
                <w:szCs w:val="20"/>
                <w:color w:val="auto"/>
              </w:rPr>
            </w:pPr>
            <w:r>
              <w:rPr>
                <w:rFonts w:ascii="Times New Roman" w:cs="Times New Roman" w:eastAsia="Times New Roman" w:hAnsi="Times New Roman"/>
                <w:sz w:val="13"/>
                <w:szCs w:val="13"/>
                <w:color w:val="auto"/>
              </w:rPr>
              <w:t>260 series</w:t>
            </w:r>
          </w:p>
        </w:tc>
      </w:tr>
      <w:tr>
        <w:trPr>
          <w:trHeight w:val="135"/>
        </w:trPr>
        <w:tc>
          <w:tcPr>
            <w:tcW w:w="4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person-times; and a</w:t>
            </w:r>
          </w:p>
        </w:tc>
        <w:tc>
          <w:tcPr>
            <w:tcW w:w="90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Operational</w:t>
            </w:r>
          </w:p>
        </w:tc>
        <w:tc>
          <w:tcPr>
            <w:tcW w:w="1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135"/>
        </w:trPr>
        <w:tc>
          <w:tcPr>
            <w:tcW w:w="4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w w:val="95"/>
              </w:rPr>
              <w:t>minimum of 10 events</w:t>
            </w:r>
          </w:p>
        </w:tc>
        <w:tc>
          <w:tcPr>
            <w:tcW w:w="90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Needs</w:t>
            </w:r>
          </w:p>
        </w:tc>
        <w:tc>
          <w:tcPr>
            <w:tcW w:w="1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153"/>
        </w:trPr>
        <w:tc>
          <w:tcPr>
            <w:tcW w:w="4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 6 cities.</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bl>
    <w:p>
      <w:pPr>
        <w:spacing w:after="0" w:line="116" w:lineRule="exact"/>
        <w:rPr>
          <w:sz w:val="20"/>
          <w:szCs w:val="20"/>
          <w:color w:val="auto"/>
        </w:rPr>
      </w:pPr>
    </w:p>
    <w:p>
      <w:pPr>
        <w:sectPr>
          <w:pgSz w:w="11900" w:h="16900" w:orient="portrait"/>
          <w:cols w:equalWidth="0" w:num="1">
            <w:col w:w="11460"/>
          </w:cols>
          <w:pgMar w:left="240" w:top="117" w:right="19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10060" w:type="dxa"/>
            <w:vAlign w:val="bottom"/>
            <w:shd w:val="clear" w:color="auto" w:fill="CCEEFF"/>
          </w:tcPr>
          <w:p>
            <w:pPr>
              <w:ind w:left="9160"/>
              <w:spacing w:after="0"/>
              <w:rPr>
                <w:sz w:val="20"/>
                <w:szCs w:val="20"/>
                <w:color w:val="auto"/>
              </w:rPr>
            </w:pPr>
            <w:r>
              <w:rPr>
                <w:rFonts w:ascii="Times New Roman" w:cs="Times New Roman" w:eastAsia="Times New Roman" w:hAnsi="Times New Roman"/>
                <w:sz w:val="13"/>
                <w:szCs w:val="13"/>
                <w:color w:val="auto"/>
              </w:rPr>
              <w:t>News contents</w:t>
            </w:r>
          </w:p>
        </w:tc>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w w:val="95"/>
              </w:rPr>
              <w:t>Real-time updates each</w:t>
            </w:r>
          </w:p>
        </w:tc>
      </w:tr>
      <w:tr>
        <w:trPr>
          <w:trHeight w:val="164"/>
        </w:trPr>
        <w:tc>
          <w:tcPr>
            <w:tcW w:w="10060" w:type="dxa"/>
            <w:vAlign w:val="bottom"/>
            <w:shd w:val="clear" w:color="auto" w:fill="CCEEFF"/>
          </w:tcPr>
          <w:p>
            <w:pPr>
              <w:spacing w:after="0"/>
              <w:rPr>
                <w:sz w:val="14"/>
                <w:szCs w:val="14"/>
                <w:color w:val="auto"/>
              </w:rPr>
            </w:pPr>
          </w:p>
        </w:tc>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day, and at least 50</w:t>
            </w:r>
          </w:p>
        </w:tc>
      </w:tr>
      <w:tr>
        <w:trPr>
          <w:trHeight w:val="86"/>
        </w:trPr>
        <w:tc>
          <w:tcPr>
            <w:tcW w:w="1006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r>
    </w:tbl>
    <w:p>
      <w:pPr>
        <w:sectPr>
          <w:pgSz w:w="11900" w:h="16900" w:orient="portrait"/>
          <w:cols w:equalWidth="0" w:num="1">
            <w:col w:w="11460"/>
          </w:cols>
          <w:pgMar w:left="240" w:top="117" w:right="199" w:bottom="0" w:gutter="0" w:footer="0" w:header="0"/>
          <w:type w:val="continuous"/>
        </w:sectPr>
      </w:pPr>
    </w:p>
    <w:bookmarkStart w:id="135" w:name="page136"/>
    <w:bookmarkEnd w:id="135"/>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44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13"/>
                <w:szCs w:val="13"/>
                <w:color w:val="auto"/>
              </w:rPr>
              <w:t>pieces each day</w:t>
            </w:r>
          </w:p>
        </w:tc>
      </w:tr>
      <w:tr>
        <w:trPr>
          <w:trHeight w:val="149"/>
        </w:trPr>
        <w:tc>
          <w:tcPr>
            <w:tcW w:w="5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440" w:type="dxa"/>
            <w:vAlign w:val="bottom"/>
          </w:tcPr>
          <w:p>
            <w:pPr>
              <w:spacing w:after="0"/>
              <w:rPr>
                <w:sz w:val="12"/>
                <w:szCs w:val="12"/>
                <w:color w:val="auto"/>
              </w:rPr>
            </w:pPr>
          </w:p>
        </w:tc>
      </w:tr>
      <w:tr>
        <w:trPr>
          <w:trHeight w:val="117"/>
        </w:trPr>
        <w:tc>
          <w:tcPr>
            <w:tcW w:w="5560" w:type="dxa"/>
            <w:vAlign w:val="bottom"/>
            <w:shd w:val="clear" w:color="auto" w:fill="CCEEFF"/>
          </w:tcPr>
          <w:p>
            <w:pPr>
              <w:ind w:left="4580"/>
              <w:spacing w:after="0" w:line="117" w:lineRule="exact"/>
              <w:rPr>
                <w:sz w:val="20"/>
                <w:szCs w:val="20"/>
                <w:color w:val="auto"/>
              </w:rPr>
            </w:pPr>
            <w:r>
              <w:rPr>
                <w:rFonts w:ascii="Times New Roman" w:cs="Times New Roman" w:eastAsia="Times New Roman" w:hAnsi="Times New Roman"/>
                <w:sz w:val="13"/>
                <w:szCs w:val="13"/>
                <w:color w:val="auto"/>
              </w:rPr>
              <w:t>Media Resources</w:t>
            </w:r>
          </w:p>
        </w:tc>
        <w:tc>
          <w:tcPr>
            <w:tcW w:w="110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iFeng.com media</w:t>
            </w:r>
          </w:p>
        </w:tc>
        <w:tc>
          <w:tcPr>
            <w:tcW w:w="132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No fewer than 200</w:t>
            </w:r>
          </w:p>
        </w:tc>
        <w:tc>
          <w:tcPr>
            <w:tcW w:w="344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—such specifications shall be satisfied and surpassed)</w:t>
            </w:r>
          </w:p>
        </w:tc>
      </w:tr>
      <w:tr>
        <w:trPr>
          <w:trHeight w:val="153"/>
        </w:trPr>
        <w:tc>
          <w:tcPr>
            <w:tcW w:w="5560" w:type="dxa"/>
            <w:vAlign w:val="bottom"/>
            <w:shd w:val="clear" w:color="auto" w:fill="CCEEFF"/>
          </w:tcPr>
          <w:p>
            <w:pPr>
              <w:spacing w:after="0"/>
              <w:rPr>
                <w:sz w:val="13"/>
                <w:szCs w:val="13"/>
                <w:color w:val="auto"/>
              </w:rPr>
            </w:pPr>
          </w:p>
        </w:tc>
        <w:tc>
          <w:tcPr>
            <w:tcW w:w="1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report</w:t>
            </w:r>
          </w:p>
        </w:tc>
        <w:tc>
          <w:tcPr>
            <w:tcW w:w="1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times</w:t>
            </w:r>
          </w:p>
        </w:tc>
        <w:tc>
          <w:tcPr>
            <w:tcW w:w="3440" w:type="dxa"/>
            <w:vAlign w:val="bottom"/>
            <w:shd w:val="clear" w:color="auto" w:fill="CCEEFF"/>
          </w:tcPr>
          <w:p>
            <w:pPr>
              <w:spacing w:after="0"/>
              <w:rPr>
                <w:sz w:val="13"/>
                <w:szCs w:val="13"/>
                <w:color w:val="auto"/>
              </w:rPr>
            </w:pPr>
          </w:p>
        </w:tc>
      </w:tr>
      <w:tr>
        <w:trPr>
          <w:trHeight w:val="149"/>
        </w:trPr>
        <w:tc>
          <w:tcPr>
            <w:tcW w:w="5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440" w:type="dxa"/>
            <w:vAlign w:val="bottom"/>
          </w:tcPr>
          <w:p>
            <w:pPr>
              <w:spacing w:after="0"/>
              <w:rPr>
                <w:sz w:val="12"/>
                <w:szCs w:val="12"/>
                <w:color w:val="auto"/>
              </w:rPr>
            </w:pPr>
          </w:p>
        </w:tc>
      </w:tr>
      <w:tr>
        <w:trPr>
          <w:trHeight w:val="126"/>
        </w:trPr>
        <w:tc>
          <w:tcPr>
            <w:tcW w:w="5560" w:type="dxa"/>
            <w:vAlign w:val="bottom"/>
            <w:shd w:val="clear" w:color="auto" w:fill="CCEEFF"/>
          </w:tcPr>
          <w:p>
            <w:pPr>
              <w:spacing w:after="0"/>
              <w:rPr>
                <w:sz w:val="10"/>
                <w:szCs w:val="10"/>
                <w:color w:val="auto"/>
              </w:rPr>
            </w:pPr>
          </w:p>
        </w:tc>
        <w:tc>
          <w:tcPr>
            <w:tcW w:w="110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iFeng.com tier-</w:t>
            </w:r>
          </w:p>
        </w:tc>
        <w:tc>
          <w:tcPr>
            <w:tcW w:w="132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1</w:t>
            </w:r>
          </w:p>
        </w:tc>
        <w:tc>
          <w:tcPr>
            <w:tcW w:w="3440" w:type="dxa"/>
            <w:vAlign w:val="bottom"/>
            <w:shd w:val="clear" w:color="auto" w:fill="CCEEFF"/>
          </w:tcPr>
          <w:p>
            <w:pPr>
              <w:spacing w:after="0"/>
              <w:rPr>
                <w:sz w:val="10"/>
                <w:szCs w:val="10"/>
                <w:color w:val="auto"/>
              </w:rPr>
            </w:pPr>
          </w:p>
        </w:tc>
      </w:tr>
      <w:tr>
        <w:trPr>
          <w:trHeight w:val="171"/>
        </w:trPr>
        <w:tc>
          <w:tcPr>
            <w:tcW w:w="5560" w:type="dxa"/>
            <w:vAlign w:val="bottom"/>
            <w:shd w:val="clear" w:color="auto" w:fill="CCEEFF"/>
          </w:tcPr>
          <w:p>
            <w:pPr>
              <w:spacing w:after="0"/>
              <w:rPr>
                <w:sz w:val="14"/>
                <w:szCs w:val="14"/>
                <w:color w:val="auto"/>
              </w:rPr>
            </w:pPr>
          </w:p>
        </w:tc>
        <w:tc>
          <w:tcPr>
            <w:tcW w:w="1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 channel</w:t>
            </w:r>
          </w:p>
        </w:tc>
        <w:tc>
          <w:tcPr>
            <w:tcW w:w="132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r>
      <w:tr>
        <w:trPr>
          <w:trHeight w:val="149"/>
        </w:trPr>
        <w:tc>
          <w:tcPr>
            <w:tcW w:w="5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440" w:type="dxa"/>
            <w:vAlign w:val="bottom"/>
          </w:tcPr>
          <w:p>
            <w:pPr>
              <w:spacing w:after="0"/>
              <w:rPr>
                <w:sz w:val="12"/>
                <w:szCs w:val="12"/>
                <w:color w:val="auto"/>
              </w:rPr>
            </w:pPr>
          </w:p>
        </w:tc>
      </w:tr>
      <w:tr>
        <w:trPr>
          <w:trHeight w:val="117"/>
        </w:trPr>
        <w:tc>
          <w:tcPr>
            <w:tcW w:w="5560" w:type="dxa"/>
            <w:vAlign w:val="bottom"/>
            <w:shd w:val="clear" w:color="auto" w:fill="CCEEFF"/>
          </w:tcPr>
          <w:p>
            <w:pPr>
              <w:spacing w:after="0"/>
              <w:rPr>
                <w:sz w:val="10"/>
                <w:szCs w:val="10"/>
                <w:color w:val="auto"/>
              </w:rPr>
            </w:pPr>
          </w:p>
        </w:tc>
        <w:tc>
          <w:tcPr>
            <w:tcW w:w="110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iFeng.com 10086</w:t>
            </w:r>
          </w:p>
        </w:tc>
        <w:tc>
          <w:tcPr>
            <w:tcW w:w="132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1</w:t>
            </w:r>
          </w:p>
        </w:tc>
        <w:tc>
          <w:tcPr>
            <w:tcW w:w="3440" w:type="dxa"/>
            <w:vAlign w:val="bottom"/>
            <w:shd w:val="clear" w:color="auto" w:fill="CCEEFF"/>
          </w:tcPr>
          <w:p>
            <w:pPr>
              <w:spacing w:after="0"/>
              <w:rPr>
                <w:sz w:val="10"/>
                <w:szCs w:val="10"/>
                <w:color w:val="auto"/>
              </w:rPr>
            </w:pPr>
          </w:p>
        </w:tc>
      </w:tr>
      <w:tr>
        <w:trPr>
          <w:trHeight w:val="153"/>
        </w:trPr>
        <w:tc>
          <w:tcPr>
            <w:tcW w:w="5560" w:type="dxa"/>
            <w:vAlign w:val="bottom"/>
            <w:shd w:val="clear" w:color="auto" w:fill="CCEEFF"/>
          </w:tcPr>
          <w:p>
            <w:pPr>
              <w:spacing w:after="0"/>
              <w:rPr>
                <w:sz w:val="13"/>
                <w:szCs w:val="13"/>
                <w:color w:val="auto"/>
              </w:rPr>
            </w:pPr>
          </w:p>
        </w:tc>
        <w:tc>
          <w:tcPr>
            <w:tcW w:w="1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dedicated zone</w:t>
            </w:r>
          </w:p>
        </w:tc>
        <w:tc>
          <w:tcPr>
            <w:tcW w:w="1320" w:type="dxa"/>
            <w:vAlign w:val="bottom"/>
            <w:shd w:val="clear" w:color="auto" w:fill="CCEEFF"/>
          </w:tcPr>
          <w:p>
            <w:pPr>
              <w:spacing w:after="0"/>
              <w:rPr>
                <w:sz w:val="13"/>
                <w:szCs w:val="13"/>
                <w:color w:val="auto"/>
              </w:rPr>
            </w:pPr>
          </w:p>
        </w:tc>
        <w:tc>
          <w:tcPr>
            <w:tcW w:w="3440" w:type="dxa"/>
            <w:vAlign w:val="bottom"/>
            <w:shd w:val="clear" w:color="auto" w:fill="CCEEFF"/>
          </w:tcPr>
          <w:p>
            <w:pPr>
              <w:spacing w:after="0"/>
              <w:rPr>
                <w:sz w:val="13"/>
                <w:szCs w:val="13"/>
                <w:color w:val="auto"/>
              </w:rPr>
            </w:pPr>
          </w:p>
        </w:tc>
      </w:tr>
      <w:tr>
        <w:trPr>
          <w:trHeight w:val="149"/>
        </w:trPr>
        <w:tc>
          <w:tcPr>
            <w:tcW w:w="5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440" w:type="dxa"/>
            <w:vAlign w:val="bottom"/>
          </w:tcPr>
          <w:p>
            <w:pPr>
              <w:spacing w:after="0"/>
              <w:rPr>
                <w:sz w:val="12"/>
                <w:szCs w:val="12"/>
                <w:color w:val="auto"/>
              </w:rPr>
            </w:pPr>
          </w:p>
        </w:tc>
      </w:tr>
      <w:tr>
        <w:trPr>
          <w:trHeight w:val="117"/>
        </w:trPr>
        <w:tc>
          <w:tcPr>
            <w:tcW w:w="5560" w:type="dxa"/>
            <w:vAlign w:val="bottom"/>
            <w:shd w:val="clear" w:color="auto" w:fill="CCEEFF"/>
          </w:tcPr>
          <w:p>
            <w:pPr>
              <w:spacing w:after="0"/>
              <w:rPr>
                <w:sz w:val="10"/>
                <w:szCs w:val="10"/>
                <w:color w:val="auto"/>
              </w:rPr>
            </w:pPr>
          </w:p>
        </w:tc>
        <w:tc>
          <w:tcPr>
            <w:tcW w:w="110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iFeng.com large</w:t>
            </w:r>
          </w:p>
        </w:tc>
        <w:tc>
          <w:tcPr>
            <w:tcW w:w="132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No fewer than 5</w:t>
            </w:r>
          </w:p>
        </w:tc>
        <w:tc>
          <w:tcPr>
            <w:tcW w:w="3440" w:type="dxa"/>
            <w:vAlign w:val="bottom"/>
            <w:shd w:val="clear" w:color="auto" w:fill="CCEEFF"/>
          </w:tcPr>
          <w:p>
            <w:pPr>
              <w:spacing w:after="0"/>
              <w:rPr>
                <w:sz w:val="10"/>
                <w:szCs w:val="10"/>
                <w:color w:val="auto"/>
              </w:rPr>
            </w:pPr>
          </w:p>
        </w:tc>
      </w:tr>
      <w:tr>
        <w:trPr>
          <w:trHeight w:val="153"/>
        </w:trPr>
        <w:tc>
          <w:tcPr>
            <w:tcW w:w="5560" w:type="dxa"/>
            <w:vAlign w:val="bottom"/>
            <w:shd w:val="clear" w:color="auto" w:fill="CCEEFF"/>
          </w:tcPr>
          <w:p>
            <w:pPr>
              <w:spacing w:after="0"/>
              <w:rPr>
                <w:sz w:val="13"/>
                <w:szCs w:val="13"/>
                <w:color w:val="auto"/>
              </w:rPr>
            </w:pPr>
          </w:p>
        </w:tc>
        <w:tc>
          <w:tcPr>
            <w:tcW w:w="1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special report</w:t>
            </w:r>
          </w:p>
        </w:tc>
        <w:tc>
          <w:tcPr>
            <w:tcW w:w="1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series.</w:t>
            </w:r>
          </w:p>
        </w:tc>
        <w:tc>
          <w:tcPr>
            <w:tcW w:w="3440" w:type="dxa"/>
            <w:vAlign w:val="bottom"/>
            <w:shd w:val="clear" w:color="auto" w:fill="CCEEFF"/>
          </w:tcPr>
          <w:p>
            <w:pPr>
              <w:spacing w:after="0"/>
              <w:rPr>
                <w:sz w:val="13"/>
                <w:szCs w:val="13"/>
                <w:color w:val="auto"/>
              </w:rPr>
            </w:pPr>
          </w:p>
        </w:tc>
      </w:tr>
      <w:tr>
        <w:trPr>
          <w:trHeight w:val="149"/>
        </w:trPr>
        <w:tc>
          <w:tcPr>
            <w:tcW w:w="5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440" w:type="dxa"/>
            <w:vAlign w:val="bottom"/>
          </w:tcPr>
          <w:p>
            <w:pPr>
              <w:spacing w:after="0"/>
              <w:rPr>
                <w:sz w:val="12"/>
                <w:szCs w:val="12"/>
                <w:color w:val="auto"/>
              </w:rPr>
            </w:pPr>
          </w:p>
        </w:tc>
      </w:tr>
      <w:tr>
        <w:trPr>
          <w:trHeight w:val="117"/>
        </w:trPr>
        <w:tc>
          <w:tcPr>
            <w:tcW w:w="5560" w:type="dxa"/>
            <w:vAlign w:val="bottom"/>
            <w:shd w:val="clear" w:color="auto" w:fill="CCEEFF"/>
          </w:tcPr>
          <w:p>
            <w:pPr>
              <w:spacing w:after="0"/>
              <w:rPr>
                <w:sz w:val="10"/>
                <w:szCs w:val="10"/>
                <w:color w:val="auto"/>
              </w:rPr>
            </w:pPr>
          </w:p>
        </w:tc>
        <w:tc>
          <w:tcPr>
            <w:tcW w:w="110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Mobile</w:t>
            </w:r>
          </w:p>
        </w:tc>
        <w:tc>
          <w:tcPr>
            <w:tcW w:w="132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No fewer than 140</w:t>
            </w:r>
          </w:p>
        </w:tc>
        <w:tc>
          <w:tcPr>
            <w:tcW w:w="3440" w:type="dxa"/>
            <w:vAlign w:val="bottom"/>
            <w:shd w:val="clear" w:color="auto" w:fill="CCEEFF"/>
          </w:tcPr>
          <w:p>
            <w:pPr>
              <w:spacing w:after="0"/>
              <w:rPr>
                <w:sz w:val="10"/>
                <w:szCs w:val="10"/>
                <w:color w:val="auto"/>
              </w:rPr>
            </w:pPr>
          </w:p>
        </w:tc>
      </w:tr>
      <w:tr>
        <w:trPr>
          <w:trHeight w:val="153"/>
        </w:trPr>
        <w:tc>
          <w:tcPr>
            <w:tcW w:w="5560" w:type="dxa"/>
            <w:vAlign w:val="bottom"/>
            <w:shd w:val="clear" w:color="auto" w:fill="CCEEFF"/>
          </w:tcPr>
          <w:p>
            <w:pPr>
              <w:spacing w:after="0"/>
              <w:rPr>
                <w:sz w:val="13"/>
                <w:szCs w:val="13"/>
                <w:color w:val="auto"/>
              </w:rPr>
            </w:pPr>
          </w:p>
        </w:tc>
        <w:tc>
          <w:tcPr>
            <w:tcW w:w="1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newspaper report</w:t>
            </w:r>
          </w:p>
        </w:tc>
        <w:tc>
          <w:tcPr>
            <w:tcW w:w="1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times</w:t>
            </w:r>
          </w:p>
        </w:tc>
        <w:tc>
          <w:tcPr>
            <w:tcW w:w="3440" w:type="dxa"/>
            <w:vAlign w:val="bottom"/>
            <w:shd w:val="clear" w:color="auto" w:fill="CCEEFF"/>
          </w:tcPr>
          <w:p>
            <w:pPr>
              <w:spacing w:after="0"/>
              <w:rPr>
                <w:sz w:val="13"/>
                <w:szCs w:val="13"/>
                <w:color w:val="auto"/>
              </w:rPr>
            </w:pPr>
          </w:p>
        </w:tc>
      </w:tr>
      <w:tr>
        <w:trPr>
          <w:trHeight w:val="149"/>
        </w:trPr>
        <w:tc>
          <w:tcPr>
            <w:tcW w:w="5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440" w:type="dxa"/>
            <w:vAlign w:val="bottom"/>
          </w:tcPr>
          <w:p>
            <w:pPr>
              <w:spacing w:after="0"/>
              <w:rPr>
                <w:sz w:val="12"/>
                <w:szCs w:val="12"/>
                <w:color w:val="auto"/>
              </w:rPr>
            </w:pPr>
          </w:p>
        </w:tc>
      </w:tr>
      <w:tr>
        <w:trPr>
          <w:trHeight w:val="117"/>
        </w:trPr>
        <w:tc>
          <w:tcPr>
            <w:tcW w:w="5560" w:type="dxa"/>
            <w:vAlign w:val="bottom"/>
            <w:shd w:val="clear" w:color="auto" w:fill="CCEEFF"/>
          </w:tcPr>
          <w:p>
            <w:pPr>
              <w:spacing w:after="0"/>
              <w:rPr>
                <w:sz w:val="10"/>
                <w:szCs w:val="10"/>
                <w:color w:val="auto"/>
              </w:rPr>
            </w:pPr>
          </w:p>
        </w:tc>
        <w:tc>
          <w:tcPr>
            <w:tcW w:w="110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Promotion entry</w:t>
            </w:r>
          </w:p>
        </w:tc>
        <w:tc>
          <w:tcPr>
            <w:tcW w:w="132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No fewer than 10</w:t>
            </w:r>
          </w:p>
        </w:tc>
        <w:tc>
          <w:tcPr>
            <w:tcW w:w="3440" w:type="dxa"/>
            <w:vAlign w:val="bottom"/>
            <w:shd w:val="clear" w:color="auto" w:fill="CCEEFF"/>
          </w:tcPr>
          <w:p>
            <w:pPr>
              <w:spacing w:after="0"/>
              <w:rPr>
                <w:sz w:val="10"/>
                <w:szCs w:val="10"/>
                <w:color w:val="auto"/>
              </w:rPr>
            </w:pPr>
          </w:p>
        </w:tc>
      </w:tr>
      <w:tr>
        <w:trPr>
          <w:trHeight w:val="153"/>
        </w:trPr>
        <w:tc>
          <w:tcPr>
            <w:tcW w:w="5560" w:type="dxa"/>
            <w:vAlign w:val="bottom"/>
            <w:shd w:val="clear" w:color="auto" w:fill="CCEEFF"/>
          </w:tcPr>
          <w:p>
            <w:pPr>
              <w:spacing w:after="0"/>
              <w:rPr>
                <w:sz w:val="13"/>
                <w:szCs w:val="13"/>
                <w:color w:val="auto"/>
              </w:rPr>
            </w:pPr>
          </w:p>
        </w:tc>
        <w:tc>
          <w:tcPr>
            <w:tcW w:w="1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points</w:t>
            </w:r>
          </w:p>
        </w:tc>
        <w:tc>
          <w:tcPr>
            <w:tcW w:w="1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entry points</w:t>
            </w:r>
          </w:p>
        </w:tc>
        <w:tc>
          <w:tcPr>
            <w:tcW w:w="3440" w:type="dxa"/>
            <w:vAlign w:val="bottom"/>
            <w:shd w:val="clear" w:color="auto" w:fill="CCEEFF"/>
          </w:tcPr>
          <w:p>
            <w:pPr>
              <w:spacing w:after="0"/>
              <w:rPr>
                <w:sz w:val="13"/>
                <w:szCs w:val="13"/>
                <w:color w:val="auto"/>
              </w:rPr>
            </w:pPr>
          </w:p>
        </w:tc>
      </w:tr>
      <w:tr>
        <w:trPr>
          <w:trHeight w:val="149"/>
        </w:trPr>
        <w:tc>
          <w:tcPr>
            <w:tcW w:w="5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440" w:type="dxa"/>
            <w:vAlign w:val="bottom"/>
          </w:tcPr>
          <w:p>
            <w:pPr>
              <w:spacing w:after="0"/>
              <w:rPr>
                <w:sz w:val="12"/>
                <w:szCs w:val="12"/>
                <w:color w:val="auto"/>
              </w:rPr>
            </w:pPr>
          </w:p>
        </w:tc>
      </w:tr>
      <w:tr>
        <w:trPr>
          <w:trHeight w:val="117"/>
        </w:trPr>
        <w:tc>
          <w:tcPr>
            <w:tcW w:w="5560" w:type="dxa"/>
            <w:vAlign w:val="bottom"/>
            <w:shd w:val="clear" w:color="auto" w:fill="CCEEFF"/>
          </w:tcPr>
          <w:p>
            <w:pPr>
              <w:ind w:left="4580"/>
              <w:spacing w:after="0" w:line="117" w:lineRule="exact"/>
              <w:rPr>
                <w:sz w:val="20"/>
                <w:szCs w:val="20"/>
                <w:color w:val="auto"/>
              </w:rPr>
            </w:pPr>
            <w:r>
              <w:rPr>
                <w:rFonts w:ascii="Times New Roman" w:cs="Times New Roman" w:eastAsia="Times New Roman" w:hAnsi="Times New Roman"/>
                <w:sz w:val="13"/>
                <w:szCs w:val="13"/>
                <w:color w:val="auto"/>
              </w:rPr>
              <w:t>Content</w:t>
            </w:r>
          </w:p>
        </w:tc>
        <w:tc>
          <w:tcPr>
            <w:tcW w:w="110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Phoenix Video</w:t>
            </w:r>
          </w:p>
        </w:tc>
        <w:tc>
          <w:tcPr>
            <w:tcW w:w="132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No fewer than 500</w:t>
            </w:r>
          </w:p>
        </w:tc>
        <w:tc>
          <w:tcPr>
            <w:tcW w:w="3440" w:type="dxa"/>
            <w:vAlign w:val="bottom"/>
            <w:shd w:val="clear" w:color="auto" w:fill="CCEEFF"/>
          </w:tcPr>
          <w:p>
            <w:pPr>
              <w:spacing w:after="0"/>
              <w:rPr>
                <w:sz w:val="10"/>
                <w:szCs w:val="10"/>
                <w:color w:val="auto"/>
              </w:rPr>
            </w:pPr>
          </w:p>
        </w:tc>
      </w:tr>
      <w:tr>
        <w:trPr>
          <w:trHeight w:val="153"/>
        </w:trPr>
        <w:tc>
          <w:tcPr>
            <w:tcW w:w="5560" w:type="dxa"/>
            <w:vAlign w:val="bottom"/>
            <w:shd w:val="clear" w:color="auto" w:fill="CCEEFF"/>
          </w:tcPr>
          <w:p>
            <w:pPr>
              <w:ind w:left="4580"/>
              <w:spacing w:after="0"/>
              <w:rPr>
                <w:sz w:val="20"/>
                <w:szCs w:val="20"/>
                <w:color w:val="auto"/>
              </w:rPr>
            </w:pPr>
            <w:r>
              <w:rPr>
                <w:rFonts w:ascii="Times New Roman" w:cs="Times New Roman" w:eastAsia="Times New Roman" w:hAnsi="Times New Roman"/>
                <w:sz w:val="13"/>
                <w:szCs w:val="13"/>
                <w:color w:val="auto"/>
              </w:rPr>
              <w:t>Resources</w:t>
            </w:r>
          </w:p>
        </w:tc>
        <w:tc>
          <w:tcPr>
            <w:tcW w:w="1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broadcasts</w:t>
            </w:r>
          </w:p>
        </w:tc>
        <w:tc>
          <w:tcPr>
            <w:tcW w:w="1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series</w:t>
            </w:r>
          </w:p>
        </w:tc>
        <w:tc>
          <w:tcPr>
            <w:tcW w:w="3440" w:type="dxa"/>
            <w:vAlign w:val="bottom"/>
            <w:shd w:val="clear" w:color="auto" w:fill="CCEEFF"/>
          </w:tcPr>
          <w:p>
            <w:pPr>
              <w:spacing w:after="0"/>
              <w:rPr>
                <w:sz w:val="13"/>
                <w:szCs w:val="13"/>
                <w:color w:val="auto"/>
              </w:rPr>
            </w:pPr>
          </w:p>
        </w:tc>
      </w:tr>
      <w:tr>
        <w:trPr>
          <w:trHeight w:val="149"/>
        </w:trPr>
        <w:tc>
          <w:tcPr>
            <w:tcW w:w="5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440" w:type="dxa"/>
            <w:vAlign w:val="bottom"/>
          </w:tcPr>
          <w:p>
            <w:pPr>
              <w:spacing w:after="0"/>
              <w:rPr>
                <w:sz w:val="12"/>
                <w:szCs w:val="12"/>
                <w:color w:val="auto"/>
              </w:rPr>
            </w:pPr>
          </w:p>
        </w:tc>
      </w:tr>
      <w:tr>
        <w:trPr>
          <w:trHeight w:val="117"/>
        </w:trPr>
        <w:tc>
          <w:tcPr>
            <w:tcW w:w="5560" w:type="dxa"/>
            <w:vAlign w:val="bottom"/>
            <w:shd w:val="clear" w:color="auto" w:fill="CCEEFF"/>
          </w:tcPr>
          <w:p>
            <w:pPr>
              <w:spacing w:after="0"/>
              <w:rPr>
                <w:sz w:val="10"/>
                <w:szCs w:val="10"/>
                <w:color w:val="auto"/>
              </w:rPr>
            </w:pPr>
          </w:p>
        </w:tc>
        <w:tc>
          <w:tcPr>
            <w:tcW w:w="110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Phoenix reading</w:t>
            </w:r>
          </w:p>
        </w:tc>
        <w:tc>
          <w:tcPr>
            <w:tcW w:w="132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No fewer than 100</w:t>
            </w:r>
          </w:p>
        </w:tc>
        <w:tc>
          <w:tcPr>
            <w:tcW w:w="3440" w:type="dxa"/>
            <w:vAlign w:val="bottom"/>
            <w:shd w:val="clear" w:color="auto" w:fill="CCEEFF"/>
          </w:tcPr>
          <w:p>
            <w:pPr>
              <w:spacing w:after="0"/>
              <w:rPr>
                <w:sz w:val="10"/>
                <w:szCs w:val="10"/>
                <w:color w:val="auto"/>
              </w:rPr>
            </w:pPr>
          </w:p>
        </w:tc>
      </w:tr>
      <w:tr>
        <w:trPr>
          <w:trHeight w:val="153"/>
        </w:trPr>
        <w:tc>
          <w:tcPr>
            <w:tcW w:w="5560" w:type="dxa"/>
            <w:vAlign w:val="bottom"/>
            <w:shd w:val="clear" w:color="auto" w:fill="CCEEFF"/>
          </w:tcPr>
          <w:p>
            <w:pPr>
              <w:spacing w:after="0"/>
              <w:rPr>
                <w:sz w:val="13"/>
                <w:szCs w:val="13"/>
                <w:color w:val="auto"/>
              </w:rPr>
            </w:pPr>
          </w:p>
        </w:tc>
        <w:tc>
          <w:tcPr>
            <w:tcW w:w="1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contents</w:t>
            </w:r>
          </w:p>
        </w:tc>
        <w:tc>
          <w:tcPr>
            <w:tcW w:w="1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books</w:t>
            </w:r>
          </w:p>
        </w:tc>
        <w:tc>
          <w:tcPr>
            <w:tcW w:w="3440" w:type="dxa"/>
            <w:vAlign w:val="bottom"/>
            <w:shd w:val="clear" w:color="auto" w:fill="CCEEFF"/>
          </w:tcPr>
          <w:p>
            <w:pPr>
              <w:spacing w:after="0"/>
              <w:rPr>
                <w:sz w:val="13"/>
                <w:szCs w:val="13"/>
                <w:color w:val="auto"/>
              </w:rPr>
            </w:pPr>
          </w:p>
        </w:tc>
      </w:tr>
      <w:tr>
        <w:trPr>
          <w:trHeight w:val="149"/>
        </w:trPr>
        <w:tc>
          <w:tcPr>
            <w:tcW w:w="5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440" w:type="dxa"/>
            <w:vAlign w:val="bottom"/>
          </w:tcPr>
          <w:p>
            <w:pPr>
              <w:spacing w:after="0"/>
              <w:rPr>
                <w:sz w:val="12"/>
                <w:szCs w:val="12"/>
                <w:color w:val="auto"/>
              </w:rPr>
            </w:pPr>
          </w:p>
        </w:tc>
      </w:tr>
      <w:tr>
        <w:trPr>
          <w:trHeight w:val="117"/>
        </w:trPr>
        <w:tc>
          <w:tcPr>
            <w:tcW w:w="5560" w:type="dxa"/>
            <w:vAlign w:val="bottom"/>
            <w:shd w:val="clear" w:color="auto" w:fill="CCEEFF"/>
          </w:tcPr>
          <w:p>
            <w:pPr>
              <w:spacing w:after="0"/>
              <w:rPr>
                <w:sz w:val="10"/>
                <w:szCs w:val="10"/>
                <w:color w:val="auto"/>
              </w:rPr>
            </w:pPr>
          </w:p>
        </w:tc>
        <w:tc>
          <w:tcPr>
            <w:tcW w:w="110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News contents</w:t>
            </w:r>
          </w:p>
        </w:tc>
        <w:tc>
          <w:tcPr>
            <w:tcW w:w="132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Real-time update, and</w:t>
            </w:r>
          </w:p>
        </w:tc>
        <w:tc>
          <w:tcPr>
            <w:tcW w:w="3440" w:type="dxa"/>
            <w:vAlign w:val="bottom"/>
            <w:shd w:val="clear" w:color="auto" w:fill="CCEEFF"/>
          </w:tcPr>
          <w:p>
            <w:pPr>
              <w:spacing w:after="0"/>
              <w:rPr>
                <w:sz w:val="10"/>
                <w:szCs w:val="10"/>
                <w:color w:val="auto"/>
              </w:rPr>
            </w:pPr>
          </w:p>
        </w:tc>
      </w:tr>
      <w:tr>
        <w:trPr>
          <w:trHeight w:val="135"/>
        </w:trPr>
        <w:tc>
          <w:tcPr>
            <w:tcW w:w="55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3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at least 50 pieces each</w:t>
            </w:r>
          </w:p>
        </w:tc>
        <w:tc>
          <w:tcPr>
            <w:tcW w:w="3440" w:type="dxa"/>
            <w:vAlign w:val="bottom"/>
            <w:shd w:val="clear" w:color="auto" w:fill="CCEEFF"/>
          </w:tcPr>
          <w:p>
            <w:pPr>
              <w:spacing w:after="0"/>
              <w:rPr>
                <w:sz w:val="11"/>
                <w:szCs w:val="11"/>
                <w:color w:val="auto"/>
              </w:rPr>
            </w:pPr>
          </w:p>
        </w:tc>
      </w:tr>
      <w:tr>
        <w:trPr>
          <w:trHeight w:val="153"/>
        </w:trPr>
        <w:tc>
          <w:tcPr>
            <w:tcW w:w="55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day</w:t>
            </w:r>
          </w:p>
        </w:tc>
        <w:tc>
          <w:tcPr>
            <w:tcW w:w="3440" w:type="dxa"/>
            <w:vAlign w:val="bottom"/>
            <w:shd w:val="clear" w:color="auto" w:fill="CCEEFF"/>
          </w:tcPr>
          <w:p>
            <w:pPr>
              <w:spacing w:after="0"/>
              <w:rPr>
                <w:sz w:val="13"/>
                <w:szCs w:val="13"/>
                <w:color w:val="auto"/>
              </w:rPr>
            </w:pPr>
          </w:p>
        </w:tc>
      </w:tr>
    </w:tbl>
    <w:p>
      <w:pPr>
        <w:spacing w:after="0" w:line="1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4"/>
          <w:szCs w:val="14"/>
          <w:color w:val="auto"/>
        </w:rPr>
        <w:t>—such specifications shall be satisfied and surpassed)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946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Article 1. Content of</w:t>
            </w:r>
          </w:p>
        </w:tc>
        <w:tc>
          <w:tcPr>
            <w:tcW w:w="2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“Party A and Party B shall conduct</w:t>
            </w:r>
          </w:p>
        </w:tc>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N/A — this article is deleted</w:t>
            </w:r>
          </w:p>
        </w:tc>
        <w:tc>
          <w:tcPr>
            <w:tcW w:w="49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3"/>
                <w:szCs w:val="13"/>
                <w:color w:val="auto"/>
              </w:rPr>
              <w:t>N/A — this article is deleted</w:t>
            </w:r>
          </w:p>
        </w:tc>
        <w:tc>
          <w:tcPr>
            <w:tcW w:w="40" w:type="dxa"/>
            <w:vAlign w:val="bottom"/>
          </w:tcPr>
          <w:p>
            <w:pPr>
              <w:spacing w:after="0"/>
              <w:rPr>
                <w:sz w:val="12"/>
                <w:szCs w:val="12"/>
                <w:color w:val="auto"/>
              </w:rPr>
            </w:pPr>
          </w:p>
        </w:tc>
      </w:tr>
      <w:tr>
        <w:trPr>
          <w:trHeight w:val="135"/>
        </w:trPr>
        <w:tc>
          <w:tcPr>
            <w:tcW w:w="1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Cooperation —</w:t>
            </w:r>
          </w:p>
        </w:tc>
        <w:tc>
          <w:tcPr>
            <w:tcW w:w="2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jointly the “GoTone Current Affairs</w:t>
            </w:r>
          </w:p>
        </w:tc>
        <w:tc>
          <w:tcPr>
            <w:tcW w:w="3140" w:type="dxa"/>
            <w:vAlign w:val="bottom"/>
            <w:shd w:val="clear" w:color="auto" w:fill="CCEEFF"/>
          </w:tcPr>
          <w:p>
            <w:pPr>
              <w:spacing w:after="0"/>
              <w:rPr>
                <w:sz w:val="11"/>
                <w:szCs w:val="11"/>
                <w:color w:val="auto"/>
              </w:rPr>
            </w:pPr>
          </w:p>
        </w:tc>
        <w:tc>
          <w:tcPr>
            <w:tcW w:w="49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1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Section 1.3.1</w:t>
            </w:r>
          </w:p>
        </w:tc>
        <w:tc>
          <w:tcPr>
            <w:tcW w:w="2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Forum” activity: Party A shall provide</w:t>
            </w:r>
          </w:p>
        </w:tc>
        <w:tc>
          <w:tcPr>
            <w:tcW w:w="3140" w:type="dxa"/>
            <w:vAlign w:val="bottom"/>
            <w:shd w:val="clear" w:color="auto" w:fill="CCEEFF"/>
          </w:tcPr>
          <w:p>
            <w:pPr>
              <w:spacing w:after="0"/>
              <w:rPr>
                <w:sz w:val="11"/>
                <w:szCs w:val="11"/>
                <w:color w:val="auto"/>
              </w:rPr>
            </w:pPr>
          </w:p>
        </w:tc>
        <w:tc>
          <w:tcPr>
            <w:tcW w:w="49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1180" w:type="dxa"/>
            <w:vAlign w:val="bottom"/>
            <w:shd w:val="clear" w:color="auto" w:fill="CCEEFF"/>
          </w:tcPr>
          <w:p>
            <w:pPr>
              <w:spacing w:after="0"/>
              <w:rPr>
                <w:sz w:val="11"/>
                <w:szCs w:val="11"/>
                <w:color w:val="auto"/>
              </w:rPr>
            </w:pPr>
          </w:p>
        </w:tc>
        <w:tc>
          <w:tcPr>
            <w:tcW w:w="2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site and host Party B, while Party B</w:t>
            </w:r>
          </w:p>
        </w:tc>
        <w:tc>
          <w:tcPr>
            <w:tcW w:w="3140" w:type="dxa"/>
            <w:vAlign w:val="bottom"/>
            <w:shd w:val="clear" w:color="auto" w:fill="CCEEFF"/>
          </w:tcPr>
          <w:p>
            <w:pPr>
              <w:spacing w:after="0"/>
              <w:rPr>
                <w:sz w:val="11"/>
                <w:szCs w:val="11"/>
                <w:color w:val="auto"/>
              </w:rPr>
            </w:pPr>
          </w:p>
        </w:tc>
        <w:tc>
          <w:tcPr>
            <w:tcW w:w="49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1180" w:type="dxa"/>
            <w:vAlign w:val="bottom"/>
            <w:shd w:val="clear" w:color="auto" w:fill="CCEEFF"/>
          </w:tcPr>
          <w:p>
            <w:pPr>
              <w:spacing w:after="0"/>
              <w:rPr>
                <w:sz w:val="11"/>
                <w:szCs w:val="11"/>
                <w:color w:val="auto"/>
              </w:rPr>
            </w:pPr>
          </w:p>
        </w:tc>
        <w:tc>
          <w:tcPr>
            <w:tcW w:w="2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shall provide hosts and lecturers who</w:t>
            </w:r>
          </w:p>
        </w:tc>
        <w:tc>
          <w:tcPr>
            <w:tcW w:w="3140" w:type="dxa"/>
            <w:vAlign w:val="bottom"/>
            <w:shd w:val="clear" w:color="auto" w:fill="CCEEFF"/>
          </w:tcPr>
          <w:p>
            <w:pPr>
              <w:spacing w:after="0"/>
              <w:rPr>
                <w:sz w:val="11"/>
                <w:szCs w:val="11"/>
                <w:color w:val="auto"/>
              </w:rPr>
            </w:pPr>
          </w:p>
        </w:tc>
        <w:tc>
          <w:tcPr>
            <w:tcW w:w="49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1180" w:type="dxa"/>
            <w:vAlign w:val="bottom"/>
            <w:shd w:val="clear" w:color="auto" w:fill="CCEEFF"/>
          </w:tcPr>
          <w:p>
            <w:pPr>
              <w:spacing w:after="0"/>
              <w:rPr>
                <w:sz w:val="11"/>
                <w:szCs w:val="11"/>
                <w:color w:val="auto"/>
              </w:rPr>
            </w:pPr>
          </w:p>
        </w:tc>
        <w:tc>
          <w:tcPr>
            <w:tcW w:w="2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shall perform no less than thirty-one</w:t>
            </w:r>
          </w:p>
        </w:tc>
        <w:tc>
          <w:tcPr>
            <w:tcW w:w="3140" w:type="dxa"/>
            <w:vAlign w:val="bottom"/>
            <w:shd w:val="clear" w:color="auto" w:fill="CCEEFF"/>
          </w:tcPr>
          <w:p>
            <w:pPr>
              <w:spacing w:after="0"/>
              <w:rPr>
                <w:sz w:val="11"/>
                <w:szCs w:val="11"/>
                <w:color w:val="auto"/>
              </w:rPr>
            </w:pPr>
          </w:p>
        </w:tc>
        <w:tc>
          <w:tcPr>
            <w:tcW w:w="49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1180" w:type="dxa"/>
            <w:vAlign w:val="bottom"/>
            <w:shd w:val="clear" w:color="auto" w:fill="CCEEFF"/>
          </w:tcPr>
          <w:p>
            <w:pPr>
              <w:spacing w:after="0"/>
              <w:rPr>
                <w:sz w:val="11"/>
                <w:szCs w:val="11"/>
                <w:color w:val="auto"/>
              </w:rPr>
            </w:pPr>
          </w:p>
        </w:tc>
        <w:tc>
          <w:tcPr>
            <w:tcW w:w="2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(31) tour presentations throughout the</w:t>
            </w:r>
          </w:p>
        </w:tc>
        <w:tc>
          <w:tcPr>
            <w:tcW w:w="3140" w:type="dxa"/>
            <w:vAlign w:val="bottom"/>
            <w:shd w:val="clear" w:color="auto" w:fill="CCEEFF"/>
          </w:tcPr>
          <w:p>
            <w:pPr>
              <w:spacing w:after="0"/>
              <w:rPr>
                <w:sz w:val="11"/>
                <w:szCs w:val="11"/>
                <w:color w:val="auto"/>
              </w:rPr>
            </w:pPr>
          </w:p>
        </w:tc>
        <w:tc>
          <w:tcPr>
            <w:tcW w:w="49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1180" w:type="dxa"/>
            <w:vAlign w:val="bottom"/>
            <w:shd w:val="clear" w:color="auto" w:fill="CCEEFF"/>
          </w:tcPr>
          <w:p>
            <w:pPr>
              <w:spacing w:after="0"/>
              <w:rPr>
                <w:sz w:val="13"/>
                <w:szCs w:val="13"/>
                <w:color w:val="auto"/>
              </w:rPr>
            </w:pPr>
          </w:p>
        </w:tc>
        <w:tc>
          <w:tcPr>
            <w:tcW w:w="2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country.”</w:t>
            </w:r>
          </w:p>
        </w:tc>
        <w:tc>
          <w:tcPr>
            <w:tcW w:w="3140" w:type="dxa"/>
            <w:vAlign w:val="bottom"/>
            <w:shd w:val="clear" w:color="auto" w:fill="CCEEFF"/>
          </w:tcPr>
          <w:p>
            <w:pPr>
              <w:spacing w:after="0"/>
              <w:rPr>
                <w:sz w:val="13"/>
                <w:szCs w:val="13"/>
                <w:color w:val="auto"/>
              </w:rPr>
            </w:pPr>
          </w:p>
        </w:tc>
        <w:tc>
          <w:tcPr>
            <w:tcW w:w="492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348"/>
        </w:trPr>
        <w:tc>
          <w:tcPr>
            <w:tcW w:w="118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3140" w:type="dxa"/>
            <w:vAlign w:val="bottom"/>
            <w:tcBorders>
              <w:bottom w:val="single" w:sz="8" w:color="808080"/>
            </w:tcBorders>
          </w:tcPr>
          <w:p>
            <w:pPr>
              <w:spacing w:after="0"/>
              <w:rPr>
                <w:sz w:val="24"/>
                <w:szCs w:val="24"/>
                <w:color w:val="auto"/>
              </w:rPr>
            </w:pPr>
          </w:p>
        </w:tc>
        <w:tc>
          <w:tcPr>
            <w:tcW w:w="49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5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Material difference</w:t>
            </w:r>
          </w:p>
        </w:tc>
        <w:tc>
          <w:tcPr>
            <w:tcW w:w="160" w:type="dxa"/>
            <w:vAlign w:val="bottom"/>
          </w:tcPr>
          <w:p>
            <w:pPr>
              <w:spacing w:after="0"/>
              <w:rPr>
                <w:sz w:val="13"/>
                <w:szCs w:val="13"/>
                <w:color w:val="auto"/>
              </w:rPr>
            </w:pPr>
          </w:p>
        </w:tc>
        <w:tc>
          <w:tcPr>
            <w:tcW w:w="246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Cooperation Agreement 2011</w:t>
            </w:r>
          </w:p>
        </w:tc>
        <w:tc>
          <w:tcPr>
            <w:tcW w:w="248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Cooperation Agreement 2014</w:t>
            </w:r>
          </w:p>
        </w:tc>
        <w:tc>
          <w:tcPr>
            <w:tcW w:w="248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Cooperation Agreement 2015</w:t>
            </w:r>
          </w:p>
        </w:tc>
        <w:tc>
          <w:tcPr>
            <w:tcW w:w="234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Cooperation Agreement 2016</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3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3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3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14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Article 1. Content of</w:t>
            </w:r>
          </w:p>
        </w:tc>
        <w:tc>
          <w:tcPr>
            <w:tcW w:w="2620" w:type="dxa"/>
            <w:vAlign w:val="bottom"/>
            <w:gridSpan w:val="3"/>
            <w:shd w:val="clear" w:color="auto" w:fill="CCEEFF"/>
          </w:tcPr>
          <w:p>
            <w:pPr>
              <w:ind w:left="160"/>
              <w:spacing w:after="0" w:line="117" w:lineRule="exact"/>
              <w:rPr>
                <w:sz w:val="20"/>
                <w:szCs w:val="20"/>
                <w:color w:val="auto"/>
              </w:rPr>
            </w:pPr>
            <w:r>
              <w:rPr>
                <w:rFonts w:ascii="Times New Roman" w:cs="Times New Roman" w:eastAsia="Times New Roman" w:hAnsi="Times New Roman"/>
                <w:sz w:val="13"/>
                <w:szCs w:val="13"/>
                <w:color w:val="auto"/>
              </w:rPr>
              <w:t>“Based on the blueprint of the limited-</w:t>
            </w:r>
          </w:p>
        </w:tc>
        <w:tc>
          <w:tcPr>
            <w:tcW w:w="248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Party B will provide a series of services</w:t>
            </w:r>
          </w:p>
        </w:tc>
        <w:tc>
          <w:tcPr>
            <w:tcW w:w="248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N/A — this article is deleted</w:t>
            </w:r>
          </w:p>
        </w:tc>
        <w:tc>
          <w:tcPr>
            <w:tcW w:w="23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N/A — this article is deleted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4"/>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Cooperation — Section 1.3.2   distribution edition of the ‘Phoenix Weekly’</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related to the operation and support of</w:t>
            </w: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which is distributed in the mainland area of</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“Customers Club”, planning of activities,</w:t>
            </w: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China, Party B shall make available to Party</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liaison, information collection, data analysis</w:t>
            </w: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A prior to the fifteenth (15th) date of each</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and dissemination package to Party A. Based</w:t>
            </w: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month Twenty Thousand (20,000) copies of</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on Party A’s demand and by incorporating</w:t>
            </w: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the premium edition of the ‘Phoenix</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information of both parties’ products and</w:t>
            </w: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Weekly’, which edition shall contain all the</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services and Party B’s media resources, Party</w:t>
            </w: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contents of the third issue of the ‘Phoenix</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B should develop and operate a customer-end</w:t>
            </w: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Weekly’ of each month and the digest of no</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product for Party A’s customer with</w:t>
            </w: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less than eight (8) sheets (sixteen (16) pages)</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information, service, sales and</w:t>
            </w: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of the first two issues of the ‘Phoenix</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communication functions, and continue to</w:t>
            </w: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Weekly’ of the then current month.</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improve such product as required by Party</w:t>
            </w: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Concurrently, Party B shall provided to Party</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w:t>
            </w: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A’s clients the electronic edition of the</w:t>
            </w: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‘Phoenix Weekly’ magazine for free, the</w:t>
            </w: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realization of which to be determined by both</w:t>
            </w: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Parties through negotiation.”</w:t>
            </w:r>
          </w:p>
        </w:tc>
        <w:tc>
          <w:tcPr>
            <w:tcW w:w="2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14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Article 1. Content of</w:t>
            </w:r>
          </w:p>
        </w:tc>
        <w:tc>
          <w:tcPr>
            <w:tcW w:w="2620" w:type="dxa"/>
            <w:vAlign w:val="bottom"/>
            <w:gridSpan w:val="3"/>
            <w:shd w:val="clear" w:color="auto" w:fill="CCEEFF"/>
          </w:tcPr>
          <w:p>
            <w:pPr>
              <w:ind w:left="160"/>
              <w:spacing w:after="0" w:line="117" w:lineRule="exact"/>
              <w:rPr>
                <w:sz w:val="20"/>
                <w:szCs w:val="20"/>
                <w:color w:val="auto"/>
              </w:rPr>
            </w:pPr>
            <w:r>
              <w:rPr>
                <w:rFonts w:ascii="Times New Roman" w:cs="Times New Roman" w:eastAsia="Times New Roman" w:hAnsi="Times New Roman"/>
                <w:sz w:val="13"/>
                <w:szCs w:val="13"/>
                <w:color w:val="auto"/>
              </w:rPr>
              <w:t>“In combination with the “GoTone Phoenix</w:t>
            </w:r>
          </w:p>
        </w:tc>
        <w:tc>
          <w:tcPr>
            <w:tcW w:w="248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N/A — This article is moved to Article 1.3.1</w:t>
            </w:r>
          </w:p>
        </w:tc>
        <w:tc>
          <w:tcPr>
            <w:tcW w:w="248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N/A — this article is deleted</w:t>
            </w:r>
          </w:p>
        </w:tc>
        <w:tc>
          <w:tcPr>
            <w:tcW w:w="23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N/A — this article is deleted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4"/>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Cooperation — Section 1.3.3   Current Affairs Forum” and in light of the</w:t>
            </w: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current hot spots of the society, Party B shall</w:t>
            </w: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conduct reading activities in collaboration</w:t>
            </w: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with Party A and present ten thousand</w:t>
            </w: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(1,000) gift books to Party A in support of</w:t>
            </w: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the “GoTone Phoenix Current Affairs</w:t>
            </w: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Forum” activity. The list of the books shall</w:t>
            </w: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be determined by both Parties through</w:t>
            </w: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negotiation.”</w:t>
            </w:r>
          </w:p>
        </w:tc>
        <w:tc>
          <w:tcPr>
            <w:tcW w:w="2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14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Article 1. Content of</w:t>
            </w:r>
          </w:p>
        </w:tc>
        <w:tc>
          <w:tcPr>
            <w:tcW w:w="2620" w:type="dxa"/>
            <w:vAlign w:val="bottom"/>
            <w:gridSpan w:val="3"/>
            <w:shd w:val="clear" w:color="auto" w:fill="CCEEFF"/>
          </w:tcPr>
          <w:p>
            <w:pPr>
              <w:ind w:left="160"/>
              <w:spacing w:after="0" w:line="117" w:lineRule="exact"/>
              <w:rPr>
                <w:sz w:val="20"/>
                <w:szCs w:val="20"/>
                <w:color w:val="auto"/>
              </w:rPr>
            </w:pPr>
            <w:r>
              <w:rPr>
                <w:rFonts w:ascii="Times New Roman" w:cs="Times New Roman" w:eastAsia="Times New Roman" w:hAnsi="Times New Roman"/>
                <w:sz w:val="13"/>
                <w:szCs w:val="13"/>
                <w:color w:val="auto"/>
              </w:rPr>
              <w:t>“In support of Party A’s daily marketing</w:t>
            </w:r>
          </w:p>
        </w:tc>
        <w:tc>
          <w:tcPr>
            <w:tcW w:w="248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“In support of Party A’s daily marketing</w:t>
            </w:r>
          </w:p>
        </w:tc>
        <w:tc>
          <w:tcPr>
            <w:tcW w:w="248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N/A — this article is deleted</w:t>
            </w:r>
          </w:p>
        </w:tc>
        <w:tc>
          <w:tcPr>
            <w:tcW w:w="23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N/A — this article is deleted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4"/>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Cooperation — Section 1.3.4   endeavors, Party B shall provide news</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endeavors, Party B shall provide media</w:t>
            </w: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coverage and dissemination services for</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coverage for Party A’s relevant activities</w:t>
            </w: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Party A through Phoenix Satellite TV (no</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through www.ifeng.com no less than 400</w:t>
            </w: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less than 24 times a year), GoTone Phoenix</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times a year and large special reports no less</w:t>
            </w: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Mobile Newspaper (no less than 60 times a</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than five times a year.” This article is moved</w:t>
            </w: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year), 3g.ifeng.com (no less than 40 times a</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to Section 1.3.3</w:t>
            </w: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year), and Phoenix Mobile TV (a video</w:t>
            </w: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application, no less than 35 times a year).”</w:t>
            </w:r>
          </w:p>
        </w:tc>
        <w:tc>
          <w:tcPr>
            <w:tcW w:w="2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1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1. Content of</w:t>
            </w:r>
          </w:p>
        </w:tc>
        <w:tc>
          <w:tcPr>
            <w:tcW w:w="1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“Party B shall set up for Party A a “GoTone</w:t>
            </w:r>
          </w:p>
        </w:tc>
        <w:tc>
          <w:tcPr>
            <w:tcW w:w="2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 — this article is deleted</w:t>
            </w:r>
          </w:p>
        </w:tc>
        <w:tc>
          <w:tcPr>
            <w:tcW w:w="2340" w:type="dxa"/>
            <w:vAlign w:val="bottom"/>
          </w:tcPr>
          <w:p>
            <w:pPr>
              <w:spacing w:after="0"/>
              <w:rPr>
                <w:sz w:val="20"/>
                <w:szCs w:val="20"/>
                <w:color w:val="auto"/>
              </w:rPr>
            </w:pPr>
            <w:r>
              <w:rPr>
                <w:rFonts w:ascii="Times New Roman" w:cs="Times New Roman" w:eastAsia="Times New Roman" w:hAnsi="Times New Roman"/>
                <w:sz w:val="13"/>
                <w:szCs w:val="13"/>
                <w:color w:val="auto"/>
              </w:rPr>
              <w:t>N/A — this article is deleted</w:t>
            </w:r>
          </w:p>
        </w:tc>
        <w:tc>
          <w:tcPr>
            <w:tcW w:w="0" w:type="dxa"/>
            <w:vAlign w:val="bottom"/>
          </w:tcPr>
          <w:p>
            <w:pPr>
              <w:spacing w:after="0"/>
              <w:rPr>
                <w:sz w:val="1"/>
                <w:szCs w:val="1"/>
                <w:color w:val="auto"/>
              </w:rPr>
            </w:pPr>
          </w:p>
        </w:tc>
      </w:tr>
      <w:tr>
        <w:trPr>
          <w:trHeight w:val="135"/>
        </w:trPr>
        <w:tc>
          <w:tcPr>
            <w:tcW w:w="15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w w:val="97"/>
              </w:rPr>
              <w:t>Cooperation — Section 1.3.5</w:t>
            </w:r>
          </w:p>
        </w:tc>
        <w:tc>
          <w:tcPr>
            <w:tcW w:w="1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VIP Current Affairs Forum”, a first-class</w:t>
            </w:r>
          </w:p>
        </w:tc>
        <w:tc>
          <w:tcPr>
            <w:tcW w:w="2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channel, at www.ifeng.com and give</w:t>
            </w:r>
          </w:p>
        </w:tc>
        <w:tc>
          <w:tcPr>
            <w:tcW w:w="2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extensive publicity to such channel and the</w:t>
            </w:r>
          </w:p>
        </w:tc>
        <w:tc>
          <w:tcPr>
            <w:tcW w:w="2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activities thereof by using Phoenix website’s</w:t>
            </w:r>
          </w:p>
        </w:tc>
        <w:tc>
          <w:tcPr>
            <w:tcW w:w="2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internal resources (Banner, Focus Picture and</w:t>
            </w:r>
          </w:p>
        </w:tc>
        <w:tc>
          <w:tcPr>
            <w:tcW w:w="2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Text Link etc.). Party B shall ensure average</w:t>
            </w:r>
          </w:p>
        </w:tc>
        <w:tc>
          <w:tcPr>
            <w:tcW w:w="2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daily website hits of over 5,500,000 times.</w:t>
            </w: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-682625</wp:posOffset>
            </wp:positionV>
            <wp:extent cx="7246620" cy="15436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1543685"/>
                    </a:xfrm>
                    <a:prstGeom prst="rect">
                      <a:avLst/>
                    </a:prstGeom>
                    <a:noFill/>
                  </pic:spPr>
                </pic:pic>
              </a:graphicData>
            </a:graphic>
          </wp:anchor>
        </w:drawing>
      </w:r>
    </w:p>
    <w:p>
      <w:pPr>
        <w:ind w:left="4120"/>
        <w:spacing w:after="0" w:line="216" w:lineRule="auto"/>
        <w:rPr>
          <w:sz w:val="20"/>
          <w:szCs w:val="20"/>
          <w:color w:val="auto"/>
        </w:rPr>
      </w:pPr>
      <w:r>
        <w:rPr>
          <w:rFonts w:ascii="Times New Roman" w:cs="Times New Roman" w:eastAsia="Times New Roman" w:hAnsi="Times New Roman"/>
          <w:sz w:val="13"/>
          <w:szCs w:val="13"/>
          <w:color w:val="auto"/>
        </w:rPr>
        <w:t>Party B shall, after editing the wording,</w:t>
      </w:r>
    </w:p>
    <w:p>
      <w:pPr>
        <w:ind w:left="4120"/>
        <w:spacing w:after="0" w:line="217" w:lineRule="auto"/>
        <w:rPr>
          <w:sz w:val="20"/>
          <w:szCs w:val="20"/>
          <w:color w:val="auto"/>
        </w:rPr>
      </w:pPr>
      <w:r>
        <w:rPr>
          <w:rFonts w:ascii="Times New Roman" w:cs="Times New Roman" w:eastAsia="Times New Roman" w:hAnsi="Times New Roman"/>
          <w:sz w:val="13"/>
          <w:szCs w:val="13"/>
          <w:color w:val="auto"/>
        </w:rPr>
        <w:t>pictures or videos from the Affairs Forum</w:t>
      </w:r>
    </w:p>
    <w:p>
      <w:pPr>
        <w:ind w:left="4120"/>
        <w:spacing w:after="0" w:line="217" w:lineRule="auto"/>
        <w:rPr>
          <w:sz w:val="20"/>
          <w:szCs w:val="20"/>
          <w:color w:val="auto"/>
        </w:rPr>
      </w:pPr>
      <w:r>
        <w:rPr>
          <w:rFonts w:ascii="Times New Roman" w:cs="Times New Roman" w:eastAsia="Times New Roman" w:hAnsi="Times New Roman"/>
          <w:sz w:val="13"/>
          <w:szCs w:val="13"/>
          <w:color w:val="auto"/>
        </w:rPr>
        <w:t>and after obtaining speakers’ approval,</w:t>
      </w:r>
    </w:p>
    <w:p>
      <w:pPr>
        <w:ind w:left="4120"/>
        <w:spacing w:after="0" w:line="217" w:lineRule="auto"/>
        <w:rPr>
          <w:sz w:val="20"/>
          <w:szCs w:val="20"/>
          <w:color w:val="auto"/>
        </w:rPr>
      </w:pPr>
      <w:r>
        <w:rPr>
          <w:rFonts w:ascii="Times New Roman" w:cs="Times New Roman" w:eastAsia="Times New Roman" w:hAnsi="Times New Roman"/>
          <w:sz w:val="13"/>
          <w:szCs w:val="13"/>
          <w:color w:val="auto"/>
        </w:rPr>
        <w:t>broadcast such information on the GoTone</w:t>
      </w:r>
    </w:p>
    <w:p>
      <w:pPr>
        <w:ind w:left="4120"/>
        <w:spacing w:after="0" w:line="217" w:lineRule="auto"/>
        <w:rPr>
          <w:sz w:val="20"/>
          <w:szCs w:val="20"/>
          <w:color w:val="auto"/>
        </w:rPr>
      </w:pPr>
      <w:r>
        <w:rPr>
          <w:rFonts w:ascii="Times New Roman" w:cs="Times New Roman" w:eastAsia="Times New Roman" w:hAnsi="Times New Roman"/>
          <w:sz w:val="13"/>
          <w:szCs w:val="13"/>
          <w:color w:val="auto"/>
        </w:rPr>
        <w:t>VIP Current Affairs Forum channel. Party B</w:t>
      </w:r>
    </w:p>
    <w:p>
      <w:pPr>
        <w:ind w:left="4120"/>
        <w:spacing w:after="0" w:line="216" w:lineRule="auto"/>
        <w:rPr>
          <w:sz w:val="20"/>
          <w:szCs w:val="20"/>
          <w:color w:val="auto"/>
        </w:rPr>
      </w:pPr>
      <w:r>
        <w:rPr>
          <w:rFonts w:ascii="Times New Roman" w:cs="Times New Roman" w:eastAsia="Times New Roman" w:hAnsi="Times New Roman"/>
          <w:sz w:val="13"/>
          <w:szCs w:val="13"/>
          <w:color w:val="auto"/>
        </w:rPr>
        <w:t>shall also set up a service and sales section</w:t>
      </w:r>
    </w:p>
    <w:p>
      <w:pPr>
        <w:ind w:left="4120"/>
        <w:spacing w:after="0" w:line="217" w:lineRule="auto"/>
        <w:rPr>
          <w:sz w:val="20"/>
          <w:szCs w:val="20"/>
          <w:color w:val="auto"/>
        </w:rPr>
      </w:pPr>
      <w:r>
        <w:rPr>
          <w:rFonts w:ascii="Times New Roman" w:cs="Times New Roman" w:eastAsia="Times New Roman" w:hAnsi="Times New Roman"/>
          <w:sz w:val="13"/>
          <w:szCs w:val="13"/>
          <w:color w:val="auto"/>
        </w:rPr>
        <w:t>(10086.ifeng.com), promote Party A’s service</w:t>
      </w:r>
    </w:p>
    <w:p>
      <w:pPr>
        <w:ind w:left="4120"/>
        <w:spacing w:after="0" w:line="217" w:lineRule="auto"/>
        <w:rPr>
          <w:sz w:val="20"/>
          <w:szCs w:val="20"/>
          <w:color w:val="auto"/>
        </w:rPr>
      </w:pPr>
      <w:r>
        <w:rPr>
          <w:rFonts w:ascii="Times New Roman" w:cs="Times New Roman" w:eastAsia="Times New Roman" w:hAnsi="Times New Roman"/>
          <w:sz w:val="13"/>
          <w:szCs w:val="13"/>
          <w:color w:val="auto"/>
        </w:rPr>
        <w:t>in the relatively important spot in the website</w:t>
      </w:r>
    </w:p>
    <w:p>
      <w:pPr>
        <w:ind w:left="4120"/>
        <w:spacing w:after="0" w:line="217" w:lineRule="auto"/>
        <w:rPr>
          <w:sz w:val="20"/>
          <w:szCs w:val="20"/>
          <w:color w:val="auto"/>
        </w:rPr>
      </w:pPr>
      <w:r>
        <w:rPr>
          <w:rFonts w:ascii="Times New Roman" w:cs="Times New Roman" w:eastAsia="Times New Roman" w:hAnsi="Times New Roman"/>
          <w:sz w:val="13"/>
          <w:szCs w:val="13"/>
          <w:color w:val="auto"/>
        </w:rPr>
        <w:t>for Party A in the long term, broadcast and</w:t>
      </w:r>
    </w:p>
    <w:p>
      <w:pPr>
        <w:ind w:left="4120"/>
        <w:spacing w:after="0"/>
        <w:rPr>
          <w:sz w:val="20"/>
          <w:szCs w:val="20"/>
          <w:color w:val="auto"/>
        </w:rPr>
      </w:pPr>
      <w:r>
        <w:rPr>
          <w:rFonts w:ascii="Times New Roman" w:cs="Times New Roman" w:eastAsia="Times New Roman" w:hAnsi="Times New Roman"/>
          <w:sz w:val="13"/>
          <w:szCs w:val="13"/>
          <w:color w:val="auto"/>
        </w:rPr>
        <w:t>disseminate news coverage or videos of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3"/>
          <w:szCs w:val="13"/>
          <w:color w:val="auto"/>
        </w:rPr>
        <w:t>A, and ensure average daily section hits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6620" cy="2571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ind w:left="4120"/>
        <w:spacing w:after="0" w:line="216" w:lineRule="auto"/>
        <w:rPr>
          <w:sz w:val="20"/>
          <w:szCs w:val="20"/>
          <w:color w:val="auto"/>
        </w:rPr>
      </w:pPr>
      <w:r>
        <w:rPr>
          <w:rFonts w:ascii="Times New Roman" w:cs="Times New Roman" w:eastAsia="Times New Roman" w:hAnsi="Times New Roman"/>
          <w:sz w:val="13"/>
          <w:szCs w:val="13"/>
          <w:color w:val="auto"/>
        </w:rPr>
        <w:t>over 500,000.” As Section 1.3.4,</w:t>
      </w:r>
    </w:p>
    <w:p>
      <w:pPr>
        <w:spacing w:after="0" w:line="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3"/>
          <w:szCs w:val="13"/>
          <w:color w:val="auto"/>
        </w:rPr>
        <w:t>Section 1.3.5 is deleted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Article 1. Content of</w:t>
            </w:r>
          </w:p>
        </w:tc>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“The term of cooperation between Party A</w:t>
            </w:r>
          </w:p>
        </w:tc>
        <w:tc>
          <w:tcPr>
            <w:tcW w:w="2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“The term of cooperation between Party A</w:t>
            </w:r>
          </w:p>
        </w:tc>
        <w:tc>
          <w:tcPr>
            <w:tcW w:w="2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N/A — this article is deleted</w:t>
            </w:r>
          </w:p>
        </w:tc>
        <w:tc>
          <w:tcPr>
            <w:tcW w:w="2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N/A — this article is deleted</w:t>
            </w:r>
          </w:p>
        </w:tc>
      </w:tr>
      <w:tr>
        <w:trPr>
          <w:trHeight w:val="135"/>
        </w:trPr>
        <w:tc>
          <w:tcPr>
            <w:tcW w:w="1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Cooperation — Section 1.4.</w:t>
            </w:r>
          </w:p>
        </w:tc>
        <w:tc>
          <w:tcPr>
            <w:tcW w:w="24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and Party B shall commence on January 1,</w:t>
            </w:r>
          </w:p>
        </w:tc>
        <w:tc>
          <w:tcPr>
            <w:tcW w:w="248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and Party B shall commence on January 1,</w:t>
            </w:r>
          </w:p>
        </w:tc>
        <w:tc>
          <w:tcPr>
            <w:tcW w:w="212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r>
      <w:tr>
        <w:trPr>
          <w:trHeight w:val="153"/>
        </w:trPr>
        <w:tc>
          <w:tcPr>
            <w:tcW w:w="1540" w:type="dxa"/>
            <w:vAlign w:val="bottom"/>
            <w:shd w:val="clear" w:color="auto" w:fill="CCEEFF"/>
          </w:tcPr>
          <w:p>
            <w:pPr>
              <w:spacing w:after="0"/>
              <w:rPr>
                <w:sz w:val="13"/>
                <w:szCs w:val="13"/>
                <w:color w:val="auto"/>
              </w:rPr>
            </w:pPr>
          </w:p>
        </w:tc>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2011 and end on December 31, 2011.”</w:t>
            </w:r>
          </w:p>
        </w:tc>
        <w:tc>
          <w:tcPr>
            <w:tcW w:w="2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2014 and end on December 31, 2014.”</w:t>
            </w:r>
          </w:p>
        </w:tc>
        <w:tc>
          <w:tcPr>
            <w:tcW w:w="2120" w:type="dxa"/>
            <w:vAlign w:val="bottom"/>
            <w:shd w:val="clear" w:color="auto" w:fill="CCEEFF"/>
          </w:tcPr>
          <w:p>
            <w:pPr>
              <w:spacing w:after="0"/>
              <w:rPr>
                <w:sz w:val="13"/>
                <w:szCs w:val="13"/>
                <w:color w:val="auto"/>
              </w:rPr>
            </w:pPr>
          </w:p>
        </w:tc>
        <w:tc>
          <w:tcPr>
            <w:tcW w:w="2860" w:type="dxa"/>
            <w:vAlign w:val="bottom"/>
            <w:shd w:val="clear" w:color="auto" w:fill="CCEEFF"/>
          </w:tcPr>
          <w:p>
            <w:pPr>
              <w:spacing w:after="0"/>
              <w:rPr>
                <w:sz w:val="13"/>
                <w:szCs w:val="13"/>
                <w:color w:val="auto"/>
              </w:rPr>
            </w:pPr>
          </w:p>
        </w:tc>
      </w:tr>
    </w:tbl>
    <w:p>
      <w:pPr>
        <w:sectPr>
          <w:pgSz w:w="11900" w:h="16857" w:orient="portrait"/>
          <w:cols w:equalWidth="0" w:num="1">
            <w:col w:w="11460"/>
          </w:cols>
          <w:pgMar w:left="240" w:top="125" w:right="199" w:bottom="0" w:gutter="0" w:footer="0" w:header="0"/>
        </w:sectPr>
      </w:pPr>
    </w:p>
    <w:bookmarkStart w:id="136" w:name="page137"/>
    <w:bookmarkEnd w:id="13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Article 2. Contract Price;</w:t>
            </w:r>
          </w:p>
        </w:tc>
        <w:tc>
          <w:tcPr>
            <w:tcW w:w="2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“The contract price hereof shall be the price</w:t>
            </w:r>
          </w:p>
        </w:tc>
        <w:tc>
          <w:tcPr>
            <w:tcW w:w="2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“The contract price hereof shall be the price</w:t>
            </w:r>
          </w:p>
        </w:tc>
        <w:tc>
          <w:tcPr>
            <w:tcW w:w="2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“The contract price hereof shall be the price</w:t>
            </w:r>
          </w:p>
        </w:tc>
        <w:tc>
          <w:tcPr>
            <w:tcW w:w="2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“The contract price hereof shall be the price</w:t>
            </w:r>
          </w:p>
        </w:tc>
        <w:tc>
          <w:tcPr>
            <w:tcW w:w="40" w:type="dxa"/>
            <w:vAlign w:val="bottom"/>
          </w:tcPr>
          <w:p>
            <w:pPr>
              <w:spacing w:after="0"/>
              <w:rPr>
                <w:sz w:val="12"/>
                <w:szCs w:val="12"/>
                <w:color w:val="auto"/>
              </w:rPr>
            </w:pPr>
          </w:p>
        </w:tc>
      </w:tr>
      <w:tr>
        <w:trPr>
          <w:trHeight w:val="135"/>
        </w:trPr>
        <w:tc>
          <w:tcPr>
            <w:tcW w:w="1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Terms and Method of</w:t>
            </w:r>
          </w:p>
        </w:tc>
        <w:tc>
          <w:tcPr>
            <w:tcW w:w="25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for the information purchased hereunder,</w:t>
            </w:r>
          </w:p>
        </w:tc>
        <w:tc>
          <w:tcPr>
            <w:tcW w:w="246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for the information purchased hereunder,</w:t>
            </w:r>
          </w:p>
        </w:tc>
        <w:tc>
          <w:tcPr>
            <w:tcW w:w="248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for information purchased hereunder, which</w:t>
            </w:r>
          </w:p>
        </w:tc>
        <w:tc>
          <w:tcPr>
            <w:tcW w:w="244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for information purchased hereunder, which</w:t>
            </w:r>
          </w:p>
        </w:tc>
        <w:tc>
          <w:tcPr>
            <w:tcW w:w="40" w:type="dxa"/>
            <w:vAlign w:val="bottom"/>
          </w:tcPr>
          <w:p>
            <w:pPr>
              <w:spacing w:after="0"/>
              <w:rPr>
                <w:sz w:val="11"/>
                <w:szCs w:val="11"/>
                <w:color w:val="auto"/>
              </w:rPr>
            </w:pPr>
          </w:p>
        </w:tc>
      </w:tr>
      <w:tr>
        <w:trPr>
          <w:trHeight w:val="135"/>
        </w:trPr>
        <w:tc>
          <w:tcPr>
            <w:tcW w:w="1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Payment — Section 2.1</w:t>
            </w:r>
          </w:p>
        </w:tc>
        <w:tc>
          <w:tcPr>
            <w:tcW w:w="25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which shall be calculated as follows: Party A</w:t>
            </w:r>
          </w:p>
        </w:tc>
        <w:tc>
          <w:tcPr>
            <w:tcW w:w="246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which shall be calculated as follows: Party A</w:t>
            </w:r>
          </w:p>
        </w:tc>
        <w:tc>
          <w:tcPr>
            <w:tcW w:w="248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shall be calculated as follows: For the</w:t>
            </w:r>
          </w:p>
        </w:tc>
        <w:tc>
          <w:tcPr>
            <w:tcW w:w="244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shall be calculated as follows: For the</w:t>
            </w:r>
          </w:p>
        </w:tc>
        <w:tc>
          <w:tcPr>
            <w:tcW w:w="40" w:type="dxa"/>
            <w:vAlign w:val="bottom"/>
          </w:tcPr>
          <w:p>
            <w:pPr>
              <w:spacing w:after="0"/>
              <w:rPr>
                <w:sz w:val="11"/>
                <w:szCs w:val="11"/>
                <w:color w:val="auto"/>
              </w:rPr>
            </w:pPr>
          </w:p>
        </w:tc>
      </w:tr>
      <w:tr>
        <w:trPr>
          <w:trHeight w:val="135"/>
        </w:trPr>
        <w:tc>
          <w:tcPr>
            <w:tcW w:w="1460" w:type="dxa"/>
            <w:vAlign w:val="bottom"/>
            <w:shd w:val="clear" w:color="auto" w:fill="CCEEFF"/>
          </w:tcPr>
          <w:p>
            <w:pPr>
              <w:spacing w:after="0"/>
              <w:rPr>
                <w:sz w:val="11"/>
                <w:szCs w:val="11"/>
                <w:color w:val="auto"/>
              </w:rPr>
            </w:pPr>
          </w:p>
        </w:tc>
        <w:tc>
          <w:tcPr>
            <w:tcW w:w="25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shall pay Party B a price for the information</w:t>
            </w:r>
          </w:p>
        </w:tc>
        <w:tc>
          <w:tcPr>
            <w:tcW w:w="246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shall pay Party B a price for the information</w:t>
            </w:r>
          </w:p>
        </w:tc>
        <w:tc>
          <w:tcPr>
            <w:tcW w:w="248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information products purchased during the</w:t>
            </w:r>
          </w:p>
        </w:tc>
        <w:tc>
          <w:tcPr>
            <w:tcW w:w="244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information products purchased during the</w:t>
            </w:r>
          </w:p>
        </w:tc>
        <w:tc>
          <w:tcPr>
            <w:tcW w:w="40" w:type="dxa"/>
            <w:vAlign w:val="bottom"/>
          </w:tcPr>
          <w:p>
            <w:pPr>
              <w:spacing w:after="0"/>
              <w:rPr>
                <w:sz w:val="11"/>
                <w:szCs w:val="11"/>
                <w:color w:val="auto"/>
              </w:rPr>
            </w:pPr>
          </w:p>
        </w:tc>
      </w:tr>
      <w:tr>
        <w:trPr>
          <w:trHeight w:val="135"/>
        </w:trPr>
        <w:tc>
          <w:tcPr>
            <w:tcW w:w="1460" w:type="dxa"/>
            <w:vAlign w:val="bottom"/>
            <w:shd w:val="clear" w:color="auto" w:fill="CCEEFF"/>
          </w:tcPr>
          <w:p>
            <w:pPr>
              <w:spacing w:after="0"/>
              <w:rPr>
                <w:sz w:val="11"/>
                <w:szCs w:val="11"/>
                <w:color w:val="auto"/>
              </w:rPr>
            </w:pPr>
          </w:p>
        </w:tc>
        <w:tc>
          <w:tcPr>
            <w:tcW w:w="25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products purchased during the period of</w:t>
            </w:r>
          </w:p>
        </w:tc>
        <w:tc>
          <w:tcPr>
            <w:tcW w:w="246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products purchased during the period of</w:t>
            </w:r>
          </w:p>
        </w:tc>
        <w:tc>
          <w:tcPr>
            <w:tcW w:w="248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w w:val="99"/>
              </w:rPr>
              <w:t>cooperation period, Party A shall pay Party B</w:t>
            </w:r>
          </w:p>
        </w:tc>
        <w:tc>
          <w:tcPr>
            <w:tcW w:w="244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w w:val="97"/>
              </w:rPr>
              <w:t>cooperation period, Party A shall pay Party B</w:t>
            </w:r>
          </w:p>
        </w:tc>
        <w:tc>
          <w:tcPr>
            <w:tcW w:w="40" w:type="dxa"/>
            <w:vAlign w:val="bottom"/>
          </w:tcPr>
          <w:p>
            <w:pPr>
              <w:spacing w:after="0"/>
              <w:rPr>
                <w:sz w:val="11"/>
                <w:szCs w:val="11"/>
                <w:color w:val="auto"/>
              </w:rPr>
            </w:pPr>
          </w:p>
        </w:tc>
      </w:tr>
      <w:tr>
        <w:trPr>
          <w:trHeight w:val="135"/>
        </w:trPr>
        <w:tc>
          <w:tcPr>
            <w:tcW w:w="1460" w:type="dxa"/>
            <w:vAlign w:val="bottom"/>
            <w:shd w:val="clear" w:color="auto" w:fill="CCEEFF"/>
          </w:tcPr>
          <w:p>
            <w:pPr>
              <w:spacing w:after="0"/>
              <w:rPr>
                <w:sz w:val="11"/>
                <w:szCs w:val="11"/>
                <w:color w:val="auto"/>
              </w:rPr>
            </w:pPr>
          </w:p>
        </w:tc>
        <w:tc>
          <w:tcPr>
            <w:tcW w:w="25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January 1, 2011 through December 31, 2011,</w:t>
            </w:r>
          </w:p>
        </w:tc>
        <w:tc>
          <w:tcPr>
            <w:tcW w:w="246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January 1, 2014 through December 31, 2014.</w:t>
            </w:r>
          </w:p>
        </w:tc>
        <w:tc>
          <w:tcPr>
            <w:tcW w:w="248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a total contract price of RMB19,790,000.00,</w:t>
            </w:r>
          </w:p>
        </w:tc>
        <w:tc>
          <w:tcPr>
            <w:tcW w:w="244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a total contract price of RMB14,900,000.00,</w:t>
            </w:r>
          </w:p>
        </w:tc>
        <w:tc>
          <w:tcPr>
            <w:tcW w:w="40" w:type="dxa"/>
            <w:vAlign w:val="bottom"/>
          </w:tcPr>
          <w:p>
            <w:pPr>
              <w:spacing w:after="0"/>
              <w:rPr>
                <w:sz w:val="11"/>
                <w:szCs w:val="11"/>
                <w:color w:val="auto"/>
              </w:rPr>
            </w:pPr>
          </w:p>
        </w:tc>
      </w:tr>
      <w:tr>
        <w:trPr>
          <w:trHeight w:val="135"/>
        </w:trPr>
        <w:tc>
          <w:tcPr>
            <w:tcW w:w="1460" w:type="dxa"/>
            <w:vAlign w:val="bottom"/>
            <w:shd w:val="clear" w:color="auto" w:fill="CCEEFF"/>
          </w:tcPr>
          <w:p>
            <w:pPr>
              <w:spacing w:after="0"/>
              <w:rPr>
                <w:sz w:val="11"/>
                <w:szCs w:val="11"/>
                <w:color w:val="auto"/>
              </w:rPr>
            </w:pPr>
          </w:p>
        </w:tc>
        <w:tc>
          <w:tcPr>
            <w:tcW w:w="25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while Party B shall provide Party A with free</w:t>
            </w:r>
          </w:p>
        </w:tc>
        <w:tc>
          <w:tcPr>
            <w:tcW w:w="246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The total contract price hereof shall be Forty</w:t>
            </w:r>
          </w:p>
        </w:tc>
        <w:tc>
          <w:tcPr>
            <w:tcW w:w="248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inclusive of 6% VAT of an amount of</w:t>
            </w:r>
          </w:p>
        </w:tc>
        <w:tc>
          <w:tcPr>
            <w:tcW w:w="244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inclusive of 6% VAT of an amount of</w:t>
            </w:r>
          </w:p>
        </w:tc>
        <w:tc>
          <w:tcPr>
            <w:tcW w:w="40" w:type="dxa"/>
            <w:vAlign w:val="bottom"/>
          </w:tcPr>
          <w:p>
            <w:pPr>
              <w:spacing w:after="0"/>
              <w:rPr>
                <w:sz w:val="11"/>
                <w:szCs w:val="11"/>
                <w:color w:val="auto"/>
              </w:rPr>
            </w:pPr>
          </w:p>
        </w:tc>
      </w:tr>
      <w:tr>
        <w:trPr>
          <w:trHeight w:val="135"/>
        </w:trPr>
        <w:tc>
          <w:tcPr>
            <w:tcW w:w="1460" w:type="dxa"/>
            <w:vAlign w:val="bottom"/>
            <w:shd w:val="clear" w:color="auto" w:fill="CCEEFF"/>
          </w:tcPr>
          <w:p>
            <w:pPr>
              <w:spacing w:after="0"/>
              <w:rPr>
                <w:sz w:val="11"/>
                <w:szCs w:val="11"/>
                <w:color w:val="auto"/>
              </w:rPr>
            </w:pPr>
          </w:p>
        </w:tc>
        <w:tc>
          <w:tcPr>
            <w:tcW w:w="25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information products made during the period</w:t>
            </w:r>
          </w:p>
        </w:tc>
        <w:tc>
          <w:tcPr>
            <w:tcW w:w="246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Million Renminbi (RMB40,000,000)…”</w:t>
            </w:r>
          </w:p>
        </w:tc>
        <w:tc>
          <w:tcPr>
            <w:tcW w:w="248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RMB1,120,188.68; and the contract price net</w:t>
            </w:r>
          </w:p>
        </w:tc>
        <w:tc>
          <w:tcPr>
            <w:tcW w:w="244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w w:val="96"/>
              </w:rPr>
              <w:t>RMB843,396.23; and the contract price net of</w:t>
            </w:r>
          </w:p>
        </w:tc>
        <w:tc>
          <w:tcPr>
            <w:tcW w:w="40" w:type="dxa"/>
            <w:vAlign w:val="bottom"/>
          </w:tcPr>
          <w:p>
            <w:pPr>
              <w:spacing w:after="0"/>
              <w:rPr>
                <w:sz w:val="11"/>
                <w:szCs w:val="11"/>
                <w:color w:val="auto"/>
              </w:rPr>
            </w:pPr>
          </w:p>
        </w:tc>
      </w:tr>
      <w:tr>
        <w:trPr>
          <w:trHeight w:val="135"/>
        </w:trPr>
        <w:tc>
          <w:tcPr>
            <w:tcW w:w="1460" w:type="dxa"/>
            <w:vAlign w:val="bottom"/>
            <w:shd w:val="clear" w:color="auto" w:fill="CCEEFF"/>
          </w:tcPr>
          <w:p>
            <w:pPr>
              <w:spacing w:after="0"/>
              <w:rPr>
                <w:sz w:val="11"/>
                <w:szCs w:val="11"/>
                <w:color w:val="auto"/>
              </w:rPr>
            </w:pPr>
          </w:p>
        </w:tc>
        <w:tc>
          <w:tcPr>
            <w:tcW w:w="25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of November 1, 2010 through December 31,</w:t>
            </w:r>
          </w:p>
        </w:tc>
        <w:tc>
          <w:tcPr>
            <w:tcW w:w="2460" w:type="dxa"/>
            <w:vAlign w:val="bottom"/>
            <w:shd w:val="clear" w:color="auto" w:fill="CCEEFF"/>
          </w:tcPr>
          <w:p>
            <w:pPr>
              <w:spacing w:after="0"/>
              <w:rPr>
                <w:sz w:val="11"/>
                <w:szCs w:val="11"/>
                <w:color w:val="auto"/>
              </w:rPr>
            </w:pPr>
          </w:p>
        </w:tc>
        <w:tc>
          <w:tcPr>
            <w:tcW w:w="248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of VAT shall be RMB18,669,811.32. Except</w:t>
            </w:r>
          </w:p>
        </w:tc>
        <w:tc>
          <w:tcPr>
            <w:tcW w:w="244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w w:val="99"/>
              </w:rPr>
              <w:t>VAT shall be RMB14,056,603.77. Except as</w:t>
            </w:r>
          </w:p>
        </w:tc>
        <w:tc>
          <w:tcPr>
            <w:tcW w:w="40" w:type="dxa"/>
            <w:vAlign w:val="bottom"/>
          </w:tcPr>
          <w:p>
            <w:pPr>
              <w:spacing w:after="0"/>
              <w:rPr>
                <w:sz w:val="11"/>
                <w:szCs w:val="11"/>
                <w:color w:val="auto"/>
              </w:rPr>
            </w:pPr>
          </w:p>
        </w:tc>
      </w:tr>
      <w:tr>
        <w:trPr>
          <w:trHeight w:val="135"/>
        </w:trPr>
        <w:tc>
          <w:tcPr>
            <w:tcW w:w="1460" w:type="dxa"/>
            <w:vAlign w:val="bottom"/>
            <w:shd w:val="clear" w:color="auto" w:fill="CCEEFF"/>
          </w:tcPr>
          <w:p>
            <w:pPr>
              <w:spacing w:after="0"/>
              <w:rPr>
                <w:sz w:val="11"/>
                <w:szCs w:val="11"/>
                <w:color w:val="auto"/>
              </w:rPr>
            </w:pPr>
          </w:p>
        </w:tc>
        <w:tc>
          <w:tcPr>
            <w:tcW w:w="25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2010. The total contract price hereof shall be</w:t>
            </w:r>
          </w:p>
        </w:tc>
        <w:tc>
          <w:tcPr>
            <w:tcW w:w="2460" w:type="dxa"/>
            <w:vAlign w:val="bottom"/>
            <w:shd w:val="clear" w:color="auto" w:fill="CCEEFF"/>
          </w:tcPr>
          <w:p>
            <w:pPr>
              <w:spacing w:after="0"/>
              <w:rPr>
                <w:sz w:val="11"/>
                <w:szCs w:val="11"/>
                <w:color w:val="auto"/>
              </w:rPr>
            </w:pPr>
          </w:p>
        </w:tc>
        <w:tc>
          <w:tcPr>
            <w:tcW w:w="248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as otherwise expressly provided herein, the</w:t>
            </w:r>
          </w:p>
        </w:tc>
        <w:tc>
          <w:tcPr>
            <w:tcW w:w="244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otherwise expressly provided herein, the</w:t>
            </w:r>
          </w:p>
        </w:tc>
        <w:tc>
          <w:tcPr>
            <w:tcW w:w="40" w:type="dxa"/>
            <w:vAlign w:val="bottom"/>
          </w:tcPr>
          <w:p>
            <w:pPr>
              <w:spacing w:after="0"/>
              <w:rPr>
                <w:sz w:val="11"/>
                <w:szCs w:val="11"/>
                <w:color w:val="auto"/>
              </w:rPr>
            </w:pPr>
          </w:p>
        </w:tc>
      </w:tr>
      <w:tr>
        <w:trPr>
          <w:trHeight w:val="135"/>
        </w:trPr>
        <w:tc>
          <w:tcPr>
            <w:tcW w:w="1460" w:type="dxa"/>
            <w:vAlign w:val="bottom"/>
            <w:shd w:val="clear" w:color="auto" w:fill="CCEEFF"/>
          </w:tcPr>
          <w:p>
            <w:pPr>
              <w:spacing w:after="0"/>
              <w:rPr>
                <w:sz w:val="11"/>
                <w:szCs w:val="11"/>
                <w:color w:val="auto"/>
              </w:rPr>
            </w:pPr>
          </w:p>
        </w:tc>
        <w:tc>
          <w:tcPr>
            <w:tcW w:w="25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Fifty-eight Million Eight Hundred Thousand</w:t>
            </w:r>
          </w:p>
        </w:tc>
        <w:tc>
          <w:tcPr>
            <w:tcW w:w="2460" w:type="dxa"/>
            <w:vAlign w:val="bottom"/>
            <w:shd w:val="clear" w:color="auto" w:fill="CCEEFF"/>
          </w:tcPr>
          <w:p>
            <w:pPr>
              <w:spacing w:after="0"/>
              <w:rPr>
                <w:sz w:val="11"/>
                <w:szCs w:val="11"/>
                <w:color w:val="auto"/>
              </w:rPr>
            </w:pPr>
          </w:p>
        </w:tc>
        <w:tc>
          <w:tcPr>
            <w:tcW w:w="248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foregoing price shall be a tax-inclusive price</w:t>
            </w:r>
          </w:p>
        </w:tc>
        <w:tc>
          <w:tcPr>
            <w:tcW w:w="244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foregoing price shall be a tax-inclusive price</w:t>
            </w:r>
          </w:p>
        </w:tc>
        <w:tc>
          <w:tcPr>
            <w:tcW w:w="40" w:type="dxa"/>
            <w:vAlign w:val="bottom"/>
          </w:tcPr>
          <w:p>
            <w:pPr>
              <w:spacing w:after="0"/>
              <w:rPr>
                <w:sz w:val="11"/>
                <w:szCs w:val="11"/>
                <w:color w:val="auto"/>
              </w:rPr>
            </w:pPr>
          </w:p>
        </w:tc>
      </w:tr>
      <w:tr>
        <w:trPr>
          <w:trHeight w:val="135"/>
        </w:trPr>
        <w:tc>
          <w:tcPr>
            <w:tcW w:w="1460" w:type="dxa"/>
            <w:vAlign w:val="bottom"/>
            <w:shd w:val="clear" w:color="auto" w:fill="CCEEFF"/>
          </w:tcPr>
          <w:p>
            <w:pPr>
              <w:spacing w:after="0"/>
              <w:rPr>
                <w:sz w:val="11"/>
                <w:szCs w:val="11"/>
                <w:color w:val="auto"/>
              </w:rPr>
            </w:pPr>
          </w:p>
        </w:tc>
        <w:tc>
          <w:tcPr>
            <w:tcW w:w="25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Renminbi (RMB58,800,000)…”</w:t>
            </w:r>
          </w:p>
        </w:tc>
        <w:tc>
          <w:tcPr>
            <w:tcW w:w="2460" w:type="dxa"/>
            <w:vAlign w:val="bottom"/>
            <w:shd w:val="clear" w:color="auto" w:fill="CCEEFF"/>
          </w:tcPr>
          <w:p>
            <w:pPr>
              <w:spacing w:after="0"/>
              <w:rPr>
                <w:sz w:val="11"/>
                <w:szCs w:val="11"/>
                <w:color w:val="auto"/>
              </w:rPr>
            </w:pPr>
          </w:p>
        </w:tc>
        <w:tc>
          <w:tcPr>
            <w:tcW w:w="248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and shall cover all of the Party B’s costs in</w:t>
            </w:r>
          </w:p>
        </w:tc>
        <w:tc>
          <w:tcPr>
            <w:tcW w:w="244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and shall cover all of the Party B’s costs in</w:t>
            </w:r>
          </w:p>
        </w:tc>
        <w:tc>
          <w:tcPr>
            <w:tcW w:w="40" w:type="dxa"/>
            <w:vAlign w:val="bottom"/>
          </w:tcPr>
          <w:p>
            <w:pPr>
              <w:spacing w:after="0"/>
              <w:rPr>
                <w:sz w:val="11"/>
                <w:szCs w:val="11"/>
                <w:color w:val="auto"/>
              </w:rPr>
            </w:pPr>
          </w:p>
        </w:tc>
      </w:tr>
      <w:tr>
        <w:trPr>
          <w:trHeight w:val="135"/>
        </w:trPr>
        <w:tc>
          <w:tcPr>
            <w:tcW w:w="146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248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connection with its performance of this</w:t>
            </w:r>
          </w:p>
        </w:tc>
        <w:tc>
          <w:tcPr>
            <w:tcW w:w="244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connection with its performance of this</w:t>
            </w:r>
          </w:p>
        </w:tc>
        <w:tc>
          <w:tcPr>
            <w:tcW w:w="40" w:type="dxa"/>
            <w:vAlign w:val="bottom"/>
          </w:tcPr>
          <w:p>
            <w:pPr>
              <w:spacing w:after="0"/>
              <w:rPr>
                <w:sz w:val="11"/>
                <w:szCs w:val="11"/>
                <w:color w:val="auto"/>
              </w:rPr>
            </w:pPr>
          </w:p>
        </w:tc>
      </w:tr>
      <w:tr>
        <w:trPr>
          <w:trHeight w:val="135"/>
        </w:trPr>
        <w:tc>
          <w:tcPr>
            <w:tcW w:w="146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248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contract. Unless otherwise consented to in</w:t>
            </w:r>
          </w:p>
        </w:tc>
        <w:tc>
          <w:tcPr>
            <w:tcW w:w="244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contract. Unless otherwise consented to in</w:t>
            </w:r>
          </w:p>
        </w:tc>
        <w:tc>
          <w:tcPr>
            <w:tcW w:w="40" w:type="dxa"/>
            <w:vAlign w:val="bottom"/>
          </w:tcPr>
          <w:p>
            <w:pPr>
              <w:spacing w:after="0"/>
              <w:rPr>
                <w:sz w:val="11"/>
                <w:szCs w:val="11"/>
                <w:color w:val="auto"/>
              </w:rPr>
            </w:pPr>
          </w:p>
        </w:tc>
      </w:tr>
      <w:tr>
        <w:trPr>
          <w:trHeight w:val="135"/>
        </w:trPr>
        <w:tc>
          <w:tcPr>
            <w:tcW w:w="146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248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writing by Party A, Party A will not pay any</w:t>
            </w:r>
          </w:p>
        </w:tc>
        <w:tc>
          <w:tcPr>
            <w:tcW w:w="244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writing by Party A, Party A will not pay any</w:t>
            </w:r>
          </w:p>
        </w:tc>
        <w:tc>
          <w:tcPr>
            <w:tcW w:w="40" w:type="dxa"/>
            <w:vAlign w:val="bottom"/>
          </w:tcPr>
          <w:p>
            <w:pPr>
              <w:spacing w:after="0"/>
              <w:rPr>
                <w:sz w:val="11"/>
                <w:szCs w:val="11"/>
                <w:color w:val="auto"/>
              </w:rPr>
            </w:pPr>
          </w:p>
        </w:tc>
      </w:tr>
      <w:tr>
        <w:trPr>
          <w:trHeight w:val="153"/>
        </w:trPr>
        <w:tc>
          <w:tcPr>
            <w:tcW w:w="146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2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additional amounts.”</w:t>
            </w:r>
          </w:p>
        </w:tc>
        <w:tc>
          <w:tcPr>
            <w:tcW w:w="2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additional amounts.”</w:t>
            </w:r>
          </w:p>
        </w:tc>
        <w:tc>
          <w:tcPr>
            <w:tcW w:w="40" w:type="dxa"/>
            <w:vAlign w:val="bottom"/>
          </w:tcPr>
          <w:p>
            <w:pPr>
              <w:spacing w:after="0"/>
              <w:rPr>
                <w:sz w:val="13"/>
                <w:szCs w:val="13"/>
                <w:color w:val="auto"/>
              </w:rPr>
            </w:pPr>
          </w:p>
        </w:tc>
      </w:tr>
      <w:tr>
        <w:trPr>
          <w:trHeight w:val="348"/>
        </w:trPr>
        <w:tc>
          <w:tcPr>
            <w:tcW w:w="146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242" w:right="199" w:bottom="0" w:gutter="0" w:footer="0" w:header="0"/>
        </w:sect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Material difference</w:t>
            </w:r>
          </w:p>
        </w:tc>
        <w:tc>
          <w:tcPr>
            <w:tcW w:w="160" w:type="dxa"/>
            <w:vAlign w:val="bottom"/>
          </w:tcPr>
          <w:p>
            <w:pPr>
              <w:spacing w:after="0"/>
              <w:rPr>
                <w:sz w:val="13"/>
                <w:szCs w:val="13"/>
                <w:color w:val="auto"/>
              </w:rPr>
            </w:pPr>
          </w:p>
        </w:tc>
        <w:tc>
          <w:tcPr>
            <w:tcW w:w="23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3"/>
                <w:szCs w:val="13"/>
                <w:b w:val="1"/>
                <w:bCs w:val="1"/>
                <w:color w:val="auto"/>
              </w:rPr>
              <w:t>Cooperation Agreement 2011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spacing w:after="0"/>
        <w:tabs>
          <w:tab w:leader="none" w:pos="2460" w:val="left"/>
        </w:tabs>
        <w:rPr>
          <w:sz w:val="20"/>
          <w:szCs w:val="20"/>
          <w:color w:val="auto"/>
        </w:rPr>
      </w:pPr>
      <w:r>
        <w:rPr>
          <w:rFonts w:ascii="Times New Roman" w:cs="Times New Roman" w:eastAsia="Times New Roman" w:hAnsi="Times New Roman"/>
          <w:sz w:val="13"/>
          <w:szCs w:val="13"/>
          <w:b w:val="1"/>
          <w:bCs w:val="1"/>
          <w:color w:val="auto"/>
        </w:rPr>
        <w:t>Cooperation Agreement 2014</w:t>
      </w:r>
      <w:r>
        <w:rPr>
          <w:sz w:val="20"/>
          <w:szCs w:val="20"/>
          <w:color w:val="auto"/>
        </w:rPr>
        <w:tab/>
      </w:r>
      <w:r>
        <w:rPr>
          <w:rFonts w:ascii="Times New Roman" w:cs="Times New Roman" w:eastAsia="Times New Roman" w:hAnsi="Times New Roman"/>
          <w:sz w:val="12"/>
          <w:szCs w:val="12"/>
          <w:b w:val="1"/>
          <w:bCs w:val="1"/>
          <w:color w:val="auto"/>
        </w:rPr>
        <w:t>Cooperation Agreement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3810</wp:posOffset>
            </wp:positionV>
            <wp:extent cx="30441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Cooperation Agreement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10795</wp:posOffset>
            </wp:positionV>
            <wp:extent cx="148336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132" w:lineRule="exact"/>
        <w:rPr>
          <w:sz w:val="20"/>
          <w:szCs w:val="20"/>
          <w:color w:val="auto"/>
        </w:rPr>
      </w:pPr>
    </w:p>
    <w:p>
      <w:pPr>
        <w:sectPr>
          <w:pgSz w:w="11900" w:h="16900" w:orient="portrait"/>
          <w:cols w:equalWidth="0" w:num="3">
            <w:col w:w="3960" w:space="540"/>
            <w:col w:w="4240" w:space="720"/>
            <w:col w:w="2000"/>
          </w:cols>
          <w:pgMar w:left="240" w:top="242" w:right="19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1460" w:type="dxa"/>
            <w:vAlign w:val="bottom"/>
          </w:tcPr>
          <w:p>
            <w:pPr>
              <w:spacing w:after="0"/>
              <w:rPr>
                <w:sz w:val="20"/>
                <w:szCs w:val="20"/>
                <w:color w:val="auto"/>
              </w:rPr>
            </w:pPr>
            <w:r>
              <w:rPr>
                <w:rFonts w:ascii="Times New Roman" w:cs="Times New Roman" w:eastAsia="Times New Roman" w:hAnsi="Times New Roman"/>
                <w:sz w:val="13"/>
                <w:szCs w:val="13"/>
                <w:color w:val="auto"/>
              </w:rPr>
              <w:t>Article 2. Contract Price;</w:t>
            </w:r>
          </w:p>
        </w:tc>
        <w:tc>
          <w:tcPr>
            <w:tcW w:w="250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99"/>
              </w:rPr>
              <w:t>“Payment hereunder shall be made by Party</w:t>
            </w:r>
          </w:p>
        </w:tc>
        <w:tc>
          <w:tcPr>
            <w:tcW w:w="0" w:type="dxa"/>
            <w:vAlign w:val="bottom"/>
          </w:tcPr>
          <w:p>
            <w:pPr>
              <w:spacing w:after="0"/>
              <w:rPr>
                <w:sz w:val="1"/>
                <w:szCs w:val="1"/>
                <w:color w:val="auto"/>
              </w:rPr>
            </w:pPr>
          </w:p>
        </w:tc>
      </w:tr>
      <w:tr>
        <w:trPr>
          <w:trHeight w:val="135"/>
        </w:trPr>
        <w:tc>
          <w:tcPr>
            <w:tcW w:w="14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Terms and Method of</w:t>
            </w:r>
          </w:p>
        </w:tc>
        <w:tc>
          <w:tcPr>
            <w:tcW w:w="25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w w:val="99"/>
              </w:rPr>
              <w:t>A through wire transfer as described below:</w:t>
            </w:r>
          </w:p>
        </w:tc>
        <w:tc>
          <w:tcPr>
            <w:tcW w:w="0" w:type="dxa"/>
            <w:vAlign w:val="bottom"/>
          </w:tcPr>
          <w:p>
            <w:pPr>
              <w:spacing w:after="0"/>
              <w:rPr>
                <w:sz w:val="1"/>
                <w:szCs w:val="1"/>
                <w:color w:val="auto"/>
              </w:rPr>
            </w:pPr>
          </w:p>
        </w:tc>
      </w:tr>
      <w:tr>
        <w:trPr>
          <w:trHeight w:val="164"/>
        </w:trPr>
        <w:tc>
          <w:tcPr>
            <w:tcW w:w="1460" w:type="dxa"/>
            <w:vAlign w:val="bottom"/>
          </w:tcPr>
          <w:p>
            <w:pPr>
              <w:spacing w:after="0"/>
              <w:rPr>
                <w:sz w:val="20"/>
                <w:szCs w:val="20"/>
                <w:color w:val="auto"/>
              </w:rPr>
            </w:pPr>
            <w:r>
              <w:rPr>
                <w:rFonts w:ascii="Times New Roman" w:cs="Times New Roman" w:eastAsia="Times New Roman" w:hAnsi="Times New Roman"/>
                <w:sz w:val="13"/>
                <w:szCs w:val="13"/>
                <w:color w:val="auto"/>
              </w:rPr>
              <w:t>Payment — Section 2.2</w:t>
            </w:r>
          </w:p>
        </w:tc>
        <w:tc>
          <w:tcPr>
            <w:tcW w:w="25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auto"/>
                <w:w w:val="98"/>
              </w:rPr>
              <w:t>In January 2011, Party B shall issue to Party</w:t>
            </w:r>
          </w:p>
        </w:tc>
        <w:tc>
          <w:tcPr>
            <w:tcW w:w="0" w:type="dxa"/>
            <w:vAlign w:val="bottom"/>
          </w:tcPr>
          <w:p>
            <w:pPr>
              <w:spacing w:after="0"/>
              <w:rPr>
                <w:sz w:val="1"/>
                <w:szCs w:val="1"/>
                <w:color w:val="auto"/>
              </w:rPr>
            </w:pPr>
          </w:p>
        </w:tc>
      </w:tr>
      <w:tr>
        <w:trPr>
          <w:trHeight w:val="106"/>
        </w:trPr>
        <w:tc>
          <w:tcPr>
            <w:tcW w:w="146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25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w w:val="96"/>
              </w:rPr>
              <w:t>A an official invoice in the amount of Eleven</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25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w w:val="99"/>
              </w:rPr>
              <w:t>Million Seven Hundred and Sixty Thousand</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25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w w:val="99"/>
              </w:rPr>
              <w:t>Renminbi (RMB11,760,000), while Party A</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25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w w:val="95"/>
              </w:rPr>
              <w:t>shall pay such amount, if proved to be correct</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25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upon verification, to Party B within ten</w:t>
            </w:r>
          </w:p>
        </w:tc>
        <w:tc>
          <w:tcPr>
            <w:tcW w:w="0" w:type="dxa"/>
            <w:vAlign w:val="bottom"/>
          </w:tcPr>
          <w:p>
            <w:pPr>
              <w:spacing w:after="0"/>
              <w:rPr>
                <w:sz w:val="1"/>
                <w:szCs w:val="1"/>
                <w:color w:val="auto"/>
              </w:rPr>
            </w:pPr>
          </w:p>
        </w:tc>
      </w:tr>
      <w:tr>
        <w:trPr>
          <w:trHeight w:val="164"/>
        </w:trPr>
        <w:tc>
          <w:tcPr>
            <w:tcW w:w="1460" w:type="dxa"/>
            <w:vAlign w:val="bottom"/>
          </w:tcPr>
          <w:p>
            <w:pPr>
              <w:spacing w:after="0"/>
              <w:rPr>
                <w:sz w:val="14"/>
                <w:szCs w:val="14"/>
                <w:color w:val="auto"/>
              </w:rPr>
            </w:pPr>
          </w:p>
        </w:tc>
        <w:tc>
          <w:tcPr>
            <w:tcW w:w="25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(10) days of receiving such invoice;</w:t>
            </w:r>
          </w:p>
        </w:tc>
        <w:tc>
          <w:tcPr>
            <w:tcW w:w="0" w:type="dxa"/>
            <w:vAlign w:val="bottom"/>
          </w:tcPr>
          <w:p>
            <w:pPr>
              <w:spacing w:after="0"/>
              <w:rPr>
                <w:sz w:val="1"/>
                <w:szCs w:val="1"/>
                <w:color w:val="auto"/>
              </w:rPr>
            </w:pPr>
          </w:p>
        </w:tc>
      </w:tr>
      <w:tr>
        <w:trPr>
          <w:trHeight w:val="241"/>
        </w:trPr>
        <w:tc>
          <w:tcPr>
            <w:tcW w:w="1460" w:type="dxa"/>
            <w:vAlign w:val="bottom"/>
          </w:tcPr>
          <w:p>
            <w:pPr>
              <w:spacing w:after="0"/>
              <w:rPr>
                <w:sz w:val="20"/>
                <w:szCs w:val="20"/>
                <w:color w:val="auto"/>
              </w:rPr>
            </w:pPr>
          </w:p>
        </w:tc>
        <w:tc>
          <w:tcPr>
            <w:tcW w:w="25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In September 2011, Party B shall issue to</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25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Party A an official invoice in the amount of</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25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w w:val="96"/>
              </w:rPr>
              <w:t>Thirty-five Million Two Hundred and Eighty</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25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Thousand Renminbi (RMB35,280,000),</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25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while Party A shall pay such amount, if</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25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proved to be correct upon verification, to</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25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Party B within ten (10) days of receiving</w:t>
            </w:r>
          </w:p>
        </w:tc>
        <w:tc>
          <w:tcPr>
            <w:tcW w:w="0" w:type="dxa"/>
            <w:vAlign w:val="bottom"/>
          </w:tcPr>
          <w:p>
            <w:pPr>
              <w:spacing w:after="0"/>
              <w:rPr>
                <w:sz w:val="1"/>
                <w:szCs w:val="1"/>
                <w:color w:val="auto"/>
              </w:rPr>
            </w:pPr>
          </w:p>
        </w:tc>
      </w:tr>
      <w:tr>
        <w:trPr>
          <w:trHeight w:val="164"/>
        </w:trPr>
        <w:tc>
          <w:tcPr>
            <w:tcW w:w="1460" w:type="dxa"/>
            <w:vAlign w:val="bottom"/>
          </w:tcPr>
          <w:p>
            <w:pPr>
              <w:spacing w:after="0"/>
              <w:rPr>
                <w:sz w:val="14"/>
                <w:szCs w:val="14"/>
                <w:color w:val="auto"/>
              </w:rPr>
            </w:pPr>
          </w:p>
        </w:tc>
        <w:tc>
          <w:tcPr>
            <w:tcW w:w="25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such invoice; and</w:t>
            </w:r>
          </w:p>
        </w:tc>
        <w:tc>
          <w:tcPr>
            <w:tcW w:w="0" w:type="dxa"/>
            <w:vAlign w:val="bottom"/>
          </w:tcPr>
          <w:p>
            <w:pPr>
              <w:spacing w:after="0"/>
              <w:rPr>
                <w:sz w:val="1"/>
                <w:szCs w:val="1"/>
                <w:color w:val="auto"/>
              </w:rPr>
            </w:pPr>
          </w:p>
        </w:tc>
      </w:tr>
      <w:tr>
        <w:trPr>
          <w:trHeight w:val="241"/>
        </w:trPr>
        <w:tc>
          <w:tcPr>
            <w:tcW w:w="1460" w:type="dxa"/>
            <w:vAlign w:val="bottom"/>
          </w:tcPr>
          <w:p>
            <w:pPr>
              <w:spacing w:after="0"/>
              <w:rPr>
                <w:sz w:val="20"/>
                <w:szCs w:val="20"/>
                <w:color w:val="auto"/>
              </w:rPr>
            </w:pPr>
          </w:p>
        </w:tc>
        <w:tc>
          <w:tcPr>
            <w:tcW w:w="250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98"/>
              </w:rPr>
              <w:t>In January 2012, Party B shall issue to Party</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25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w w:val="96"/>
              </w:rPr>
              <w:t>A an official invoice in the amount of Eleven</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25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w w:val="99"/>
              </w:rPr>
              <w:t>Million Seven Hundred and Sixty Thousand</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25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w w:val="99"/>
              </w:rPr>
              <w:t>Renminbi (RMB11,760,000), while Party A</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25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w w:val="95"/>
              </w:rPr>
              <w:t>shall pay such amount, if proved to be correct</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25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upon verification, to Party B within ten</w:t>
            </w:r>
          </w:p>
        </w:tc>
        <w:tc>
          <w:tcPr>
            <w:tcW w:w="0" w:type="dxa"/>
            <w:vAlign w:val="bottom"/>
          </w:tcPr>
          <w:p>
            <w:pPr>
              <w:spacing w:after="0"/>
              <w:rPr>
                <w:sz w:val="1"/>
                <w:szCs w:val="1"/>
                <w:color w:val="auto"/>
              </w:rPr>
            </w:pPr>
          </w:p>
        </w:tc>
      </w:tr>
      <w:tr>
        <w:trPr>
          <w:trHeight w:val="164"/>
        </w:trPr>
        <w:tc>
          <w:tcPr>
            <w:tcW w:w="1460" w:type="dxa"/>
            <w:vAlign w:val="bottom"/>
          </w:tcPr>
          <w:p>
            <w:pPr>
              <w:spacing w:after="0"/>
              <w:rPr>
                <w:sz w:val="14"/>
                <w:szCs w:val="14"/>
                <w:color w:val="auto"/>
              </w:rPr>
            </w:pPr>
          </w:p>
        </w:tc>
        <w:tc>
          <w:tcPr>
            <w:tcW w:w="25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(10) days of receiving such invoice.”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2" w:lineRule="auto"/>
        <w:rPr>
          <w:sz w:val="20"/>
          <w:szCs w:val="20"/>
          <w:color w:val="auto"/>
        </w:rPr>
      </w:pPr>
      <w:r>
        <w:rPr>
          <w:rFonts w:ascii="Times New Roman" w:cs="Times New Roman" w:eastAsia="Times New Roman" w:hAnsi="Times New Roman"/>
          <w:sz w:val="13"/>
          <w:szCs w:val="13"/>
          <w:color w:val="auto"/>
        </w:rPr>
        <w:t>“Payment hereunder shall be made by Party A through wire transfer based on the progress of cooperation: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-262890</wp:posOffset>
            </wp:positionV>
            <wp:extent cx="7246620" cy="30873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3087370"/>
                    </a:xfrm>
                    <a:prstGeom prst="rect">
                      <a:avLst/>
                    </a:prstGeom>
                    <a:noFill/>
                  </pic:spPr>
                </pic:pic>
              </a:graphicData>
            </a:graphic>
          </wp:anchor>
        </w:drawing>
      </w:r>
    </w:p>
    <w:p>
      <w:pPr>
        <w:spacing w:after="0" w:line="87"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3"/>
          <w:szCs w:val="13"/>
          <w:color w:val="auto"/>
        </w:rPr>
        <w:t>Upon the fulfillment of 50% of the multimedia message services, Party B shall issue to Party A an official invoice (one original and one photocopy of the VAT invoice) in the amount of Eight Million Renminbi (RMB8,000,000), while Party A shall pay such amount, if proved to be correct upon verification, to Party B within thirty (30) days of receiving such invoice;</w:t>
      </w:r>
    </w:p>
    <w:p>
      <w:pPr>
        <w:spacing w:after="0" w:line="106"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13"/>
          <w:szCs w:val="13"/>
          <w:color w:val="auto"/>
        </w:rPr>
        <w:t>Upon the fulfillment of 80% of the multimedia message services, Party B shall issue to Party A an official invoice (one orignal and one photocopy of the VAT invoice) in the amount of a Twenty-four Million Renminbi (RMB24,000,000), while Party A shall pay such amount, if proved to be correct upon verification, to Party B within thirty (30) days of receiving such invoice; and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Once the term of the cooperation ends and all of Party B’s obligations are completed, Party B shall issue to Party A an official invoice (one orignal and one photocopy of the VAT invoice) in the amount of Eight Million Renminbi (RMB8,000,000), while Party A shall pay such amount, if proved to be correct upon verification, to Party B within thirty (30) days of receiving such invoice.”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370205</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auto"/>
        <w:rPr>
          <w:sz w:val="20"/>
          <w:szCs w:val="20"/>
          <w:color w:val="auto"/>
        </w:rPr>
      </w:pPr>
      <w:r>
        <w:rPr>
          <w:rFonts w:ascii="Times New Roman" w:cs="Times New Roman" w:eastAsia="Times New Roman" w:hAnsi="Times New Roman"/>
          <w:sz w:val="13"/>
          <w:szCs w:val="13"/>
          <w:color w:val="auto"/>
        </w:rPr>
        <w:t>“Payment hereunder shall be made by Party A through wire transfer based on the progress of cooperation: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Upon the fulfillment of 50% of the Mobile Newspaper services, Party B shall issue to Party A both an original copy and a duplicate copy of a VAT invoice specifying the contract number in an amount equal to 20% of the total contract price or RMB3,958,000.00. Party A shall pay such amount to Party B within thirty (30) days from its receiving and confirming the accuracy of said invoice;</w:t>
      </w:r>
    </w:p>
    <w:p>
      <w:pPr>
        <w:spacing w:after="0" w:line="109"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13"/>
          <w:szCs w:val="13"/>
          <w:color w:val="auto"/>
        </w:rPr>
        <w:t>Upon the fulfillment of 80% of the Mobile Newspaper services, Party B shall issue to Party A both an original copy and a duplicate copy of the VAT invoice specifying the contract number in an amount equal to 40% of the total contract price or RMB7,916,000.00. Party A shall pay such amount to Party B within thirty (30) days from its receiving and confirming the accuracy of said invoice;</w:t>
      </w:r>
    </w:p>
    <w:p>
      <w:pPr>
        <w:spacing w:after="0" w:line="109"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13"/>
          <w:szCs w:val="13"/>
          <w:color w:val="auto"/>
        </w:rPr>
        <w:t>Upon full completion of the cooperation and performance by Party B of all of its obligations hereunder, Party B shall issue to Party A both an original copy and a duplicate copy of the VAT invoice specifying the contract number in an amount equal to 40% of the total contract price or RMB7,916,000.00. Party A shall pay such amount to Party B within thirty (30) days from its receiving and confirming the accuracy of said invoice.”</w:t>
      </w:r>
    </w:p>
    <w:p>
      <w:pPr>
        <w:spacing w:after="0" w:line="20" w:lineRule="exact"/>
        <w:rPr>
          <w:sz w:val="20"/>
          <w:szCs w:val="20"/>
          <w:color w:val="auto"/>
        </w:rPr>
      </w:pPr>
      <w:r>
        <w:rPr>
          <w:sz w:val="20"/>
          <w:szCs w:val="20"/>
          <w:color w:val="auto"/>
        </w:rPr>
        <w:br w:type="column"/>
      </w:r>
    </w:p>
    <w:p>
      <w:pPr>
        <w:jc w:val="both"/>
        <w:ind w:right="40"/>
        <w:spacing w:after="0" w:line="232" w:lineRule="auto"/>
        <w:rPr>
          <w:sz w:val="20"/>
          <w:szCs w:val="20"/>
          <w:color w:val="auto"/>
        </w:rPr>
      </w:pPr>
      <w:r>
        <w:rPr>
          <w:rFonts w:ascii="Times New Roman" w:cs="Times New Roman" w:eastAsia="Times New Roman" w:hAnsi="Times New Roman"/>
          <w:sz w:val="13"/>
          <w:szCs w:val="13"/>
          <w:color w:val="auto"/>
        </w:rPr>
        <w:t>“Payment hereunder shall be made by Party A through wire transfer based on the progress of cooperation:</w:t>
      </w:r>
    </w:p>
    <w:p>
      <w:pPr>
        <w:spacing w:after="0" w:line="107"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2"/>
          <w:szCs w:val="12"/>
          <w:color w:val="auto"/>
        </w:rPr>
        <w:t>At the end of the year 2016, upon the fulfillment of 60% of Party B’s services, Party B shall issue to Party A both an original copy and a duplicate copy of a VAT invoice specifying the contract number and contract name, in an amount equal to 60% of the total contract price or RMB8,940,000.00. Party A shall pay such amount to Party B within thirty</w:t>
      </w:r>
    </w:p>
    <w:p>
      <w:pPr>
        <w:spacing w:after="0" w:line="4" w:lineRule="exact"/>
        <w:rPr>
          <w:sz w:val="20"/>
          <w:szCs w:val="20"/>
          <w:color w:val="auto"/>
        </w:rPr>
      </w:pPr>
    </w:p>
    <w:p>
      <w:pPr>
        <w:ind w:right="180" w:firstLine="4"/>
        <w:spacing w:after="0" w:line="229" w:lineRule="auto"/>
        <w:tabs>
          <w:tab w:leader="none" w:pos="241"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days from its receiving and confirming the accuracy of said invoice;</w:t>
      </w:r>
    </w:p>
    <w:p>
      <w:pPr>
        <w:spacing w:after="0" w:line="106"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2"/>
          <w:szCs w:val="12"/>
          <w:color w:val="auto"/>
        </w:rPr>
        <w:t>Upon completion of the cooperation, and once Party B has fulfilled all of its obligations under this agreement, Party B shall issue to Party A both an original copy and a duplicate copy of a VAT invoice specifying the contract number in an amount equal to 40% of the total contract price or RMB5,960,000.00. Party A shall pay such amount to Party B within thirty (30) days from its receiving and confirming the accuracy of said invoice.”</w:t>
      </w:r>
    </w:p>
    <w:p>
      <w:pPr>
        <w:spacing w:after="0" w:line="1690" w:lineRule="exact"/>
        <w:rPr>
          <w:sz w:val="20"/>
          <w:szCs w:val="20"/>
          <w:color w:val="auto"/>
        </w:rPr>
      </w:pPr>
    </w:p>
    <w:p>
      <w:pPr>
        <w:sectPr>
          <w:pgSz w:w="11900" w:h="16900" w:orient="portrait"/>
          <w:cols w:equalWidth="0" w:num="4">
            <w:col w:w="3960" w:space="160"/>
            <w:col w:w="2320" w:space="160"/>
            <w:col w:w="2300" w:space="180"/>
            <w:col w:w="2380"/>
          </w:cols>
          <w:pgMar w:left="240" w:top="242" w:right="1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Article 3. Party A’s Rights</w:t>
            </w:r>
          </w:p>
        </w:tc>
        <w:tc>
          <w:tcPr>
            <w:tcW w:w="2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“During the period of cooperation between</w:t>
            </w:r>
          </w:p>
        </w:tc>
        <w:tc>
          <w:tcPr>
            <w:tcW w:w="2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“During the period of cooperation between</w:t>
            </w:r>
          </w:p>
        </w:tc>
        <w:tc>
          <w:tcPr>
            <w:tcW w:w="2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“During the period of cooperation between</w:t>
            </w:r>
          </w:p>
        </w:tc>
        <w:tc>
          <w:tcPr>
            <w:tcW w:w="2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N/A — This article remains the same as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and Obligations —</w:t>
            </w:r>
          </w:p>
        </w:tc>
        <w:tc>
          <w:tcPr>
            <w:tcW w:w="254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the Parties, Party A shall have the absolute</w:t>
            </w:r>
          </w:p>
        </w:tc>
        <w:tc>
          <w:tcPr>
            <w:tcW w:w="2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the Parties, Party A shall have the absolute</w:t>
            </w:r>
          </w:p>
        </w:tc>
        <w:tc>
          <w:tcPr>
            <w:tcW w:w="2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the Parties, Party A shall have the right to</w:t>
            </w:r>
          </w:p>
        </w:tc>
        <w:tc>
          <w:tcPr>
            <w:tcW w:w="242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Cooperation Agreement 2015.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Section 3.2</w:t>
            </w:r>
          </w:p>
        </w:tc>
        <w:tc>
          <w:tcPr>
            <w:tcW w:w="254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discretion to conduct business operations in</w:t>
            </w:r>
          </w:p>
        </w:tc>
        <w:tc>
          <w:tcPr>
            <w:tcW w:w="2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discretion to conduct business operations in</w:t>
            </w:r>
          </w:p>
        </w:tc>
        <w:tc>
          <w:tcPr>
            <w:tcW w:w="2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w w:val="99"/>
              </w:rPr>
              <w:t>manage the foregoing mobile newspapers and</w:t>
            </w:r>
          </w:p>
        </w:tc>
        <w:tc>
          <w:tcPr>
            <w:tcW w:w="24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54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connection with the foregoing multimedia</w:t>
            </w:r>
          </w:p>
        </w:tc>
        <w:tc>
          <w:tcPr>
            <w:tcW w:w="2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connection with the foregoing multimedia</w:t>
            </w:r>
          </w:p>
        </w:tc>
        <w:tc>
          <w:tcPr>
            <w:tcW w:w="2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their contents independently (including but</w:t>
            </w:r>
          </w:p>
        </w:tc>
        <w:tc>
          <w:tcPr>
            <w:tcW w:w="24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54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message products and the contents thereof,</w:t>
            </w:r>
          </w:p>
        </w:tc>
        <w:tc>
          <w:tcPr>
            <w:tcW w:w="2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message products and the contents thereof,</w:t>
            </w:r>
          </w:p>
        </w:tc>
        <w:tc>
          <w:tcPr>
            <w:tcW w:w="2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not limited to the development of customer</w:t>
            </w:r>
          </w:p>
        </w:tc>
        <w:tc>
          <w:tcPr>
            <w:tcW w:w="24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54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which business operations include but not</w:t>
            </w:r>
          </w:p>
        </w:tc>
        <w:tc>
          <w:tcPr>
            <w:tcW w:w="2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which business operations include but not</w:t>
            </w:r>
          </w:p>
        </w:tc>
        <w:tc>
          <w:tcPr>
            <w:tcW w:w="2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points redemption programs based on such</w:t>
            </w:r>
          </w:p>
        </w:tc>
        <w:tc>
          <w:tcPr>
            <w:tcW w:w="24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54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limited to user credit exchange, mobile</w:t>
            </w:r>
          </w:p>
        </w:tc>
        <w:tc>
          <w:tcPr>
            <w:tcW w:w="2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limited to user credit exchange and mobile</w:t>
            </w:r>
          </w:p>
        </w:tc>
        <w:tc>
          <w:tcPr>
            <w:tcW w:w="2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mobile newspapers).”</w:t>
            </w:r>
          </w:p>
        </w:tc>
        <w:tc>
          <w:tcPr>
            <w:tcW w:w="24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54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market subscription and download, and</w:t>
            </w:r>
          </w:p>
        </w:tc>
        <w:tc>
          <w:tcPr>
            <w:tcW w:w="2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market subscription download.”</w:t>
            </w:r>
          </w:p>
        </w:tc>
        <w:tc>
          <w:tcPr>
            <w:tcW w:w="248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wireless ad business.”</w:t>
            </w:r>
          </w:p>
        </w:tc>
        <w:tc>
          <w:tcPr>
            <w:tcW w:w="2480" w:type="dxa"/>
            <w:vAlign w:val="bottom"/>
            <w:shd w:val="clear" w:color="auto" w:fill="CCEEFF"/>
          </w:tcPr>
          <w:p>
            <w:pPr>
              <w:spacing w:after="0"/>
              <w:rPr>
                <w:sz w:val="13"/>
                <w:szCs w:val="13"/>
                <w:color w:val="auto"/>
              </w:rPr>
            </w:pPr>
          </w:p>
        </w:tc>
        <w:tc>
          <w:tcPr>
            <w:tcW w:w="2480" w:type="dxa"/>
            <w:vAlign w:val="bottom"/>
            <w:shd w:val="clear" w:color="auto" w:fill="CCEEFF"/>
          </w:tcPr>
          <w:p>
            <w:pPr>
              <w:spacing w:after="0"/>
              <w:rPr>
                <w:sz w:val="13"/>
                <w:szCs w:val="13"/>
                <w:color w:val="auto"/>
              </w:rPr>
            </w:pPr>
          </w:p>
        </w:tc>
        <w:tc>
          <w:tcPr>
            <w:tcW w:w="242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4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14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Article 3. Party A’s Rights</w:t>
            </w:r>
          </w:p>
        </w:tc>
        <w:tc>
          <w:tcPr>
            <w:tcW w:w="2540" w:type="dxa"/>
            <w:vAlign w:val="bottom"/>
            <w:shd w:val="clear" w:color="auto" w:fill="CCEEFF"/>
          </w:tcPr>
          <w:p>
            <w:pPr>
              <w:ind w:left="160"/>
              <w:spacing w:after="0" w:line="117" w:lineRule="exact"/>
              <w:rPr>
                <w:sz w:val="20"/>
                <w:szCs w:val="20"/>
                <w:color w:val="auto"/>
              </w:rPr>
            </w:pPr>
            <w:r>
              <w:rPr>
                <w:rFonts w:ascii="Times New Roman" w:cs="Times New Roman" w:eastAsia="Times New Roman" w:hAnsi="Times New Roman"/>
                <w:sz w:val="13"/>
                <w:szCs w:val="13"/>
                <w:color w:val="auto"/>
              </w:rPr>
              <w:t>“With respect to the relevant supporting</w:t>
            </w:r>
          </w:p>
        </w:tc>
        <w:tc>
          <w:tcPr>
            <w:tcW w:w="2480" w:type="dxa"/>
            <w:vAlign w:val="bottom"/>
            <w:shd w:val="clear" w:color="auto" w:fill="CCEEFF"/>
          </w:tcPr>
          <w:p>
            <w:pPr>
              <w:ind w:left="80"/>
              <w:spacing w:after="0" w:line="117" w:lineRule="exact"/>
              <w:rPr>
                <w:sz w:val="20"/>
                <w:szCs w:val="20"/>
                <w:color w:val="auto"/>
              </w:rPr>
            </w:pPr>
            <w:r>
              <w:rPr>
                <w:rFonts w:ascii="Times New Roman" w:cs="Times New Roman" w:eastAsia="Times New Roman" w:hAnsi="Times New Roman"/>
                <w:sz w:val="13"/>
                <w:szCs w:val="13"/>
                <w:color w:val="auto"/>
              </w:rPr>
              <w:t>“With respect to the relevant supporting</w:t>
            </w:r>
          </w:p>
        </w:tc>
        <w:tc>
          <w:tcPr>
            <w:tcW w:w="2480" w:type="dxa"/>
            <w:vAlign w:val="bottom"/>
            <w:shd w:val="clear" w:color="auto" w:fill="CCEEFF"/>
          </w:tcPr>
          <w:p>
            <w:pPr>
              <w:ind w:left="80"/>
              <w:spacing w:after="0" w:line="117" w:lineRule="exact"/>
              <w:rPr>
                <w:sz w:val="20"/>
                <w:szCs w:val="20"/>
                <w:color w:val="auto"/>
              </w:rPr>
            </w:pPr>
            <w:r>
              <w:rPr>
                <w:rFonts w:ascii="Times New Roman" w:cs="Times New Roman" w:eastAsia="Times New Roman" w:hAnsi="Times New Roman"/>
                <w:sz w:val="13"/>
                <w:szCs w:val="13"/>
                <w:color w:val="auto"/>
              </w:rPr>
              <w:t>N/A — this article is deleted</w:t>
            </w:r>
          </w:p>
        </w:tc>
        <w:tc>
          <w:tcPr>
            <w:tcW w:w="2420" w:type="dxa"/>
            <w:vAlign w:val="bottom"/>
            <w:shd w:val="clear" w:color="auto" w:fill="CCEEFF"/>
          </w:tcPr>
          <w:p>
            <w:pPr>
              <w:ind w:left="80"/>
              <w:spacing w:after="0" w:line="117" w:lineRule="exact"/>
              <w:rPr>
                <w:sz w:val="20"/>
                <w:szCs w:val="20"/>
                <w:color w:val="auto"/>
              </w:rPr>
            </w:pPr>
            <w:r>
              <w:rPr>
                <w:rFonts w:ascii="Times New Roman" w:cs="Times New Roman" w:eastAsia="Times New Roman" w:hAnsi="Times New Roman"/>
                <w:sz w:val="13"/>
                <w:szCs w:val="13"/>
                <w:color w:val="auto"/>
              </w:rPr>
              <w:t>“With respect to the relevant resources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and Obligations —</w:t>
            </w:r>
          </w:p>
        </w:tc>
        <w:tc>
          <w:tcPr>
            <w:tcW w:w="254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resources provided by Party B for free, Party</w:t>
            </w:r>
          </w:p>
        </w:tc>
        <w:tc>
          <w:tcPr>
            <w:tcW w:w="2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resources provided by Party B for free, Party</w:t>
            </w:r>
          </w:p>
        </w:tc>
        <w:tc>
          <w:tcPr>
            <w:tcW w:w="2480" w:type="dxa"/>
            <w:vAlign w:val="bottom"/>
            <w:shd w:val="clear" w:color="auto" w:fill="CCEEFF"/>
          </w:tcPr>
          <w:p>
            <w:pPr>
              <w:spacing w:after="0"/>
              <w:rPr>
                <w:sz w:val="11"/>
                <w:szCs w:val="11"/>
                <w:color w:val="auto"/>
              </w:rPr>
            </w:pPr>
          </w:p>
        </w:tc>
        <w:tc>
          <w:tcPr>
            <w:tcW w:w="242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provided by Party B for free, Party A shall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Section 3.4</w:t>
            </w:r>
          </w:p>
        </w:tc>
        <w:tc>
          <w:tcPr>
            <w:tcW w:w="254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w w:val="99"/>
              </w:rPr>
              <w:t>A shall have the right to decide the manner in</w:t>
            </w:r>
          </w:p>
        </w:tc>
        <w:tc>
          <w:tcPr>
            <w:tcW w:w="2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A shall have the right to decide the manner in</w:t>
            </w:r>
          </w:p>
        </w:tc>
        <w:tc>
          <w:tcPr>
            <w:tcW w:w="2480" w:type="dxa"/>
            <w:vAlign w:val="bottom"/>
            <w:shd w:val="clear" w:color="auto" w:fill="CCEEFF"/>
          </w:tcPr>
          <w:p>
            <w:pPr>
              <w:spacing w:after="0"/>
              <w:rPr>
                <w:sz w:val="11"/>
                <w:szCs w:val="11"/>
                <w:color w:val="auto"/>
              </w:rPr>
            </w:pPr>
          </w:p>
        </w:tc>
        <w:tc>
          <w:tcPr>
            <w:tcW w:w="242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have the right to decide the manner in which</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54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which such resources shall be used and the</w:t>
            </w:r>
          </w:p>
        </w:tc>
        <w:tc>
          <w:tcPr>
            <w:tcW w:w="2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which such resources shall be organized,</w:t>
            </w:r>
          </w:p>
        </w:tc>
        <w:tc>
          <w:tcPr>
            <w:tcW w:w="2480" w:type="dxa"/>
            <w:vAlign w:val="bottom"/>
            <w:shd w:val="clear" w:color="auto" w:fill="CCEEFF"/>
          </w:tcPr>
          <w:p>
            <w:pPr>
              <w:spacing w:after="0"/>
              <w:rPr>
                <w:sz w:val="11"/>
                <w:szCs w:val="11"/>
                <w:color w:val="auto"/>
              </w:rPr>
            </w:pPr>
          </w:p>
        </w:tc>
        <w:tc>
          <w:tcPr>
            <w:tcW w:w="242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such resources shall be organized, designed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54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various costs and expenses of Party B in</w:t>
            </w:r>
          </w:p>
        </w:tc>
        <w:tc>
          <w:tcPr>
            <w:tcW w:w="2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designed and used.”</w:t>
            </w:r>
          </w:p>
        </w:tc>
        <w:tc>
          <w:tcPr>
            <w:tcW w:w="2480" w:type="dxa"/>
            <w:vAlign w:val="bottom"/>
            <w:shd w:val="clear" w:color="auto" w:fill="CCEEFF"/>
          </w:tcPr>
          <w:p>
            <w:pPr>
              <w:spacing w:after="0"/>
              <w:rPr>
                <w:sz w:val="11"/>
                <w:szCs w:val="11"/>
                <w:color w:val="auto"/>
              </w:rPr>
            </w:pPr>
          </w:p>
        </w:tc>
        <w:tc>
          <w:tcPr>
            <w:tcW w:w="242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and used.”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using such resources.”</w:t>
            </w:r>
          </w:p>
        </w:tc>
        <w:tc>
          <w:tcPr>
            <w:tcW w:w="2480" w:type="dxa"/>
            <w:vAlign w:val="bottom"/>
            <w:shd w:val="clear" w:color="auto" w:fill="CCEEFF"/>
          </w:tcPr>
          <w:p>
            <w:pPr>
              <w:spacing w:after="0"/>
              <w:rPr>
                <w:sz w:val="13"/>
                <w:szCs w:val="13"/>
                <w:color w:val="auto"/>
              </w:rPr>
            </w:pPr>
          </w:p>
        </w:tc>
        <w:tc>
          <w:tcPr>
            <w:tcW w:w="2480" w:type="dxa"/>
            <w:vAlign w:val="bottom"/>
            <w:shd w:val="clear" w:color="auto" w:fill="CCEEFF"/>
          </w:tcPr>
          <w:p>
            <w:pPr>
              <w:spacing w:after="0"/>
              <w:rPr>
                <w:sz w:val="13"/>
                <w:szCs w:val="13"/>
                <w:color w:val="auto"/>
              </w:rPr>
            </w:pPr>
          </w:p>
        </w:tc>
        <w:tc>
          <w:tcPr>
            <w:tcW w:w="242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4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14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Article 4. Party B’s Rights</w:t>
            </w:r>
          </w:p>
        </w:tc>
        <w:tc>
          <w:tcPr>
            <w:tcW w:w="2540" w:type="dxa"/>
            <w:vAlign w:val="bottom"/>
            <w:shd w:val="clear" w:color="auto" w:fill="CCEEFF"/>
          </w:tcPr>
          <w:p>
            <w:pPr>
              <w:ind w:left="160"/>
              <w:spacing w:after="0" w:line="117" w:lineRule="exact"/>
              <w:rPr>
                <w:sz w:val="20"/>
                <w:szCs w:val="20"/>
                <w:color w:val="auto"/>
              </w:rPr>
            </w:pPr>
            <w:r>
              <w:rPr>
                <w:rFonts w:ascii="Times New Roman" w:cs="Times New Roman" w:eastAsia="Times New Roman" w:hAnsi="Times New Roman"/>
                <w:sz w:val="13"/>
                <w:szCs w:val="13"/>
                <w:color w:val="auto"/>
              </w:rPr>
              <w:t>“Party B shall be responsible for the design,</w:t>
            </w:r>
          </w:p>
        </w:tc>
        <w:tc>
          <w:tcPr>
            <w:tcW w:w="2480" w:type="dxa"/>
            <w:vAlign w:val="bottom"/>
            <w:shd w:val="clear" w:color="auto" w:fill="CCEEFF"/>
          </w:tcPr>
          <w:p>
            <w:pPr>
              <w:ind w:left="80"/>
              <w:spacing w:after="0" w:line="117" w:lineRule="exact"/>
              <w:rPr>
                <w:sz w:val="20"/>
                <w:szCs w:val="20"/>
                <w:color w:val="auto"/>
              </w:rPr>
            </w:pPr>
            <w:r>
              <w:rPr>
                <w:rFonts w:ascii="Times New Roman" w:cs="Times New Roman" w:eastAsia="Times New Roman" w:hAnsi="Times New Roman"/>
                <w:sz w:val="13"/>
                <w:szCs w:val="13"/>
                <w:color w:val="auto"/>
              </w:rPr>
              <w:t>“Party B shall be responsible for the design,</w:t>
            </w:r>
          </w:p>
        </w:tc>
        <w:tc>
          <w:tcPr>
            <w:tcW w:w="2480" w:type="dxa"/>
            <w:vAlign w:val="bottom"/>
            <w:shd w:val="clear" w:color="auto" w:fill="CCEEFF"/>
          </w:tcPr>
          <w:p>
            <w:pPr>
              <w:ind w:left="80"/>
              <w:spacing w:after="0" w:line="117" w:lineRule="exact"/>
              <w:rPr>
                <w:sz w:val="20"/>
                <w:szCs w:val="20"/>
                <w:color w:val="auto"/>
              </w:rPr>
            </w:pPr>
            <w:r>
              <w:rPr>
                <w:rFonts w:ascii="Times New Roman" w:cs="Times New Roman" w:eastAsia="Times New Roman" w:hAnsi="Times New Roman"/>
                <w:sz w:val="13"/>
                <w:szCs w:val="13"/>
                <w:color w:val="auto"/>
              </w:rPr>
              <w:t>“Party B shall be responsible for the</w:t>
            </w:r>
          </w:p>
        </w:tc>
        <w:tc>
          <w:tcPr>
            <w:tcW w:w="2420" w:type="dxa"/>
            <w:vAlign w:val="bottom"/>
            <w:shd w:val="clear" w:color="auto" w:fill="CCEEFF"/>
          </w:tcPr>
          <w:p>
            <w:pPr>
              <w:ind w:left="80"/>
              <w:spacing w:after="0" w:line="117" w:lineRule="exact"/>
              <w:rPr>
                <w:sz w:val="20"/>
                <w:szCs w:val="20"/>
                <w:color w:val="auto"/>
              </w:rPr>
            </w:pPr>
            <w:r>
              <w:rPr>
                <w:rFonts w:ascii="Times New Roman" w:cs="Times New Roman" w:eastAsia="Times New Roman" w:hAnsi="Times New Roman"/>
                <w:sz w:val="13"/>
                <w:szCs w:val="13"/>
                <w:color w:val="auto"/>
              </w:rPr>
              <w:t>N/A — This article remains the same as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and Obligations —</w:t>
            </w:r>
          </w:p>
        </w:tc>
        <w:tc>
          <w:tcPr>
            <w:tcW w:w="254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development, production, maintenance, and</w:t>
            </w:r>
          </w:p>
        </w:tc>
        <w:tc>
          <w:tcPr>
            <w:tcW w:w="2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development, production, maintenance, and</w:t>
            </w:r>
          </w:p>
        </w:tc>
        <w:tc>
          <w:tcPr>
            <w:tcW w:w="2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conception, development, production,</w:t>
            </w:r>
          </w:p>
        </w:tc>
        <w:tc>
          <w:tcPr>
            <w:tcW w:w="242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Cooperation Agreement 2015.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Section 4.2</w:t>
            </w:r>
          </w:p>
        </w:tc>
        <w:tc>
          <w:tcPr>
            <w:tcW w:w="254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updates of the content of the ‘GoTone</w:t>
            </w:r>
          </w:p>
        </w:tc>
        <w:tc>
          <w:tcPr>
            <w:tcW w:w="2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updates of the content of the ‘GoTone</w:t>
            </w:r>
          </w:p>
        </w:tc>
        <w:tc>
          <w:tcPr>
            <w:tcW w:w="2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maintenance and update of the content of</w:t>
            </w:r>
          </w:p>
        </w:tc>
        <w:tc>
          <w:tcPr>
            <w:tcW w:w="24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54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Phoenix Weekly’, ‘GoTone Phoenix</w:t>
            </w:r>
          </w:p>
        </w:tc>
        <w:tc>
          <w:tcPr>
            <w:tcW w:w="2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Phoenix Weekly’ and ‘GoTone Phoenix</w:t>
            </w:r>
          </w:p>
        </w:tc>
        <w:tc>
          <w:tcPr>
            <w:tcW w:w="2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‘GoTone Phoenix Monitor’ and ‘GoTone</w:t>
            </w:r>
          </w:p>
        </w:tc>
        <w:tc>
          <w:tcPr>
            <w:tcW w:w="24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54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Observer’, and ‘Phoenix Express’, and the</w:t>
            </w:r>
          </w:p>
        </w:tc>
        <w:tc>
          <w:tcPr>
            <w:tcW w:w="2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Observer’, and the foregoing multimedia</w:t>
            </w:r>
          </w:p>
        </w:tc>
        <w:tc>
          <w:tcPr>
            <w:tcW w:w="2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Phoenix Weekly’; said mobile newspapers</w:t>
            </w:r>
          </w:p>
        </w:tc>
        <w:tc>
          <w:tcPr>
            <w:tcW w:w="24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54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w w:val="99"/>
              </w:rPr>
              <w:t>foregoing multimedia message products shall</w:t>
            </w:r>
          </w:p>
        </w:tc>
        <w:tc>
          <w:tcPr>
            <w:tcW w:w="2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message products shall contain contents that</w:t>
            </w:r>
          </w:p>
        </w:tc>
        <w:tc>
          <w:tcPr>
            <w:tcW w:w="2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shall include contents of various fields, such</w:t>
            </w:r>
          </w:p>
        </w:tc>
        <w:tc>
          <w:tcPr>
            <w:tcW w:w="24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54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contain contents that cover current affairs,</w:t>
            </w:r>
          </w:p>
        </w:tc>
        <w:tc>
          <w:tcPr>
            <w:tcW w:w="2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cover current affairs, finance, entertainments,</w:t>
            </w:r>
          </w:p>
        </w:tc>
        <w:tc>
          <w:tcPr>
            <w:tcW w:w="2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as current affairs, finance and economy,</w:t>
            </w:r>
          </w:p>
        </w:tc>
        <w:tc>
          <w:tcPr>
            <w:tcW w:w="24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54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finance, entertainments, sports, culture,</w:t>
            </w:r>
          </w:p>
        </w:tc>
        <w:tc>
          <w:tcPr>
            <w:tcW w:w="2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sports, culture, science and technology,</w:t>
            </w:r>
          </w:p>
        </w:tc>
        <w:tc>
          <w:tcPr>
            <w:tcW w:w="2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entertainment, sports, culture, science and</w:t>
            </w:r>
          </w:p>
        </w:tc>
        <w:tc>
          <w:tcPr>
            <w:tcW w:w="24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54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science and technology, fashion, and military</w:t>
            </w:r>
          </w:p>
        </w:tc>
        <w:tc>
          <w:tcPr>
            <w:tcW w:w="2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fashion, and military affairs.”</w:t>
            </w:r>
          </w:p>
        </w:tc>
        <w:tc>
          <w:tcPr>
            <w:tcW w:w="2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technology, fashion, military.”</w:t>
            </w:r>
          </w:p>
        </w:tc>
        <w:tc>
          <w:tcPr>
            <w:tcW w:w="24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affairs.”</w:t>
            </w:r>
          </w:p>
        </w:tc>
        <w:tc>
          <w:tcPr>
            <w:tcW w:w="2480" w:type="dxa"/>
            <w:vAlign w:val="bottom"/>
            <w:shd w:val="clear" w:color="auto" w:fill="CCEEFF"/>
          </w:tcPr>
          <w:p>
            <w:pPr>
              <w:spacing w:after="0"/>
              <w:rPr>
                <w:sz w:val="13"/>
                <w:szCs w:val="13"/>
                <w:color w:val="auto"/>
              </w:rPr>
            </w:pPr>
          </w:p>
        </w:tc>
        <w:tc>
          <w:tcPr>
            <w:tcW w:w="2480" w:type="dxa"/>
            <w:vAlign w:val="bottom"/>
            <w:shd w:val="clear" w:color="auto" w:fill="CCEEFF"/>
          </w:tcPr>
          <w:p>
            <w:pPr>
              <w:spacing w:after="0"/>
              <w:rPr>
                <w:sz w:val="13"/>
                <w:szCs w:val="13"/>
                <w:color w:val="auto"/>
              </w:rPr>
            </w:pPr>
          </w:p>
        </w:tc>
        <w:tc>
          <w:tcPr>
            <w:tcW w:w="242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24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5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Material difference</w:t>
            </w:r>
          </w:p>
        </w:tc>
        <w:tc>
          <w:tcPr>
            <w:tcW w:w="160" w:type="dxa"/>
            <w:vAlign w:val="bottom"/>
          </w:tcPr>
          <w:p>
            <w:pPr>
              <w:spacing w:after="0"/>
              <w:rPr>
                <w:sz w:val="13"/>
                <w:szCs w:val="13"/>
                <w:color w:val="auto"/>
              </w:rPr>
            </w:pPr>
          </w:p>
        </w:tc>
        <w:tc>
          <w:tcPr>
            <w:tcW w:w="246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Cooperation Agreement 2011</w:t>
            </w:r>
          </w:p>
        </w:tc>
        <w:tc>
          <w:tcPr>
            <w:tcW w:w="248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Cooperation Agreement 2014</w:t>
            </w:r>
          </w:p>
        </w:tc>
        <w:tc>
          <w:tcPr>
            <w:tcW w:w="248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Cooperation Agreement 2015</w:t>
            </w:r>
          </w:p>
        </w:tc>
        <w:tc>
          <w:tcPr>
            <w:tcW w:w="234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Cooperation Agreement 2016</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3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3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3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14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Article 4. Party B’s Rights</w:t>
            </w:r>
          </w:p>
        </w:tc>
        <w:tc>
          <w:tcPr>
            <w:tcW w:w="2620" w:type="dxa"/>
            <w:vAlign w:val="bottom"/>
            <w:gridSpan w:val="3"/>
            <w:shd w:val="clear" w:color="auto" w:fill="CCEEFF"/>
          </w:tcPr>
          <w:p>
            <w:pPr>
              <w:ind w:left="160"/>
              <w:spacing w:after="0" w:line="117" w:lineRule="exact"/>
              <w:rPr>
                <w:sz w:val="20"/>
                <w:szCs w:val="20"/>
                <w:color w:val="auto"/>
              </w:rPr>
            </w:pPr>
            <w:r>
              <w:rPr>
                <w:rFonts w:ascii="Times New Roman" w:cs="Times New Roman" w:eastAsia="Times New Roman" w:hAnsi="Times New Roman"/>
                <w:sz w:val="13"/>
                <w:szCs w:val="13"/>
                <w:color w:val="auto"/>
              </w:rPr>
              <w:t>“Party B covenants that the foregoing</w:t>
            </w:r>
          </w:p>
        </w:tc>
        <w:tc>
          <w:tcPr>
            <w:tcW w:w="248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“Party B covenants that the foregoing</w:t>
            </w:r>
          </w:p>
        </w:tc>
        <w:tc>
          <w:tcPr>
            <w:tcW w:w="248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“Party B covenants that the foregoing mobile</w:t>
            </w:r>
          </w:p>
        </w:tc>
        <w:tc>
          <w:tcPr>
            <w:tcW w:w="23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N/A — This article remains the same as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and Obligations —</w:t>
            </w: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multimedia message products will be sold to</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multimedia message products will be sold to</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newspapers will be sold to Party A</w:t>
            </w:r>
          </w:p>
        </w:tc>
        <w:tc>
          <w:tcPr>
            <w:tcW w:w="2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Cooperation Agreement 2015.: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Section 4.3</w:t>
            </w: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Party A exclusively, for which products Party</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Party A exclusively, for which products Party</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exclusively, for which products Party B will</w:t>
            </w:r>
          </w:p>
        </w:tc>
        <w:tc>
          <w:tcPr>
            <w:tcW w:w="2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w w:val="98"/>
              </w:rPr>
              <w:t>“Party B covenants that the foregoing mobile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B will only provide content support, and that</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B will only provide content support, and that</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only provide content support; and that Party</w:t>
            </w:r>
          </w:p>
        </w:tc>
        <w:tc>
          <w:tcPr>
            <w:tcW w:w="2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newspapers will be sold to Party 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Party B will not sell such multimedia</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Party B will not sell such multimedia</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B will not sell, either on its own or in</w:t>
            </w:r>
          </w:p>
        </w:tc>
        <w:tc>
          <w:tcPr>
            <w:tcW w:w="2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exclusively, for which products Party B will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message products to or in collaboration with</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message products to or in collaboration with</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collaboration with any third party, such</w:t>
            </w:r>
          </w:p>
        </w:tc>
        <w:tc>
          <w:tcPr>
            <w:tcW w:w="2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w w:val="96"/>
              </w:rPr>
              <w:t>only provide content support; and that Party B</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any third party other than Party A.”</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any third party other than Party A and its</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mobile newspapers to any person other than</w:t>
            </w:r>
          </w:p>
        </w:tc>
        <w:tc>
          <w:tcPr>
            <w:tcW w:w="2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will not sell, either on its own or in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affiliated companies”.</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Party A and its affiliates.”</w:t>
            </w:r>
          </w:p>
        </w:tc>
        <w:tc>
          <w:tcPr>
            <w:tcW w:w="2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collaboration with any third party, such</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mobile newspapers to any person other than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Party A and its affiliates.”</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14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Article 8. Breach of</w:t>
            </w:r>
          </w:p>
        </w:tc>
        <w:tc>
          <w:tcPr>
            <w:tcW w:w="2620" w:type="dxa"/>
            <w:vAlign w:val="bottom"/>
            <w:gridSpan w:val="3"/>
            <w:shd w:val="clear" w:color="auto" w:fill="CCEEFF"/>
          </w:tcPr>
          <w:p>
            <w:pPr>
              <w:ind w:left="160"/>
              <w:spacing w:after="0" w:line="117" w:lineRule="exact"/>
              <w:rPr>
                <w:sz w:val="20"/>
                <w:szCs w:val="20"/>
                <w:color w:val="auto"/>
              </w:rPr>
            </w:pPr>
            <w:r>
              <w:rPr>
                <w:rFonts w:ascii="Times New Roman" w:cs="Times New Roman" w:eastAsia="Times New Roman" w:hAnsi="Times New Roman"/>
                <w:sz w:val="13"/>
                <w:szCs w:val="13"/>
                <w:color w:val="auto"/>
              </w:rPr>
              <w:t>“If any Party is in breach of the</w:t>
            </w:r>
          </w:p>
        </w:tc>
        <w:tc>
          <w:tcPr>
            <w:tcW w:w="248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“If any Party is in breach of the</w:t>
            </w:r>
          </w:p>
        </w:tc>
        <w:tc>
          <w:tcPr>
            <w:tcW w:w="248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“If any Party is in breach of the</w:t>
            </w:r>
          </w:p>
        </w:tc>
        <w:tc>
          <w:tcPr>
            <w:tcW w:w="23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N/A — This article remains the same as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Obligation — Section 8.6</w:t>
            </w: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confidentiality provisions hereof, such Party</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confidentiality provisions hereof, such Party</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confidentiality provisions hereof, such Party</w:t>
            </w:r>
          </w:p>
        </w:tc>
        <w:tc>
          <w:tcPr>
            <w:tcW w:w="2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Cooperation Agreement 2015.: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shall pay to the non-breaching Party a</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shall pay to the non-breaching Party a</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shall pay to the non-breaching Party an</w:t>
            </w:r>
          </w:p>
        </w:tc>
        <w:tc>
          <w:tcPr>
            <w:tcW w:w="2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“If any Party is in breach of the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liquidated damage at 1% of the total contract</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liquidated damage at 1% of the total contract</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amount equal to ten percent (10%) of the total</w:t>
            </w:r>
          </w:p>
        </w:tc>
        <w:tc>
          <w:tcPr>
            <w:tcW w:w="2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confidentiality provisions hereof, such Party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price hereof.”</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price hereof, and bear all expenses thereof</w:t>
            </w:r>
          </w:p>
        </w:tc>
        <w:tc>
          <w:tcPr>
            <w:tcW w:w="2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contract price hereunder as liquidated</w:t>
            </w:r>
          </w:p>
        </w:tc>
        <w:tc>
          <w:tcPr>
            <w:tcW w:w="2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shall pay to the non-breaching Party an</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incurred.”</w:t>
            </w: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damages, and shall bear any and all expenses</w:t>
            </w: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6"/>
              </w:rPr>
              <w:t>amount equal to ten percent (10%) of the total</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3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3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3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3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242" w:right="199" w:bottom="0" w:gutter="0" w:footer="0" w:header="0"/>
          <w:type w:val="continuous"/>
        </w:sectPr>
      </w:pPr>
    </w:p>
    <w:bookmarkStart w:id="137" w:name="page138"/>
    <w:bookmarkEnd w:id="137"/>
    <w:p>
      <w:pPr>
        <w:ind w:left="6600"/>
        <w:spacing w:after="0"/>
        <w:rPr>
          <w:sz w:val="20"/>
          <w:szCs w:val="20"/>
          <w:color w:val="auto"/>
        </w:rPr>
      </w:pPr>
      <w:r>
        <w:rPr>
          <w:rFonts w:ascii="Times New Roman" w:cs="Times New Roman" w:eastAsia="Times New Roman" w:hAnsi="Times New Roman"/>
          <w:sz w:val="12"/>
          <w:szCs w:val="12"/>
          <w:color w:val="auto"/>
        </w:rPr>
        <w:t>incurred in connection with claims arising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3429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3"/>
          <w:szCs w:val="13"/>
          <w:color w:val="auto"/>
        </w:rPr>
        <w:t>from such breach.”</w:t>
      </w:r>
    </w:p>
    <w:p>
      <w:pPr>
        <w:spacing w:after="0" w:line="20" w:lineRule="exact"/>
        <w:rPr>
          <w:sz w:val="20"/>
          <w:szCs w:val="20"/>
          <w:color w:val="auto"/>
        </w:rPr>
      </w:pPr>
      <w:r>
        <w:rPr>
          <w:sz w:val="20"/>
          <w:szCs w:val="20"/>
          <w:color w:val="auto"/>
        </w:rPr>
        <w:br w:type="column"/>
      </w:r>
    </w:p>
    <w:p>
      <w:pPr>
        <w:ind w:right="100"/>
        <w:spacing w:after="0" w:line="228" w:lineRule="auto"/>
        <w:rPr>
          <w:sz w:val="20"/>
          <w:szCs w:val="20"/>
          <w:color w:val="auto"/>
        </w:rPr>
      </w:pPr>
      <w:r>
        <w:rPr>
          <w:rFonts w:ascii="Times New Roman" w:cs="Times New Roman" w:eastAsia="Times New Roman" w:hAnsi="Times New Roman"/>
          <w:sz w:val="13"/>
          <w:szCs w:val="13"/>
          <w:color w:val="auto"/>
        </w:rPr>
        <w:t>contract price hereunder as liquidated damages, and shall bear any and all expenses incurred in connection with claims arising from such breach.”</w:t>
      </w:r>
    </w:p>
    <w:p>
      <w:pPr>
        <w:spacing w:after="0" w:line="92" w:lineRule="exact"/>
        <w:rPr>
          <w:sz w:val="20"/>
          <w:szCs w:val="20"/>
          <w:color w:val="auto"/>
        </w:rPr>
      </w:pPr>
    </w:p>
    <w:p>
      <w:pPr>
        <w:sectPr>
          <w:pgSz w:w="11900" w:h="16838" w:orient="portrait"/>
          <w:cols w:equalWidth="0" w:num="2">
            <w:col w:w="8720" w:space="360"/>
            <w:col w:w="2380"/>
          </w:cols>
          <w:pgMar w:left="240" w:top="121" w:right="199" w:bottom="1440" w:gutter="0" w:footer="0" w:header="0"/>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Article 4. Party B’s Rights</w:t>
            </w:r>
          </w:p>
        </w:tc>
        <w:tc>
          <w:tcPr>
            <w:tcW w:w="2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“Party B shall assist Party A in providing</w:t>
            </w:r>
          </w:p>
        </w:tc>
        <w:tc>
          <w:tcPr>
            <w:tcW w:w="2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“Party B shall assist Party A in providing</w:t>
            </w:r>
          </w:p>
        </w:tc>
        <w:tc>
          <w:tcPr>
            <w:tcW w:w="2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N/A — this article is deleted</w:t>
            </w:r>
          </w:p>
        </w:tc>
        <w:tc>
          <w:tcPr>
            <w:tcW w:w="2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“Party B shall assist Party A in providing</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and Obligations —</w:t>
            </w:r>
          </w:p>
        </w:tc>
        <w:tc>
          <w:tcPr>
            <w:tcW w:w="254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w w:val="99"/>
              </w:rPr>
              <w:t>consulting services to Party A’s clients and in</w:t>
            </w:r>
          </w:p>
        </w:tc>
        <w:tc>
          <w:tcPr>
            <w:tcW w:w="246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w w:val="99"/>
              </w:rPr>
              <w:t>consulting services to Party A’s clients and in</w:t>
            </w:r>
          </w:p>
        </w:tc>
        <w:tc>
          <w:tcPr>
            <w:tcW w:w="2060" w:type="dxa"/>
            <w:vAlign w:val="bottom"/>
            <w:shd w:val="clear" w:color="auto" w:fill="CCEEFF"/>
          </w:tcPr>
          <w:p>
            <w:pPr>
              <w:spacing w:after="0"/>
              <w:rPr>
                <w:sz w:val="11"/>
                <w:szCs w:val="11"/>
                <w:color w:val="auto"/>
              </w:rPr>
            </w:pPr>
          </w:p>
        </w:tc>
        <w:tc>
          <w:tcPr>
            <w:tcW w:w="2860" w:type="dxa"/>
            <w:vAlign w:val="bottom"/>
            <w:shd w:val="clear" w:color="auto" w:fill="CCEEFF"/>
          </w:tcPr>
          <w:p>
            <w:pPr>
              <w:ind w:left="520"/>
              <w:spacing w:after="0" w:line="135" w:lineRule="exact"/>
              <w:rPr>
                <w:sz w:val="20"/>
                <w:szCs w:val="20"/>
                <w:color w:val="auto"/>
              </w:rPr>
            </w:pPr>
            <w:r>
              <w:rPr>
                <w:rFonts w:ascii="Times New Roman" w:cs="Times New Roman" w:eastAsia="Times New Roman" w:hAnsi="Times New Roman"/>
                <w:sz w:val="13"/>
                <w:szCs w:val="13"/>
                <w:color w:val="auto"/>
                <w:w w:val="97"/>
              </w:rPr>
              <w:t>consulting services to Party A’s clients and in</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Section 4.6</w:t>
            </w:r>
          </w:p>
        </w:tc>
        <w:tc>
          <w:tcPr>
            <w:tcW w:w="254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handling and resolving their complaints.</w:t>
            </w:r>
          </w:p>
        </w:tc>
        <w:tc>
          <w:tcPr>
            <w:tcW w:w="246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handling and resolving their complaints.</w:t>
            </w:r>
          </w:p>
        </w:tc>
        <w:tc>
          <w:tcPr>
            <w:tcW w:w="2060" w:type="dxa"/>
            <w:vAlign w:val="bottom"/>
            <w:shd w:val="clear" w:color="auto" w:fill="CCEEFF"/>
          </w:tcPr>
          <w:p>
            <w:pPr>
              <w:spacing w:after="0"/>
              <w:rPr>
                <w:sz w:val="11"/>
                <w:szCs w:val="11"/>
                <w:color w:val="auto"/>
              </w:rPr>
            </w:pPr>
          </w:p>
        </w:tc>
        <w:tc>
          <w:tcPr>
            <w:tcW w:w="2860" w:type="dxa"/>
            <w:vAlign w:val="bottom"/>
            <w:shd w:val="clear" w:color="auto" w:fill="CCEEFF"/>
          </w:tcPr>
          <w:p>
            <w:pPr>
              <w:ind w:left="520"/>
              <w:spacing w:after="0" w:line="135" w:lineRule="exact"/>
              <w:rPr>
                <w:sz w:val="20"/>
                <w:szCs w:val="20"/>
                <w:color w:val="auto"/>
              </w:rPr>
            </w:pPr>
            <w:r>
              <w:rPr>
                <w:rFonts w:ascii="Times New Roman" w:cs="Times New Roman" w:eastAsia="Times New Roman" w:hAnsi="Times New Roman"/>
                <w:sz w:val="13"/>
                <w:szCs w:val="13"/>
                <w:color w:val="auto"/>
              </w:rPr>
              <w:t>handling and resolving their related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54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With respect to complaints arising out of</w:t>
            </w:r>
          </w:p>
        </w:tc>
        <w:tc>
          <w:tcPr>
            <w:tcW w:w="246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With respect to complaints arising out of</w:t>
            </w:r>
          </w:p>
        </w:tc>
        <w:tc>
          <w:tcPr>
            <w:tcW w:w="2060" w:type="dxa"/>
            <w:vAlign w:val="bottom"/>
            <w:shd w:val="clear" w:color="auto" w:fill="CCEEFF"/>
          </w:tcPr>
          <w:p>
            <w:pPr>
              <w:spacing w:after="0"/>
              <w:rPr>
                <w:sz w:val="11"/>
                <w:szCs w:val="11"/>
                <w:color w:val="auto"/>
              </w:rPr>
            </w:pPr>
          </w:p>
        </w:tc>
        <w:tc>
          <w:tcPr>
            <w:tcW w:w="2860" w:type="dxa"/>
            <w:vAlign w:val="bottom"/>
            <w:shd w:val="clear" w:color="auto" w:fill="CCEEFF"/>
          </w:tcPr>
          <w:p>
            <w:pPr>
              <w:ind w:left="520"/>
              <w:spacing w:after="0" w:line="135" w:lineRule="exact"/>
              <w:rPr>
                <w:sz w:val="20"/>
                <w:szCs w:val="20"/>
                <w:color w:val="auto"/>
              </w:rPr>
            </w:pPr>
            <w:r>
              <w:rPr>
                <w:rFonts w:ascii="Times New Roman" w:cs="Times New Roman" w:eastAsia="Times New Roman" w:hAnsi="Times New Roman"/>
                <w:sz w:val="13"/>
                <w:szCs w:val="13"/>
                <w:color w:val="auto"/>
              </w:rPr>
              <w:t>complaints. With respect to complaints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54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causes attributable to Party B, it shall handle</w:t>
            </w:r>
          </w:p>
        </w:tc>
        <w:tc>
          <w:tcPr>
            <w:tcW w:w="246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causes attributable to Party B, it shall handle</w:t>
            </w:r>
          </w:p>
        </w:tc>
        <w:tc>
          <w:tcPr>
            <w:tcW w:w="2060" w:type="dxa"/>
            <w:vAlign w:val="bottom"/>
            <w:shd w:val="clear" w:color="auto" w:fill="CCEEFF"/>
          </w:tcPr>
          <w:p>
            <w:pPr>
              <w:spacing w:after="0"/>
              <w:rPr>
                <w:sz w:val="11"/>
                <w:szCs w:val="11"/>
                <w:color w:val="auto"/>
              </w:rPr>
            </w:pPr>
          </w:p>
        </w:tc>
        <w:tc>
          <w:tcPr>
            <w:tcW w:w="2860" w:type="dxa"/>
            <w:vAlign w:val="bottom"/>
            <w:shd w:val="clear" w:color="auto" w:fill="CCEEFF"/>
          </w:tcPr>
          <w:p>
            <w:pPr>
              <w:ind w:left="520"/>
              <w:spacing w:after="0" w:line="135" w:lineRule="exact"/>
              <w:rPr>
                <w:sz w:val="20"/>
                <w:szCs w:val="20"/>
                <w:color w:val="auto"/>
              </w:rPr>
            </w:pPr>
            <w:r>
              <w:rPr>
                <w:rFonts w:ascii="Times New Roman" w:cs="Times New Roman" w:eastAsia="Times New Roman" w:hAnsi="Times New Roman"/>
                <w:sz w:val="13"/>
                <w:szCs w:val="13"/>
                <w:color w:val="auto"/>
              </w:rPr>
              <w:t>arising out of causes attributable to Party B,</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54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and resolve the same within forty-eight (48)</w:t>
            </w:r>
          </w:p>
        </w:tc>
        <w:tc>
          <w:tcPr>
            <w:tcW w:w="246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and resolve the same within eight (8) hours.”</w:t>
            </w:r>
          </w:p>
        </w:tc>
        <w:tc>
          <w:tcPr>
            <w:tcW w:w="2060" w:type="dxa"/>
            <w:vAlign w:val="bottom"/>
            <w:shd w:val="clear" w:color="auto" w:fill="CCEEFF"/>
          </w:tcPr>
          <w:p>
            <w:pPr>
              <w:spacing w:after="0"/>
              <w:rPr>
                <w:sz w:val="11"/>
                <w:szCs w:val="11"/>
                <w:color w:val="auto"/>
              </w:rPr>
            </w:pPr>
          </w:p>
        </w:tc>
        <w:tc>
          <w:tcPr>
            <w:tcW w:w="2860" w:type="dxa"/>
            <w:vAlign w:val="bottom"/>
            <w:shd w:val="clear" w:color="auto" w:fill="CCEEFF"/>
          </w:tcPr>
          <w:p>
            <w:pPr>
              <w:ind w:left="520"/>
              <w:spacing w:after="0" w:line="135" w:lineRule="exact"/>
              <w:rPr>
                <w:sz w:val="20"/>
                <w:szCs w:val="20"/>
                <w:color w:val="auto"/>
              </w:rPr>
            </w:pPr>
            <w:r>
              <w:rPr>
                <w:rFonts w:ascii="Times New Roman" w:cs="Times New Roman" w:eastAsia="Times New Roman" w:hAnsi="Times New Roman"/>
                <w:sz w:val="13"/>
                <w:szCs w:val="13"/>
                <w:color w:val="auto"/>
                <w:w w:val="98"/>
              </w:rPr>
              <w:t>Party B shall be responsible for handling and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hours.”</w:t>
            </w:r>
          </w:p>
        </w:tc>
        <w:tc>
          <w:tcPr>
            <w:tcW w:w="246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2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resolving the same within eight (8) hours.”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4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14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Article 13. Exhibits</w:t>
            </w:r>
          </w:p>
        </w:tc>
        <w:tc>
          <w:tcPr>
            <w:tcW w:w="2540" w:type="dxa"/>
            <w:vAlign w:val="bottom"/>
            <w:shd w:val="clear" w:color="auto" w:fill="CCEEFF"/>
          </w:tcPr>
          <w:p>
            <w:pPr>
              <w:ind w:left="160"/>
              <w:spacing w:after="0" w:line="117" w:lineRule="exact"/>
              <w:rPr>
                <w:sz w:val="20"/>
                <w:szCs w:val="20"/>
                <w:color w:val="auto"/>
              </w:rPr>
            </w:pPr>
            <w:r>
              <w:rPr>
                <w:rFonts w:ascii="Times New Roman" w:cs="Times New Roman" w:eastAsia="Times New Roman" w:hAnsi="Times New Roman"/>
                <w:sz w:val="13"/>
                <w:szCs w:val="13"/>
                <w:color w:val="auto"/>
              </w:rPr>
              <w:t>N/A</w:t>
            </w:r>
          </w:p>
        </w:tc>
        <w:tc>
          <w:tcPr>
            <w:tcW w:w="2460" w:type="dxa"/>
            <w:vAlign w:val="bottom"/>
            <w:shd w:val="clear" w:color="auto" w:fill="CCEEFF"/>
          </w:tcPr>
          <w:p>
            <w:pPr>
              <w:ind w:left="80"/>
              <w:spacing w:after="0" w:line="117" w:lineRule="exact"/>
              <w:rPr>
                <w:sz w:val="20"/>
                <w:szCs w:val="20"/>
                <w:color w:val="auto"/>
              </w:rPr>
            </w:pPr>
            <w:r>
              <w:rPr>
                <w:rFonts w:ascii="Times New Roman" w:cs="Times New Roman" w:eastAsia="Times New Roman" w:hAnsi="Times New Roman"/>
                <w:sz w:val="13"/>
                <w:szCs w:val="13"/>
                <w:color w:val="auto"/>
              </w:rPr>
              <w:t>Exhibit 1. Licensed Trademark Exhibit 2.</w:t>
            </w:r>
          </w:p>
        </w:tc>
        <w:tc>
          <w:tcPr>
            <w:tcW w:w="206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N/A — this article is deleted</w:t>
            </w:r>
          </w:p>
        </w:tc>
        <w:tc>
          <w:tcPr>
            <w:tcW w:w="2860" w:type="dxa"/>
            <w:vAlign w:val="bottom"/>
            <w:shd w:val="clear" w:color="auto" w:fill="CCEEFF"/>
          </w:tcPr>
          <w:p>
            <w:pPr>
              <w:ind w:left="520"/>
              <w:spacing w:after="0" w:line="117" w:lineRule="exact"/>
              <w:rPr>
                <w:sz w:val="20"/>
                <w:szCs w:val="20"/>
                <w:color w:val="auto"/>
              </w:rPr>
            </w:pPr>
            <w:r>
              <w:rPr>
                <w:rFonts w:ascii="Times New Roman" w:cs="Times New Roman" w:eastAsia="Times New Roman" w:hAnsi="Times New Roman"/>
                <w:sz w:val="13"/>
                <w:szCs w:val="13"/>
                <w:color w:val="auto"/>
              </w:rPr>
              <w:t>Exhibit 1. Trademark License Agreement,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246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Trademark License Agreement, dated</w:t>
            </w:r>
          </w:p>
        </w:tc>
        <w:tc>
          <w:tcPr>
            <w:tcW w:w="2060" w:type="dxa"/>
            <w:vAlign w:val="bottom"/>
            <w:shd w:val="clear" w:color="auto" w:fill="CCEEFF"/>
          </w:tcPr>
          <w:p>
            <w:pPr>
              <w:spacing w:after="0"/>
              <w:rPr>
                <w:sz w:val="11"/>
                <w:szCs w:val="11"/>
                <w:color w:val="auto"/>
              </w:rPr>
            </w:pPr>
          </w:p>
        </w:tc>
        <w:tc>
          <w:tcPr>
            <w:tcW w:w="2860" w:type="dxa"/>
            <w:vAlign w:val="bottom"/>
            <w:shd w:val="clear" w:color="auto" w:fill="CCEEFF"/>
          </w:tcPr>
          <w:p>
            <w:pPr>
              <w:ind w:left="520"/>
              <w:spacing w:after="0" w:line="135" w:lineRule="exact"/>
              <w:rPr>
                <w:sz w:val="20"/>
                <w:szCs w:val="20"/>
                <w:color w:val="auto"/>
              </w:rPr>
            </w:pPr>
            <w:r>
              <w:rPr>
                <w:rFonts w:ascii="Times New Roman" w:cs="Times New Roman" w:eastAsia="Times New Roman" w:hAnsi="Times New Roman"/>
                <w:sz w:val="13"/>
                <w:szCs w:val="13"/>
                <w:color w:val="auto"/>
                <w:w w:val="98"/>
              </w:rPr>
              <w:t>dated November 24, 2009, between Tianying</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246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November 24, 2009, between Tianying</w:t>
            </w:r>
          </w:p>
        </w:tc>
        <w:tc>
          <w:tcPr>
            <w:tcW w:w="2060" w:type="dxa"/>
            <w:vAlign w:val="bottom"/>
            <w:shd w:val="clear" w:color="auto" w:fill="CCEEFF"/>
          </w:tcPr>
          <w:p>
            <w:pPr>
              <w:spacing w:after="0"/>
              <w:rPr>
                <w:sz w:val="11"/>
                <w:szCs w:val="11"/>
                <w:color w:val="auto"/>
              </w:rPr>
            </w:pPr>
          </w:p>
        </w:tc>
        <w:tc>
          <w:tcPr>
            <w:tcW w:w="2860" w:type="dxa"/>
            <w:vAlign w:val="bottom"/>
            <w:shd w:val="clear" w:color="auto" w:fill="CCEEFF"/>
          </w:tcPr>
          <w:p>
            <w:pPr>
              <w:ind w:left="520"/>
              <w:spacing w:after="0" w:line="135" w:lineRule="exact"/>
              <w:rPr>
                <w:sz w:val="20"/>
                <w:szCs w:val="20"/>
                <w:color w:val="auto"/>
              </w:rPr>
            </w:pPr>
            <w:r>
              <w:rPr>
                <w:rFonts w:ascii="Times New Roman" w:cs="Times New Roman" w:eastAsia="Times New Roman" w:hAnsi="Times New Roman"/>
                <w:sz w:val="13"/>
                <w:szCs w:val="13"/>
                <w:color w:val="auto"/>
              </w:rPr>
              <w:t>Jiuzhou and Phoenix Satellite Television</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246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Jiuzhou and Phoenix Satellite Television</w:t>
            </w:r>
          </w:p>
        </w:tc>
        <w:tc>
          <w:tcPr>
            <w:tcW w:w="2060" w:type="dxa"/>
            <w:vAlign w:val="bottom"/>
            <w:shd w:val="clear" w:color="auto" w:fill="CCEEFF"/>
          </w:tcPr>
          <w:p>
            <w:pPr>
              <w:spacing w:after="0"/>
              <w:rPr>
                <w:sz w:val="11"/>
                <w:szCs w:val="11"/>
                <w:color w:val="auto"/>
              </w:rPr>
            </w:pPr>
          </w:p>
        </w:tc>
        <w:tc>
          <w:tcPr>
            <w:tcW w:w="2860" w:type="dxa"/>
            <w:vAlign w:val="bottom"/>
            <w:shd w:val="clear" w:color="auto" w:fill="CCEEFF"/>
          </w:tcPr>
          <w:p>
            <w:pPr>
              <w:ind w:left="520"/>
              <w:spacing w:after="0" w:line="135" w:lineRule="exact"/>
              <w:rPr>
                <w:sz w:val="20"/>
                <w:szCs w:val="20"/>
                <w:color w:val="auto"/>
              </w:rPr>
            </w:pPr>
            <w:r>
              <w:rPr>
                <w:rFonts w:ascii="Times New Roman" w:cs="Times New Roman" w:eastAsia="Times New Roman" w:hAnsi="Times New Roman"/>
                <w:sz w:val="13"/>
                <w:szCs w:val="13"/>
                <w:color w:val="auto"/>
              </w:rPr>
              <w:t>Trademark Limited;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246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Trademark Limited Exhibit 3. Agreement of</w:t>
            </w:r>
          </w:p>
        </w:tc>
        <w:tc>
          <w:tcPr>
            <w:tcW w:w="2060" w:type="dxa"/>
            <w:vAlign w:val="bottom"/>
            <w:shd w:val="clear" w:color="auto" w:fill="CCEEFF"/>
          </w:tcPr>
          <w:p>
            <w:pPr>
              <w:spacing w:after="0"/>
              <w:rPr>
                <w:sz w:val="11"/>
                <w:szCs w:val="11"/>
                <w:color w:val="auto"/>
              </w:rPr>
            </w:pPr>
          </w:p>
        </w:tc>
        <w:tc>
          <w:tcPr>
            <w:tcW w:w="2860" w:type="dxa"/>
            <w:vAlign w:val="bottom"/>
            <w:shd w:val="clear" w:color="auto" w:fill="CCEEFF"/>
          </w:tcPr>
          <w:p>
            <w:pPr>
              <w:ind w:left="520"/>
              <w:spacing w:after="0" w:line="135" w:lineRule="exact"/>
              <w:rPr>
                <w:sz w:val="20"/>
                <w:szCs w:val="20"/>
                <w:color w:val="auto"/>
              </w:rPr>
            </w:pPr>
            <w:r>
              <w:rPr>
                <w:rFonts w:ascii="Times New Roman" w:cs="Times New Roman" w:eastAsia="Times New Roman" w:hAnsi="Times New Roman"/>
                <w:sz w:val="13"/>
                <w:szCs w:val="13"/>
                <w:color w:val="auto"/>
                <w:w w:val="99"/>
              </w:rPr>
              <w:t>Exhibit 2. Party A Project Specifications and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246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integrity and good faith.</w:t>
            </w:r>
          </w:p>
        </w:tc>
        <w:tc>
          <w:tcPr>
            <w:tcW w:w="2060" w:type="dxa"/>
            <w:vAlign w:val="bottom"/>
            <w:shd w:val="clear" w:color="auto" w:fill="CCEEFF"/>
          </w:tcPr>
          <w:p>
            <w:pPr>
              <w:spacing w:after="0"/>
              <w:rPr>
                <w:sz w:val="11"/>
                <w:szCs w:val="11"/>
                <w:color w:val="auto"/>
              </w:rPr>
            </w:pPr>
          </w:p>
        </w:tc>
        <w:tc>
          <w:tcPr>
            <w:tcW w:w="2860" w:type="dxa"/>
            <w:vAlign w:val="bottom"/>
            <w:shd w:val="clear" w:color="auto" w:fill="CCEEFF"/>
          </w:tcPr>
          <w:p>
            <w:pPr>
              <w:ind w:left="520"/>
              <w:spacing w:after="0" w:line="135" w:lineRule="exact"/>
              <w:rPr>
                <w:sz w:val="20"/>
                <w:szCs w:val="20"/>
                <w:color w:val="auto"/>
              </w:rPr>
            </w:pPr>
            <w:r>
              <w:rPr>
                <w:rFonts w:ascii="Times New Roman" w:cs="Times New Roman" w:eastAsia="Times New Roman" w:hAnsi="Times New Roman"/>
                <w:sz w:val="13"/>
                <w:szCs w:val="13"/>
                <w:color w:val="auto"/>
              </w:rPr>
              <w:t>Party B’s responses;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2860" w:type="dxa"/>
            <w:vAlign w:val="bottom"/>
            <w:shd w:val="clear" w:color="auto" w:fill="CCEEFF"/>
          </w:tcPr>
          <w:p>
            <w:pPr>
              <w:ind w:left="520"/>
              <w:spacing w:after="0" w:line="135" w:lineRule="exact"/>
              <w:rPr>
                <w:sz w:val="20"/>
                <w:szCs w:val="20"/>
                <w:color w:val="auto"/>
              </w:rPr>
            </w:pPr>
            <w:r>
              <w:rPr>
                <w:rFonts w:ascii="Times New Roman" w:cs="Times New Roman" w:eastAsia="Times New Roman" w:hAnsi="Times New Roman"/>
                <w:sz w:val="13"/>
                <w:szCs w:val="13"/>
                <w:color w:val="auto"/>
              </w:rPr>
              <w:t>Exhibit 3. Project Prices Table;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2860" w:type="dxa"/>
            <w:vAlign w:val="bottom"/>
            <w:shd w:val="clear" w:color="auto" w:fill="CCEEFF"/>
          </w:tcPr>
          <w:p>
            <w:pPr>
              <w:ind w:left="520"/>
              <w:spacing w:after="0" w:line="135" w:lineRule="exact"/>
              <w:rPr>
                <w:sz w:val="20"/>
                <w:szCs w:val="20"/>
                <w:color w:val="auto"/>
              </w:rPr>
            </w:pPr>
            <w:r>
              <w:rPr>
                <w:rFonts w:ascii="Times New Roman" w:cs="Times New Roman" w:eastAsia="Times New Roman" w:hAnsi="Times New Roman"/>
                <w:sz w:val="13"/>
                <w:szCs w:val="13"/>
                <w:color w:val="auto"/>
              </w:rPr>
              <w:t>Exhibit 4: Agreement of integrity and good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54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2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faith.</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type w:val="continuous"/>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4.45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August 10, 2016</w:t>
      </w:r>
    </w:p>
    <w:p>
      <w:pPr>
        <w:spacing w:after="0" w:line="200" w:lineRule="exact"/>
        <w:rPr>
          <w:sz w:val="20"/>
          <w:szCs w:val="20"/>
          <w:color w:val="auto"/>
        </w:rPr>
      </w:pPr>
    </w:p>
    <w:p>
      <w:pPr>
        <w:spacing w:after="0" w:line="241" w:lineRule="exact"/>
        <w:rPr>
          <w:sz w:val="20"/>
          <w:szCs w:val="20"/>
          <w:color w:val="auto"/>
        </w:rPr>
      </w:pPr>
    </w:p>
    <w:p>
      <w:pPr>
        <w:ind w:left="5240" w:right="4920" w:hanging="319"/>
        <w:spacing w:after="0" w:line="317" w:lineRule="auto"/>
        <w:tabs>
          <w:tab w:leader="none" w:pos="5178" w:val="left"/>
        </w:tabs>
        <w:numPr>
          <w:ilvl w:val="2"/>
          <w:numId w:val="1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PARTICLE INC. as Borrower</w:t>
      </w:r>
    </w:p>
    <w:p>
      <w:pPr>
        <w:spacing w:after="0" w:line="347" w:lineRule="exact"/>
        <w:rPr>
          <w:rFonts w:ascii="Times New Roman" w:cs="Times New Roman" w:eastAsia="Times New Roman" w:hAnsi="Times New Roman"/>
          <w:sz w:val="17"/>
          <w:szCs w:val="17"/>
          <w:b w:val="1"/>
          <w:bCs w:val="1"/>
          <w:color w:val="auto"/>
        </w:rPr>
      </w:pPr>
    </w:p>
    <w:p>
      <w:pPr>
        <w:ind w:left="5080" w:right="4720" w:hanging="343"/>
        <w:spacing w:after="0" w:line="286" w:lineRule="auto"/>
        <w:tabs>
          <w:tab w:leader="none" w:pos="4983" w:val="left"/>
        </w:tabs>
        <w:numPr>
          <w:ilvl w:val="1"/>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Particle (HK) Limited as a Covenantor</w:t>
      </w:r>
    </w:p>
    <w:p>
      <w:pPr>
        <w:spacing w:after="0" w:line="371" w:lineRule="exact"/>
        <w:rPr>
          <w:rFonts w:ascii="Times New Roman" w:cs="Times New Roman" w:eastAsia="Times New Roman" w:hAnsi="Times New Roman"/>
          <w:sz w:val="18"/>
          <w:szCs w:val="18"/>
          <w:b w:val="1"/>
          <w:bCs w:val="1"/>
          <w:color w:val="auto"/>
        </w:rPr>
      </w:pPr>
    </w:p>
    <w:p>
      <w:pPr>
        <w:ind w:left="3920" w:hanging="245"/>
        <w:spacing w:after="0"/>
        <w:tabs>
          <w:tab w:leader="none" w:pos="392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Beijing Particle Information Technology Co., Ltd.</w:t>
      </w:r>
    </w:p>
    <w:p>
      <w:pPr>
        <w:spacing w:after="0" w:line="31" w:lineRule="exact"/>
        <w:rPr>
          <w:sz w:val="20"/>
          <w:szCs w:val="20"/>
          <w:color w:val="auto"/>
        </w:rPr>
      </w:pPr>
    </w:p>
    <w:p>
      <w:pPr>
        <w:ind w:left="4900"/>
        <w:spacing w:after="0"/>
        <w:tabs>
          <w:tab w:leader="none" w:pos="646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 Covenantor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 Beijing Yidianwangju Technology Co., Ltd.</w:t>
      </w:r>
    </w:p>
    <w:p>
      <w:pPr>
        <w:spacing w:after="0" w:line="31" w:lineRule="exact"/>
        <w:rPr>
          <w:sz w:val="20"/>
          <w:szCs w:val="20"/>
          <w:color w:val="auto"/>
        </w:rPr>
      </w:pPr>
    </w:p>
    <w:p>
      <w:pPr>
        <w:ind w:left="6360" w:hanging="1354"/>
        <w:spacing w:after="0"/>
        <w:tabs>
          <w:tab w:leader="none" w:pos="636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9" w:lineRule="exact"/>
        <w:rPr>
          <w:rFonts w:ascii="Times New Roman" w:cs="Times New Roman" w:eastAsia="Times New Roman" w:hAnsi="Times New Roman"/>
          <w:sz w:val="18"/>
          <w:szCs w:val="18"/>
          <w:b w:val="1"/>
          <w:bCs w:val="1"/>
          <w:color w:val="auto"/>
        </w:rPr>
      </w:pPr>
    </w:p>
    <w:p>
      <w:pPr>
        <w:ind w:left="50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 a Covenantor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37" w:lineRule="exact"/>
        <w:rPr>
          <w:sz w:val="20"/>
          <w:szCs w:val="20"/>
          <w:color w:val="auto"/>
        </w:rPr>
      </w:pPr>
    </w:p>
    <w:p>
      <w:pPr>
        <w:ind w:left="4980" w:right="4160" w:hanging="806"/>
        <w:spacing w:after="0" w:line="286" w:lineRule="auto"/>
        <w:tabs>
          <w:tab w:leader="none" w:pos="4425"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PHOENIX NEW MEDIA LIMITED as Original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180975</wp:posOffset>
            </wp:positionV>
            <wp:extent cx="182689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643890</wp:posOffset>
            </wp:positionV>
            <wp:extent cx="72675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6840" w:type="dxa"/>
            <w:vAlign w:val="bottom"/>
            <w:gridSpan w:val="4"/>
          </w:tcPr>
          <w:p>
            <w:pPr>
              <w:jc w:val="right"/>
              <w:ind w:right="5240"/>
              <w:spacing w:after="0"/>
              <w:rPr>
                <w:sz w:val="20"/>
                <w:szCs w:val="20"/>
                <w:color w:val="auto"/>
              </w:rPr>
            </w:pPr>
            <w:r>
              <w:rPr>
                <w:rFonts w:ascii="Times New Roman" w:cs="Times New Roman" w:eastAsia="Times New Roman" w:hAnsi="Times New Roman"/>
                <w:sz w:val="18"/>
                <w:szCs w:val="18"/>
                <w:b w:val="1"/>
                <w:bCs w:val="1"/>
                <w:color w:val="auto"/>
              </w:rPr>
              <w:t>CONTENTS</w:t>
            </w:r>
          </w:p>
        </w:tc>
      </w:tr>
      <w:tr>
        <w:trPr>
          <w:trHeight w:val="365"/>
        </w:trPr>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CLAUSE</w:t>
            </w:r>
          </w:p>
        </w:tc>
        <w:tc>
          <w:tcPr>
            <w:tcW w:w="38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1"/>
        </w:trPr>
        <w:tc>
          <w:tcPr>
            <w:tcW w:w="20" w:type="dxa"/>
            <w:vAlign w:val="bottom"/>
          </w:tcPr>
          <w:p>
            <w:pPr>
              <w:spacing w:after="0"/>
              <w:rPr>
                <w:sz w:val="16"/>
                <w:szCs w:val="16"/>
                <w:color w:val="auto"/>
              </w:rPr>
            </w:pPr>
          </w:p>
        </w:tc>
        <w:tc>
          <w:tcPr>
            <w:tcW w:w="7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w:t>
            </w:r>
          </w:p>
        </w:tc>
        <w:tc>
          <w:tcPr>
            <w:tcW w:w="3860" w:type="dxa"/>
            <w:vAlign w:val="bottom"/>
            <w:tcBorders>
              <w:top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DEFINITIONS AND INTERPRETATION</w:t>
            </w:r>
          </w:p>
        </w:tc>
        <w:tc>
          <w:tcPr>
            <w:tcW w:w="57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r>
      <w:tr>
        <w:trPr>
          <w:trHeight w:val="21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w:t>
            </w: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FACILITY</w:t>
            </w:r>
          </w:p>
        </w:tc>
        <w:tc>
          <w:tcPr>
            <w:tcW w:w="6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w:t>
            </w: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PURPOSE</w:t>
            </w:r>
          </w:p>
        </w:tc>
        <w:tc>
          <w:tcPr>
            <w:tcW w:w="6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w:t>
            </w: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OF UTILISATION</w:t>
            </w:r>
          </w:p>
        </w:tc>
        <w:tc>
          <w:tcPr>
            <w:tcW w:w="6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w:t>
            </w: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UTILISATION</w:t>
            </w:r>
          </w:p>
        </w:tc>
        <w:tc>
          <w:tcPr>
            <w:tcW w:w="6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w:t>
            </w: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6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w:t>
            </w: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w:t>
            </w:r>
          </w:p>
        </w:tc>
        <w:tc>
          <w:tcPr>
            <w:tcW w:w="6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w:t>
            </w: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PREPAYMENT AND CANCELLATION</w:t>
            </w:r>
          </w:p>
        </w:tc>
        <w:tc>
          <w:tcPr>
            <w:tcW w:w="6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w:t>
            </w: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GROSS UP AND INDEMNITIES</w:t>
            </w:r>
          </w:p>
        </w:tc>
        <w:tc>
          <w:tcPr>
            <w:tcW w:w="6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w:t>
            </w: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INCREASED COSTS</w:t>
            </w:r>
          </w:p>
        </w:tc>
        <w:tc>
          <w:tcPr>
            <w:tcW w:w="6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w:t>
            </w: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MITIGATION BY THE LENDER</w:t>
            </w:r>
          </w:p>
        </w:tc>
        <w:tc>
          <w:tcPr>
            <w:tcW w:w="6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w:t>
            </w: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INDEMNITIES</w:t>
            </w:r>
          </w:p>
        </w:tc>
        <w:tc>
          <w:tcPr>
            <w:tcW w:w="6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w:t>
            </w: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COSTS, EXPENSES AND FEE</w:t>
            </w:r>
          </w:p>
        </w:tc>
        <w:tc>
          <w:tcPr>
            <w:tcW w:w="6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w:t>
            </w: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REPRESENTATIONS</w:t>
            </w:r>
          </w:p>
        </w:tc>
        <w:tc>
          <w:tcPr>
            <w:tcW w:w="6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w:t>
            </w: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INFORMATION UNDERTAKINGS</w:t>
            </w:r>
          </w:p>
        </w:tc>
        <w:tc>
          <w:tcPr>
            <w:tcW w:w="6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16.</w:t>
            </w: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UNDERTAKINGS</w:t>
            </w:r>
          </w:p>
        </w:tc>
        <w:tc>
          <w:tcPr>
            <w:tcW w:w="6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17.</w:t>
            </w: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EVENTS OF DEFAULT</w:t>
            </w:r>
          </w:p>
        </w:tc>
        <w:tc>
          <w:tcPr>
            <w:tcW w:w="6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18.</w:t>
            </w: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TO THE LENDER</w:t>
            </w:r>
          </w:p>
        </w:tc>
        <w:tc>
          <w:tcPr>
            <w:tcW w:w="6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19.</w:t>
            </w: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TO THE OBLIGORS</w:t>
            </w:r>
          </w:p>
        </w:tc>
        <w:tc>
          <w:tcPr>
            <w:tcW w:w="6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w:t>
            </w: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DISCLOSURE OF INFORMATION</w:t>
            </w:r>
          </w:p>
        </w:tc>
        <w:tc>
          <w:tcPr>
            <w:tcW w:w="6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w:t>
            </w: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MECHANICS</w:t>
            </w:r>
          </w:p>
        </w:tc>
        <w:tc>
          <w:tcPr>
            <w:tcW w:w="6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w:t>
            </w: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SET-OFF</w:t>
            </w:r>
          </w:p>
        </w:tc>
        <w:tc>
          <w:tcPr>
            <w:tcW w:w="6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w:t>
            </w: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NOTICES</w:t>
            </w:r>
          </w:p>
        </w:tc>
        <w:tc>
          <w:tcPr>
            <w:tcW w:w="6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w:t>
            </w: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CALCULATIONS AND CERTIFICATES</w:t>
            </w:r>
          </w:p>
        </w:tc>
        <w:tc>
          <w:tcPr>
            <w:tcW w:w="6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w:t>
            </w: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PARTIAL INVALIDITY</w:t>
            </w:r>
          </w:p>
        </w:tc>
        <w:tc>
          <w:tcPr>
            <w:tcW w:w="6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26.</w:t>
            </w: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REMEDIES AND WAIVERS</w:t>
            </w:r>
          </w:p>
        </w:tc>
        <w:tc>
          <w:tcPr>
            <w:tcW w:w="6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27.</w:t>
            </w: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AMENDMENTS AND WAIVERS</w:t>
            </w:r>
          </w:p>
        </w:tc>
        <w:tc>
          <w:tcPr>
            <w:tcW w:w="6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28.</w:t>
            </w: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COUNTERPARTS</w:t>
            </w:r>
          </w:p>
        </w:tc>
        <w:tc>
          <w:tcPr>
            <w:tcW w:w="6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29.</w:t>
            </w: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GOVERNING LAW</w:t>
            </w:r>
          </w:p>
        </w:tc>
        <w:tc>
          <w:tcPr>
            <w:tcW w:w="6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w:t>
            </w: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DISPUTE RESOLUTION</w:t>
            </w:r>
          </w:p>
        </w:tc>
        <w:tc>
          <w:tcPr>
            <w:tcW w:w="6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bl>
    <w:p>
      <w:pPr>
        <w:spacing w:after="0"/>
        <w:rPr>
          <w:sz w:val="20"/>
          <w:szCs w:val="20"/>
          <w:color w:val="auto"/>
        </w:rPr>
      </w:pPr>
      <w:r>
        <w:rPr>
          <w:rFonts w:ascii="Times New Roman" w:cs="Times New Roman" w:eastAsia="Times New Roman" w:hAnsi="Times New Roman"/>
          <w:sz w:val="18"/>
          <w:szCs w:val="18"/>
          <w:color w:val="auto"/>
        </w:rPr>
        <w:t>SCHEDULE 1 CONDITIONS PRECEDENT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2 FORM OF UTILISATION REQUEST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 FORM OF TRANSFER CERTIFICATE</w:t>
      </w:r>
    </w:p>
    <w:p>
      <w:pPr>
        <w:sectPr>
          <w:pgSz w:w="11900" w:h="16838" w:orient="portrait"/>
          <w:cols w:equalWidth="0" w:num="1">
            <w:col w:w="11420"/>
          </w:cols>
          <w:pgMar w:left="240" w:top="117" w:right="239" w:bottom="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THIS AGREEMENT </w:t>
      </w:r>
      <w:r>
        <w:rPr>
          <w:rFonts w:ascii="Times New Roman" w:cs="Times New Roman" w:eastAsia="Times New Roman" w:hAnsi="Times New Roman"/>
          <w:sz w:val="18"/>
          <w:szCs w:val="18"/>
          <w:color w:val="auto"/>
        </w:rPr>
        <w:t>is dated August 10, 2016 and made between:</w:t>
      </w:r>
    </w:p>
    <w:p>
      <w:pPr>
        <w:spacing w:after="0" w:line="225" w:lineRule="exact"/>
        <w:rPr>
          <w:sz w:val="20"/>
          <w:szCs w:val="20"/>
          <w:color w:val="auto"/>
        </w:rPr>
      </w:pPr>
    </w:p>
    <w:p>
      <w:pPr>
        <w:ind w:left="660" w:hanging="652"/>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PARTICLE INC.</w:t>
      </w:r>
      <w:r>
        <w:rPr>
          <w:rFonts w:ascii="Times New Roman" w:cs="Times New Roman" w:eastAsia="Times New Roman" w:hAnsi="Times New Roman"/>
          <w:sz w:val="18"/>
          <w:szCs w:val="18"/>
          <w:color w:val="auto"/>
        </w:rPr>
        <w:t>, an exempted limited liability company organized under the laws of the Cayman Islands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300" w:hanging="652"/>
        <w:spacing w:after="0" w:line="286" w:lineRule="auto"/>
        <w:tabs>
          <w:tab w:leader="none" w:pos="671"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PARTICLE (HK) LIMITED</w:t>
      </w:r>
      <w:r>
        <w:rPr>
          <w:rFonts w:ascii="Times New Roman" w:cs="Times New Roman" w:eastAsia="Times New Roman" w:hAnsi="Times New Roman"/>
          <w:sz w:val="18"/>
          <w:szCs w:val="18"/>
          <w:color w:val="auto"/>
        </w:rPr>
        <w:t>, a company organized under the laws of the Hong Kong and a Subsidiary (as defined herein) of the Borrower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HK Subsidiary</w:t>
      </w:r>
      <w:r>
        <w:rPr>
          <w:rFonts w:ascii="Times New Roman" w:cs="Times New Roman" w:eastAsia="Times New Roman" w:hAnsi="Times New Roman"/>
          <w:sz w:val="18"/>
          <w:szCs w:val="18"/>
          <w:color w:val="auto"/>
        </w:rPr>
        <w: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5"/>
              </w:rPr>
              <w:t>(3)</w:t>
            </w:r>
          </w:p>
        </w:tc>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BEIJING PARTICLE INFORMATION TECHNOLOGY CO., LTD. (</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company incorporated under the laws of the PRC</w:t>
            </w:r>
          </w:p>
        </w:tc>
      </w:tr>
      <w:tr>
        <w:trPr>
          <w:trHeight w:val="238"/>
        </w:trPr>
        <w:tc>
          <w:tcPr>
            <w:tcW w:w="440" w:type="dxa"/>
            <w:vAlign w:val="bottom"/>
          </w:tcPr>
          <w:p>
            <w:pPr>
              <w:spacing w:after="0"/>
              <w:rPr>
                <w:sz w:val="20"/>
                <w:szCs w:val="20"/>
                <w:color w:val="auto"/>
              </w:rPr>
            </w:pPr>
          </w:p>
        </w:tc>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a Subsidiary (as defined herein) of the Borrower (the “</w:t>
            </w:r>
            <w:r>
              <w:rPr>
                <w:rFonts w:ascii="Times New Roman" w:cs="Times New Roman" w:eastAsia="Times New Roman" w:hAnsi="Times New Roman"/>
                <w:sz w:val="18"/>
                <w:szCs w:val="18"/>
                <w:b w:val="1"/>
                <w:bCs w:val="1"/>
                <w:color w:val="auto"/>
              </w:rPr>
              <w:t>PRC Subsidiary</w:t>
            </w:r>
            <w:r>
              <w:rPr>
                <w:rFonts w:ascii="Times New Roman" w:cs="Times New Roman" w:eastAsia="Times New Roman" w:hAnsi="Times New Roman"/>
                <w:sz w:val="18"/>
                <w:szCs w:val="18"/>
                <w:color w:val="auto"/>
              </w:rPr>
              <w:t>”);</w:t>
            </w:r>
          </w:p>
        </w:tc>
        <w:tc>
          <w:tcPr>
            <w:tcW w:w="4960" w:type="dxa"/>
            <w:vAlign w:val="bottom"/>
          </w:tcPr>
          <w:p>
            <w:pPr>
              <w:spacing w:after="0"/>
              <w:rPr>
                <w:sz w:val="20"/>
                <w:szCs w:val="20"/>
                <w:color w:val="auto"/>
              </w:rPr>
            </w:pPr>
          </w:p>
        </w:tc>
      </w:tr>
      <w:tr>
        <w:trPr>
          <w:trHeight w:val="432"/>
        </w:trPr>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5"/>
              </w:rPr>
              <w:t>(4)</w:t>
            </w:r>
          </w:p>
        </w:tc>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BEIJING YIDIANWANGJU TECHNOLOGY CO., LTD. (</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company incorporated under the laws of the PRC and a variable</w:t>
            </w:r>
          </w:p>
        </w:tc>
      </w:tr>
    </w:tbl>
    <w:p>
      <w:pPr>
        <w:ind w:left="660"/>
        <w:spacing w:after="0"/>
        <w:rPr>
          <w:sz w:val="20"/>
          <w:szCs w:val="20"/>
          <w:color w:val="auto"/>
        </w:rPr>
      </w:pPr>
      <w:r>
        <w:rPr>
          <w:rFonts w:ascii="Times New Roman" w:cs="Times New Roman" w:eastAsia="Times New Roman" w:hAnsi="Times New Roman"/>
          <w:sz w:val="18"/>
          <w:szCs w:val="18"/>
          <w:color w:val="auto"/>
        </w:rPr>
        <w:t>interest entity and Subsidiary (as defined herein) of the Borrower (the “</w:t>
      </w:r>
      <w:r>
        <w:rPr>
          <w:rFonts w:ascii="Times New Roman" w:cs="Times New Roman" w:eastAsia="Times New Roman" w:hAnsi="Times New Roman"/>
          <w:sz w:val="18"/>
          <w:szCs w:val="18"/>
          <w:b w:val="1"/>
          <w:bCs w:val="1"/>
          <w:color w:val="auto"/>
        </w:rPr>
        <w:t>PRC VIE</w:t>
      </w:r>
      <w:r>
        <w:rPr>
          <w:rFonts w:ascii="Times New Roman" w:cs="Times New Roman" w:eastAsia="Times New Roman" w:hAnsi="Times New Roman"/>
          <w:sz w:val="18"/>
          <w:szCs w:val="18"/>
          <w:color w:val="auto"/>
        </w:rPr>
        <w:t>”); and</w:t>
      </w:r>
    </w:p>
    <w:p>
      <w:pPr>
        <w:spacing w:after="0" w:line="203" w:lineRule="exact"/>
        <w:rPr>
          <w:sz w:val="20"/>
          <w:szCs w:val="20"/>
          <w:color w:val="auto"/>
        </w:rPr>
      </w:pPr>
    </w:p>
    <w:p>
      <w:pPr>
        <w:ind w:left="660" w:right="440" w:hanging="652"/>
        <w:spacing w:after="0" w:line="286" w:lineRule="auto"/>
        <w:tabs>
          <w:tab w:leader="none" w:pos="667"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PHOENIX NEW MEDIA LIMITED</w:t>
      </w:r>
      <w:r>
        <w:rPr>
          <w:rFonts w:ascii="Times New Roman" w:cs="Times New Roman" w:eastAsia="Times New Roman" w:hAnsi="Times New Roman"/>
          <w:sz w:val="18"/>
          <w:szCs w:val="18"/>
          <w:color w:val="auto"/>
        </w:rPr>
        <w:t>, an exempted limited liability company organized under the laws of the Cayman Islands (the “</w:t>
      </w:r>
      <w:r>
        <w:rPr>
          <w:rFonts w:ascii="Times New Roman" w:cs="Times New Roman" w:eastAsia="Times New Roman" w:hAnsi="Times New Roman"/>
          <w:sz w:val="18"/>
          <w:szCs w:val="18"/>
          <w:b w:val="1"/>
          <w:bCs w:val="1"/>
          <w:color w:val="auto"/>
        </w:rPr>
        <w:t>Original Lender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 IS AGREED </w:t>
      </w:r>
      <w:r>
        <w:rPr>
          <w:rFonts w:ascii="Times New Roman" w:cs="Times New Roman" w:eastAsia="Times New Roman" w:hAnsi="Times New Roman"/>
          <w:sz w:val="18"/>
          <w:szCs w:val="18"/>
          <w:color w:val="auto"/>
        </w:rPr>
        <w:t>as follows:</w:t>
      </w:r>
    </w:p>
    <w:p>
      <w:pPr>
        <w:spacing w:after="0" w:line="225" w:lineRule="exact"/>
        <w:rPr>
          <w:sz w:val="20"/>
          <w:szCs w:val="20"/>
          <w:color w:val="auto"/>
        </w:rPr>
      </w:pPr>
    </w:p>
    <w:p>
      <w:pPr>
        <w:ind w:left="660" w:hanging="652"/>
        <w:spacing w:after="0"/>
        <w:tabs>
          <w:tab w:leader="none" w:pos="66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this Agreement:</w:t>
      </w:r>
    </w:p>
    <w:p>
      <w:pPr>
        <w:spacing w:after="0" w:line="221" w:lineRule="exact"/>
        <w:rPr>
          <w:sz w:val="20"/>
          <w:szCs w:val="20"/>
          <w:color w:val="auto"/>
        </w:rPr>
      </w:pPr>
    </w:p>
    <w:p>
      <w:pPr>
        <w:ind w:left="6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in relation to any person, a Subsidiary of that person or a Holding Company of that person or any other Subsidiary of that Holding Company.</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Authorisation</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1300" w:hanging="653"/>
        <w:spacing w:after="0"/>
        <w:tabs>
          <w:tab w:leader="none" w:pos="13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authorisation, consent, approval, resolution, licence, exemption, filing, notarisation, lodgement or registration; or</w:t>
      </w:r>
    </w:p>
    <w:p>
      <w:pPr>
        <w:spacing w:after="0" w:line="225" w:lineRule="exact"/>
        <w:rPr>
          <w:rFonts w:ascii="Times New Roman" w:cs="Times New Roman" w:eastAsia="Times New Roman" w:hAnsi="Times New Roman"/>
          <w:sz w:val="18"/>
          <w:szCs w:val="18"/>
          <w:color w:val="auto"/>
        </w:rPr>
      </w:pPr>
    </w:p>
    <w:p>
      <w:pPr>
        <w:ind w:left="1300" w:right="100" w:hanging="653"/>
        <w:spacing w:after="0" w:line="282" w:lineRule="auto"/>
        <w:tabs>
          <w:tab w:leader="none" w:pos="131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anything which will be fully or partly prohibited or restricted by law if a Governmental Agency intervenes or acts in any way within a specified period after lodgement, filing, registration or notification, the expiry of that period without intervention or action.</w:t>
      </w:r>
    </w:p>
    <w:p>
      <w:pPr>
        <w:spacing w:after="0" w:line="158" w:lineRule="exact"/>
        <w:rPr>
          <w:sz w:val="20"/>
          <w:szCs w:val="20"/>
          <w:color w:val="auto"/>
        </w:rPr>
      </w:pPr>
    </w:p>
    <w:p>
      <w:pPr>
        <w:ind w:left="640" w:right="5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Availability Period</w:t>
      </w:r>
      <w:r>
        <w:rPr>
          <w:rFonts w:ascii="Times New Roman" w:cs="Times New Roman" w:eastAsia="Times New Roman" w:hAnsi="Times New Roman"/>
          <w:sz w:val="18"/>
          <w:szCs w:val="18"/>
          <w:color w:val="auto"/>
        </w:rPr>
        <w:t>” means the period from and including the Execution Date to and including August 10, 2016 (or any other date as agreed between the Parties in writing).</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Facility</w:t>
      </w:r>
      <w:r>
        <w:rPr>
          <w:rFonts w:ascii="Times New Roman" w:cs="Times New Roman" w:eastAsia="Times New Roman" w:hAnsi="Times New Roman"/>
          <w:sz w:val="18"/>
          <w:szCs w:val="18"/>
          <w:color w:val="auto"/>
        </w:rPr>
        <w:t>” means the undrawn, uncancelled balance of the Facility.</w:t>
      </w:r>
    </w:p>
    <w:p>
      <w:pPr>
        <w:spacing w:after="0" w:line="225" w:lineRule="exact"/>
        <w:rPr>
          <w:sz w:val="20"/>
          <w:szCs w:val="20"/>
          <w:color w:val="auto"/>
        </w:rPr>
      </w:pPr>
    </w:p>
    <w:p>
      <w:pPr>
        <w:ind w:left="640" w:right="3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or Sunday) on which banks are open for general business in Hong Kong, New York and the PRC.</w:t>
      </w:r>
    </w:p>
    <w:p>
      <w:pPr>
        <w:spacing w:after="0" w:line="155" w:lineRule="exact"/>
        <w:rPr>
          <w:sz w:val="20"/>
          <w:szCs w:val="20"/>
          <w:color w:val="auto"/>
        </w:rPr>
      </w:pPr>
    </w:p>
    <w:p>
      <w:pPr>
        <w:ind w:left="640" w:right="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Coercive Practice</w:t>
      </w:r>
      <w:r>
        <w:rPr>
          <w:rFonts w:ascii="Times New Roman" w:cs="Times New Roman" w:eastAsia="Times New Roman" w:hAnsi="Times New Roman"/>
          <w:sz w:val="18"/>
          <w:szCs w:val="18"/>
          <w:color w:val="auto"/>
        </w:rPr>
        <w:t>” means impairing or harming or threatening to impair or harm, directly or indirectly, any party or its property or persons closely related to a party, to improperly influence the actions of that party.</w:t>
      </w:r>
    </w:p>
    <w:p>
      <w:pPr>
        <w:spacing w:after="0" w:line="155" w:lineRule="exact"/>
        <w:rPr>
          <w:sz w:val="20"/>
          <w:szCs w:val="20"/>
          <w:color w:val="auto"/>
        </w:rPr>
      </w:pPr>
    </w:p>
    <w:p>
      <w:pPr>
        <w:ind w:left="640" w:right="1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Collusive Practice</w:t>
      </w:r>
      <w:r>
        <w:rPr>
          <w:rFonts w:ascii="Times New Roman" w:cs="Times New Roman" w:eastAsia="Times New Roman" w:hAnsi="Times New Roman"/>
          <w:sz w:val="18"/>
          <w:szCs w:val="18"/>
          <w:color w:val="auto"/>
        </w:rPr>
        <w:t>” means an arrangement between two or more entities without the knowledge, but designed to improperly influence the actions, of another party.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40" w:right="5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Corrupt Practice</w:t>
      </w:r>
      <w:r>
        <w:rPr>
          <w:rFonts w:ascii="Times New Roman" w:cs="Times New Roman" w:eastAsia="Times New Roman" w:hAnsi="Times New Roman"/>
          <w:sz w:val="18"/>
          <w:szCs w:val="18"/>
          <w:color w:val="auto"/>
        </w:rPr>
        <w:t>” means the offering, giving, receiving, or soliciting, directly or indirectly, of anything of value to improperly influence the actions of another party and in violation of the applicable law.</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Covenantors</w:t>
      </w:r>
      <w:r>
        <w:rPr>
          <w:rFonts w:ascii="Times New Roman" w:cs="Times New Roman" w:eastAsia="Times New Roman" w:hAnsi="Times New Roman"/>
          <w:sz w:val="18"/>
          <w:szCs w:val="18"/>
          <w:color w:val="auto"/>
        </w:rPr>
        <w:t>” means the HK Subsidiary, the PRC Subsidiary and the PRC VIE.</w:t>
      </w:r>
    </w:p>
    <w:p>
      <w:pPr>
        <w:spacing w:after="0" w:line="225" w:lineRule="exact"/>
        <w:rPr>
          <w:sz w:val="20"/>
          <w:szCs w:val="20"/>
          <w:color w:val="auto"/>
        </w:rPr>
      </w:pPr>
    </w:p>
    <w:p>
      <w:pPr>
        <w:ind w:left="640" w:right="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 Event of Default or any event or circumstance specified in Clause 17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which would (with the expiry of a grace period, the giving of notice, the making of any determination under the Finance Documents or any combination of any of the foregoing) be an Event of Default.</w:t>
      </w:r>
    </w:p>
    <w:p>
      <w:pPr>
        <w:spacing w:after="0" w:line="171" w:lineRule="exact"/>
        <w:rPr>
          <w:sz w:val="20"/>
          <w:szCs w:val="20"/>
          <w:color w:val="auto"/>
        </w:rPr>
      </w:pPr>
    </w:p>
    <w:p>
      <w:pPr>
        <w:jc w:val="both"/>
        <w:ind w:left="640" w:right="2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dispose</w:t>
      </w:r>
      <w:r>
        <w:rPr>
          <w:rFonts w:ascii="Times New Roman" w:cs="Times New Roman" w:eastAsia="Times New Roman" w:hAnsi="Times New Roman"/>
          <w:sz w:val="18"/>
          <w:szCs w:val="18"/>
          <w:color w:val="auto"/>
        </w:rPr>
        <w:t>” means to make or to agree to make, and “</w:t>
      </w:r>
      <w:r>
        <w:rPr>
          <w:rFonts w:ascii="Times New Roman" w:cs="Times New Roman" w:eastAsia="Times New Roman" w:hAnsi="Times New Roman"/>
          <w:sz w:val="18"/>
          <w:szCs w:val="18"/>
          <w:b w:val="1"/>
          <w:bCs w:val="1"/>
          <w:color w:val="auto"/>
        </w:rPr>
        <w:t>disposal</w:t>
      </w:r>
      <w:r>
        <w:rPr>
          <w:rFonts w:ascii="Times New Roman" w:cs="Times New Roman" w:eastAsia="Times New Roman" w:hAnsi="Times New Roman"/>
          <w:sz w:val="18"/>
          <w:szCs w:val="18"/>
          <w:color w:val="auto"/>
        </w:rPr>
        <w:t>” means, any sale, assignment, exchange, transfer, concession, loan, lease, surrender, licence, direct or indirect reservation, waiver, compromise, release, dealing with or in or granting of any option, right of first refusal or any other right or interest whatsoever, or any agreement for any of the same.</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means the lawful currency for the time being of the United States of America.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means any event or circumstance specified as such in Clause 17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Execution Date</w:t>
      </w:r>
      <w:r>
        <w:rPr>
          <w:rFonts w:ascii="Times New Roman" w:cs="Times New Roman" w:eastAsia="Times New Roman" w:hAnsi="Times New Roman"/>
          <w:sz w:val="18"/>
          <w:szCs w:val="18"/>
          <w:color w:val="auto"/>
        </w:rPr>
        <w:t>” means the date of this Agreement.</w:t>
      </w:r>
    </w:p>
    <w:p>
      <w:pPr>
        <w:spacing w:after="0" w:line="225" w:lineRule="exact"/>
        <w:rPr>
          <w:sz w:val="20"/>
          <w:szCs w:val="20"/>
          <w:color w:val="auto"/>
        </w:rPr>
      </w:pPr>
    </w:p>
    <w:p>
      <w:pPr>
        <w:ind w:left="640"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Shareholders’ Agreement</w:t>
      </w:r>
      <w:r>
        <w:rPr>
          <w:rFonts w:ascii="Times New Roman" w:cs="Times New Roman" w:eastAsia="Times New Roman" w:hAnsi="Times New Roman"/>
          <w:sz w:val="18"/>
          <w:szCs w:val="18"/>
          <w:color w:val="auto"/>
        </w:rPr>
        <w:t>” means any agreement between the Borrower and/or the Covenantors and the shareholders of the Borrower in relation to the Borrower in effect immediately prior to the Execution Date.</w:t>
      </w:r>
    </w:p>
    <w:p>
      <w:pPr>
        <w:sectPr>
          <w:pgSz w:w="11900" w:h="16838" w:orient="portrait"/>
          <w:cols w:equalWidth="0" w:num="1">
            <w:col w:w="11400"/>
          </w:cols>
          <w:pgMar w:left="240" w:top="725" w:right="259" w:bottom="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means the term loan facility made available under this Agreement as described in Clause 2 (</w:t>
      </w:r>
      <w:r>
        <w:rPr>
          <w:rFonts w:ascii="Times New Roman" w:cs="Times New Roman" w:eastAsia="Times New Roman" w:hAnsi="Times New Roman"/>
          <w:sz w:val="18"/>
          <w:szCs w:val="18"/>
          <w:i w:val="1"/>
          <w:iCs w:val="1"/>
          <w:color w:val="auto"/>
        </w:rPr>
        <w:t>The Facility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Office</w:t>
      </w:r>
      <w:r>
        <w:rPr>
          <w:rFonts w:ascii="Times New Roman" w:cs="Times New Roman" w:eastAsia="Times New Roman" w:hAnsi="Times New Roman"/>
          <w:sz w:val="18"/>
          <w:szCs w:val="18"/>
          <w:color w:val="auto"/>
        </w:rPr>
        <w:t>” means the office or offices notified by the Lender to the Borrower in writing on or before the Execution Date (or, following that date, by not less than five (5) Business Days’ written notice) as the office or offices through which it will perform its obligations under this Agreement.</w:t>
      </w:r>
    </w:p>
    <w:p>
      <w:pPr>
        <w:spacing w:after="0" w:line="17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Maturity Date</w:t>
      </w:r>
      <w:r>
        <w:rPr>
          <w:rFonts w:ascii="Times New Roman" w:cs="Times New Roman" w:eastAsia="Times New Roman" w:hAnsi="Times New Roman"/>
          <w:sz w:val="18"/>
          <w:szCs w:val="18"/>
          <w:color w:val="auto"/>
        </w:rPr>
        <w:t>” means the earlier of (i) the date which falls six (6) Months from the relevant Utilisation Date or (ii) closing of another round of financing by the Borrower or any of its Subsidiaries after the Execution Date through the issuance and sale of any equity securities or securities convertible or exchangeable into equity securities of the Borrower or any of its Subsidiaries, provided that if such day is not a Business Day, the Final Maturity Date shall be the next Business Day in that calendar month (if there is one) or the preceding Business Day (if there is not).</w:t>
      </w:r>
    </w:p>
    <w:p>
      <w:pPr>
        <w:spacing w:after="0" w:line="17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Finance Documents</w:t>
      </w:r>
      <w:r>
        <w:rPr>
          <w:rFonts w:ascii="Times New Roman" w:cs="Times New Roman" w:eastAsia="Times New Roman" w:hAnsi="Times New Roman"/>
          <w:sz w:val="18"/>
          <w:szCs w:val="18"/>
          <w:color w:val="auto"/>
        </w:rPr>
        <w:t>” means collectively this Agreement, any Utilisation Request, any Transfer Certificate and any other document designated as such by the Lender and the Borrower, and “</w:t>
      </w:r>
      <w:r>
        <w:rPr>
          <w:rFonts w:ascii="Times New Roman" w:cs="Times New Roman" w:eastAsia="Times New Roman" w:hAnsi="Times New Roman"/>
          <w:sz w:val="18"/>
          <w:szCs w:val="18"/>
          <w:b w:val="1"/>
          <w:bCs w:val="1"/>
          <w:color w:val="auto"/>
        </w:rPr>
        <w:t>Finance Document</w:t>
      </w:r>
      <w:r>
        <w:rPr>
          <w:rFonts w:ascii="Times New Roman" w:cs="Times New Roman" w:eastAsia="Times New Roman" w:hAnsi="Times New Roman"/>
          <w:sz w:val="18"/>
          <w:szCs w:val="18"/>
          <w:color w:val="auto"/>
        </w:rPr>
        <w:t>” means any one of them.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Indebtedness</w:t>
      </w:r>
      <w:r>
        <w:rPr>
          <w:rFonts w:ascii="Times New Roman" w:cs="Times New Roman" w:eastAsia="Times New Roman" w:hAnsi="Times New Roman"/>
          <w:sz w:val="18"/>
          <w:szCs w:val="18"/>
          <w:color w:val="auto"/>
        </w:rPr>
        <w:t>” means any indebtedness for or in respect of:</w:t>
      </w:r>
    </w:p>
    <w:p>
      <w:pPr>
        <w:spacing w:after="0" w:line="229" w:lineRule="exact"/>
        <w:rPr>
          <w:sz w:val="20"/>
          <w:szCs w:val="20"/>
          <w:color w:val="auto"/>
        </w:rPr>
      </w:pPr>
    </w:p>
    <w:p>
      <w:pPr>
        <w:ind w:left="660" w:hanging="644"/>
        <w:spacing w:after="0"/>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moneys borrowed;</w:t>
      </w:r>
    </w:p>
    <w:p>
      <w:pPr>
        <w:spacing w:after="0" w:line="225" w:lineRule="exact"/>
        <w:rPr>
          <w:rFonts w:ascii="Times New Roman" w:cs="Times New Roman" w:eastAsia="Times New Roman" w:hAnsi="Times New Roman"/>
          <w:sz w:val="18"/>
          <w:szCs w:val="18"/>
          <w:color w:val="auto"/>
        </w:rPr>
      </w:pPr>
    </w:p>
    <w:p>
      <w:pPr>
        <w:ind w:left="680" w:hanging="664"/>
        <w:spacing w:after="0"/>
        <w:tabs>
          <w:tab w:leader="none" w:pos="6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raised by acceptance under any acceptance credit facility or dematerialised equivalent;</w:t>
      </w:r>
    </w:p>
    <w:p>
      <w:pPr>
        <w:spacing w:after="0" w:line="225" w:lineRule="exact"/>
        <w:rPr>
          <w:rFonts w:ascii="Times New Roman" w:cs="Times New Roman" w:eastAsia="Times New Roman" w:hAnsi="Times New Roman"/>
          <w:sz w:val="18"/>
          <w:szCs w:val="18"/>
          <w:color w:val="auto"/>
        </w:rPr>
      </w:pPr>
    </w:p>
    <w:p>
      <w:pPr>
        <w:ind w:left="5020" w:right="400" w:hanging="5004"/>
        <w:spacing w:after="0" w:line="532" w:lineRule="auto"/>
        <w:tabs>
          <w:tab w:leader="none" w:pos="66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raised pursuant to any note purchase facility or the issue of bonds, notes, debentures, loan stock or any similar instrument; 2</w:t>
      </w: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660" w:right="80" w:hanging="644"/>
        <w:spacing w:after="0" w:line="282" w:lineRule="auto"/>
        <w:tabs>
          <w:tab w:leader="none" w:pos="667"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liability in respect of any lease or hire purchase contract which would, in accordance with GAAP, be treated as a finance or capital lease;</w:t>
      </w:r>
    </w:p>
    <w:p>
      <w:pPr>
        <w:spacing w:after="0" w:line="161" w:lineRule="exact"/>
        <w:rPr>
          <w:rFonts w:ascii="Times New Roman" w:cs="Times New Roman" w:eastAsia="Times New Roman" w:hAnsi="Times New Roman"/>
          <w:sz w:val="18"/>
          <w:szCs w:val="18"/>
          <w:color w:val="auto"/>
        </w:rPr>
      </w:pPr>
    </w:p>
    <w:p>
      <w:pPr>
        <w:ind w:left="680" w:hanging="664"/>
        <w:spacing w:after="0"/>
        <w:tabs>
          <w:tab w:leader="none" w:pos="6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sold or discounted (other than any receivables to the extent they are sold on a non-recourse basis);</w:t>
      </w:r>
    </w:p>
    <w:p>
      <w:pPr>
        <w:spacing w:after="0" w:line="225" w:lineRule="exact"/>
        <w:rPr>
          <w:rFonts w:ascii="Times New Roman" w:cs="Times New Roman" w:eastAsia="Times New Roman" w:hAnsi="Times New Roman"/>
          <w:sz w:val="18"/>
          <w:szCs w:val="18"/>
          <w:color w:val="auto"/>
        </w:rPr>
      </w:pPr>
    </w:p>
    <w:p>
      <w:pPr>
        <w:ind w:left="660" w:right="540" w:hanging="644"/>
        <w:spacing w:after="0" w:line="282" w:lineRule="auto"/>
        <w:tabs>
          <w:tab w:leader="none" w:pos="66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raised under any other transaction (including any forward sale or purchase agreement) having the commercial effect of a borrowing;</w:t>
      </w:r>
    </w:p>
    <w:p>
      <w:pPr>
        <w:spacing w:after="0" w:line="161" w:lineRule="exact"/>
        <w:rPr>
          <w:rFonts w:ascii="Times New Roman" w:cs="Times New Roman" w:eastAsia="Times New Roman" w:hAnsi="Times New Roman"/>
          <w:sz w:val="18"/>
          <w:szCs w:val="18"/>
          <w:color w:val="auto"/>
        </w:rPr>
      </w:pPr>
    </w:p>
    <w:p>
      <w:pPr>
        <w:ind w:left="660" w:right="400" w:hanging="644"/>
        <w:spacing w:after="0" w:line="282" w:lineRule="auto"/>
        <w:tabs>
          <w:tab w:leader="none" w:pos="681"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transaction entered into in connection with protection against or benefit from fluctuation in any rate or price (and, when calculating the value of any derivative transaction, only the marked to market value shall be taken into account);</w:t>
      </w:r>
    </w:p>
    <w:p>
      <w:pPr>
        <w:spacing w:after="0" w:line="161" w:lineRule="exact"/>
        <w:rPr>
          <w:rFonts w:ascii="Times New Roman" w:cs="Times New Roman" w:eastAsia="Times New Roman" w:hAnsi="Times New Roman"/>
          <w:sz w:val="18"/>
          <w:szCs w:val="18"/>
          <w:color w:val="auto"/>
        </w:rPr>
      </w:pPr>
    </w:p>
    <w:p>
      <w:pPr>
        <w:ind w:left="660" w:hanging="644"/>
        <w:spacing w:after="0" w:line="282" w:lineRule="auto"/>
        <w:tabs>
          <w:tab w:leader="none" w:pos="667"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counter-indemnity obligation in respect of a guarantee, indemnity, bond, standby or documentary letter of credit or any other instrument issued by a bank or financial institution; and</w:t>
      </w:r>
    </w:p>
    <w:p>
      <w:pPr>
        <w:spacing w:after="0" w:line="161" w:lineRule="exact"/>
        <w:rPr>
          <w:rFonts w:ascii="Times New Roman" w:cs="Times New Roman" w:eastAsia="Times New Roman" w:hAnsi="Times New Roman"/>
          <w:sz w:val="18"/>
          <w:szCs w:val="18"/>
          <w:color w:val="auto"/>
        </w:rPr>
      </w:pPr>
    </w:p>
    <w:p>
      <w:pPr>
        <w:ind w:left="680" w:hanging="664"/>
        <w:spacing w:after="0"/>
        <w:tabs>
          <w:tab w:leader="none" w:pos="6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double counting) the amount of any liability in respect of any guarantee or indemnity for any of the items referred to in paragraphs</w:t>
      </w:r>
    </w:p>
    <w:p>
      <w:pPr>
        <w:spacing w:after="0" w:line="27" w:lineRule="exact"/>
        <w:rPr>
          <w:rFonts w:ascii="Times New Roman" w:cs="Times New Roman" w:eastAsia="Times New Roman" w:hAnsi="Times New Roman"/>
          <w:sz w:val="18"/>
          <w:szCs w:val="18"/>
          <w:color w:val="auto"/>
        </w:rPr>
      </w:pPr>
    </w:p>
    <w:p>
      <w:pPr>
        <w:ind w:left="900" w:hanging="235"/>
        <w:spacing w:after="0"/>
        <w:tabs>
          <w:tab w:leader="none" w:pos="90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-2576830</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8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Financing of Terrorism</w:t>
      </w:r>
      <w:r>
        <w:rPr>
          <w:rFonts w:ascii="Times New Roman" w:cs="Times New Roman" w:eastAsia="Times New Roman" w:hAnsi="Times New Roman"/>
          <w:sz w:val="18"/>
          <w:szCs w:val="18"/>
          <w:color w:val="auto"/>
        </w:rPr>
        <w:t>” means the act of providing or collecting funds with the intention that they be used, or in the knowledge that they are to be used, in order to carry out terrorist acts.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Fraudulent Practice”</w:t>
      </w:r>
      <w:r>
        <w:rPr>
          <w:rFonts w:ascii="Times New Roman" w:cs="Times New Roman" w:eastAsia="Times New Roman" w:hAnsi="Times New Roman"/>
          <w:sz w:val="18"/>
          <w:szCs w:val="18"/>
          <w:color w:val="auto"/>
        </w:rPr>
        <w:t xml:space="preserve"> means any action, including misrepresentation, to obtain a financial or other benefit or avoid an obligation, by deception.</w:t>
      </w:r>
    </w:p>
    <w:p>
      <w:pPr>
        <w:spacing w:after="0" w:line="2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 Raising</w:t>
      </w:r>
      <w:r>
        <w:rPr>
          <w:rFonts w:ascii="Times New Roman" w:cs="Times New Roman" w:eastAsia="Times New Roman" w:hAnsi="Times New Roman"/>
          <w:sz w:val="18"/>
          <w:szCs w:val="18"/>
          <w:color w:val="auto"/>
        </w:rPr>
        <w:t>” means the fund raising works that the Lender or its associated companies carried out for the purposes of advancing the Facility to the Borrower under this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USA or PRC.</w:t>
      </w:r>
    </w:p>
    <w:p>
      <w:pPr>
        <w:spacing w:after="0" w:line="2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Agency</w:t>
      </w:r>
      <w:r>
        <w:rPr>
          <w:rFonts w:ascii="Times New Roman" w:cs="Times New Roman" w:eastAsia="Times New Roman" w:hAnsi="Times New Roman"/>
          <w:sz w:val="18"/>
          <w:szCs w:val="18"/>
          <w:color w:val="auto"/>
        </w:rPr>
        <w:t>” means any government or any governmental agency, semi-governmental or judicial entity or authority (including any stock exchange or any self-regulatory organisation established under statute).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the Borrower and its Subsidiaries for the time being.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Holding Company</w:t>
      </w:r>
      <w:r>
        <w:rPr>
          <w:rFonts w:ascii="Times New Roman" w:cs="Times New Roman" w:eastAsia="Times New Roman" w:hAnsi="Times New Roman"/>
          <w:sz w:val="18"/>
          <w:szCs w:val="18"/>
          <w:color w:val="auto"/>
        </w:rPr>
        <w:t>” means, in relation to a company or corporation, any other company or corporation in respect of which it is a Subsidiary.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Hong Kong</w:t>
      </w:r>
      <w:r>
        <w:rPr>
          <w:rFonts w:ascii="Times New Roman" w:cs="Times New Roman" w:eastAsia="Times New Roman" w:hAnsi="Times New Roman"/>
          <w:sz w:val="18"/>
          <w:szCs w:val="18"/>
          <w:color w:val="auto"/>
        </w:rPr>
        <w:t>” means the Hong Kong Special Administrative Region of the People’s Republic of China.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Indirect Tax</w:t>
      </w:r>
      <w:r>
        <w:rPr>
          <w:rFonts w:ascii="Times New Roman" w:cs="Times New Roman" w:eastAsia="Times New Roman" w:hAnsi="Times New Roman"/>
          <w:sz w:val="18"/>
          <w:szCs w:val="18"/>
          <w:color w:val="auto"/>
        </w:rPr>
        <w:t>” means any goods and services tax, consumption tax, value added tax or any tax of a similar 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Reservations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60" w:right="240" w:hanging="644"/>
        <w:spacing w:after="0" w:line="261" w:lineRule="auto"/>
        <w:tabs>
          <w:tab w:leader="none" w:pos="657"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principle that equitable remedies (or remedies that are similar to equitable remedies in any Relevant Jurisdiction) may be granted or refused at the discretion of a court, the limitation of enforcement by laws relating to insolvency, reorganisation, liquidation, bankruptcy, moratoria, administration, court schemes and other laws generally affecting the rights of creditors and similar principles, rights, defences and limitations under the laws of any applicable jurisdiction;</w:t>
      </w:r>
    </w:p>
    <w:p>
      <w:pPr>
        <w:spacing w:after="0" w:line="180" w:lineRule="exact"/>
        <w:rPr>
          <w:rFonts w:ascii="Times New Roman" w:cs="Times New Roman" w:eastAsia="Times New Roman" w:hAnsi="Times New Roman"/>
          <w:sz w:val="18"/>
          <w:szCs w:val="18"/>
          <w:color w:val="auto"/>
        </w:rPr>
      </w:pPr>
    </w:p>
    <w:p>
      <w:pPr>
        <w:ind w:left="660" w:right="160" w:hanging="644"/>
        <w:spacing w:after="0" w:line="282" w:lineRule="auto"/>
        <w:tabs>
          <w:tab w:leader="none" w:pos="667"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barring of claims under any applicable limitation laws, the possibility that a court may strike out provisions of a contract as being invalid for reasons of</w:t>
      </w:r>
    </w:p>
    <w:p>
      <w:pPr>
        <w:spacing w:after="0" w:line="16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60"/>
          </w:cols>
          <w:pgMar w:left="880" w:top="333" w:right="259" w:bottom="0" w:gutter="0" w:footer="0" w:header="0"/>
        </w:sectPr>
      </w:pPr>
    </w:p>
    <w:bookmarkStart w:id="141" w:name="page142"/>
    <w:bookmarkEnd w:id="141"/>
    <w:p>
      <w:pPr>
        <w:ind w:left="6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oppression, undue influence or similar reasons, the possibility that an undertaking to assume liability for or indemnify a person against non-payment of stamp duty may be void, defences of set off or counterclaim and similar principles, rights, defences and limitations under the laws of any applicable jurisdiction; and</w:t>
      </w:r>
    </w:p>
    <w:p>
      <w:pPr>
        <w:spacing w:after="0" w:line="176" w:lineRule="exact"/>
        <w:rPr>
          <w:sz w:val="20"/>
          <w:szCs w:val="20"/>
          <w:color w:val="auto"/>
        </w:rPr>
      </w:pPr>
    </w:p>
    <w:p>
      <w:pPr>
        <w:ind w:left="660" w:right="400" w:hanging="644"/>
        <w:spacing w:after="0" w:line="282" w:lineRule="auto"/>
        <w:tabs>
          <w:tab w:leader="none" w:pos="67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general principles, reservations or qualifications, in each case, as to matters of law in any legal opinion delivered under or in connection with the Finance Documents.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60" w:hanging="644"/>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Lender; and</w:t>
      </w:r>
    </w:p>
    <w:p>
      <w:pPr>
        <w:spacing w:after="0" w:line="223" w:lineRule="exact"/>
        <w:rPr>
          <w:rFonts w:ascii="Times New Roman" w:cs="Times New Roman" w:eastAsia="Times New Roman" w:hAnsi="Times New Roman"/>
          <w:sz w:val="18"/>
          <w:szCs w:val="18"/>
          <w:color w:val="auto"/>
        </w:rPr>
      </w:pPr>
    </w:p>
    <w:p>
      <w:pPr>
        <w:ind w:right="2840" w:firstLine="16"/>
        <w:spacing w:after="0" w:line="499" w:lineRule="auto"/>
        <w:tabs>
          <w:tab w:leader="none" w:pos="66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which has become a New Lender in accordance with Clause 18 (</w:t>
      </w:r>
      <w:r>
        <w:rPr>
          <w:rFonts w:ascii="Times New Roman" w:cs="Times New Roman" w:eastAsia="Times New Roman" w:hAnsi="Times New Roman"/>
          <w:sz w:val="18"/>
          <w:szCs w:val="18"/>
          <w:i w:val="1"/>
          <w:iCs w:val="1"/>
          <w:color w:val="auto"/>
        </w:rPr>
        <w:t>Changes to the Lender</w:t>
      </w:r>
      <w:r>
        <w:rPr>
          <w:rFonts w:ascii="Times New Roman" w:cs="Times New Roman" w:eastAsia="Times New Roman" w:hAnsi="Times New Roman"/>
          <w:sz w:val="18"/>
          <w:szCs w:val="18"/>
          <w:color w:val="auto"/>
        </w:rPr>
        <w:t>), which in each case has not ceased to be a Party in accordance with the terms of this Agreement.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means the loan(s) made or to be made under the Facility or the aggregate principal amount outstanding for the time being of that loan.</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Period</w:t>
      </w:r>
      <w:r>
        <w:rPr>
          <w:rFonts w:ascii="Times New Roman" w:cs="Times New Roman" w:eastAsia="Times New Roman" w:hAnsi="Times New Roman"/>
          <w:sz w:val="18"/>
          <w:szCs w:val="18"/>
          <w:color w:val="auto"/>
        </w:rPr>
        <w:t>” means the period from the Execution Date to the date upon which all monies owing and/or payable by the Borrower to the Lender under the Finance Documents are fully, unconditionally and irrevocably paid and the Available Facility has been reduced to zero.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 material adverse effect on:</w:t>
      </w:r>
    </w:p>
    <w:p>
      <w:pPr>
        <w:spacing w:after="0" w:line="229" w:lineRule="exact"/>
        <w:rPr>
          <w:sz w:val="20"/>
          <w:szCs w:val="20"/>
          <w:color w:val="auto"/>
        </w:rPr>
      </w:pPr>
    </w:p>
    <w:p>
      <w:pPr>
        <w:ind w:left="660" w:hanging="644"/>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operations, property,or condition (financial or otherwise) of the Group taken as a whole;</w:t>
      </w:r>
    </w:p>
    <w:p>
      <w:pPr>
        <w:spacing w:after="0" w:line="225" w:lineRule="exact"/>
        <w:rPr>
          <w:rFonts w:ascii="Times New Roman" w:cs="Times New Roman" w:eastAsia="Times New Roman" w:hAnsi="Times New Roman"/>
          <w:sz w:val="18"/>
          <w:szCs w:val="18"/>
          <w:color w:val="auto"/>
        </w:rPr>
      </w:pPr>
    </w:p>
    <w:p>
      <w:pPr>
        <w:ind w:left="680" w:hanging="664"/>
        <w:spacing w:after="0"/>
        <w:tabs>
          <w:tab w:leader="none" w:pos="6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Borrower to perform its payment obligations under the Finance Documents; or</w:t>
      </w:r>
    </w:p>
    <w:p>
      <w:pPr>
        <w:spacing w:after="0" w:line="225" w:lineRule="exact"/>
        <w:rPr>
          <w:rFonts w:ascii="Times New Roman" w:cs="Times New Roman" w:eastAsia="Times New Roman" w:hAnsi="Times New Roman"/>
          <w:sz w:val="18"/>
          <w:szCs w:val="18"/>
          <w:color w:val="auto"/>
        </w:rPr>
      </w:pPr>
    </w:p>
    <w:p>
      <w:pPr>
        <w:ind w:left="660" w:right="280" w:hanging="644"/>
        <w:spacing w:after="0" w:line="282" w:lineRule="auto"/>
        <w:tabs>
          <w:tab w:leader="none" w:pos="67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Legal Reservations, the validity or enforceability of any of the Finance Documents or the rights or remedies of the Lender under any of the Finance Documents.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Money Laundering</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60" w:right="140" w:hanging="644"/>
        <w:spacing w:after="0" w:line="282" w:lineRule="auto"/>
        <w:tabs>
          <w:tab w:leader="none" w:pos="657"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or transfer of property, knowing it is derived from a criminal offence, for the purpose of concealing or disguising its illegal origin or of assisting any person who is involved in the commission of the crime to evade the legal consequences of its actions;</w:t>
      </w:r>
    </w:p>
    <w:p>
      <w:pPr>
        <w:spacing w:after="0" w:line="161" w:lineRule="exact"/>
        <w:rPr>
          <w:rFonts w:ascii="Times New Roman" w:cs="Times New Roman" w:eastAsia="Times New Roman" w:hAnsi="Times New Roman"/>
          <w:sz w:val="18"/>
          <w:szCs w:val="18"/>
          <w:color w:val="auto"/>
        </w:rPr>
      </w:pPr>
    </w:p>
    <w:p>
      <w:pPr>
        <w:ind w:left="660" w:right="300" w:hanging="644"/>
        <w:spacing w:after="0" w:line="282" w:lineRule="auto"/>
        <w:tabs>
          <w:tab w:leader="none" w:pos="667"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concealment or disguise of the true nature, source, location, disposition, movement, rights with respect to, or ownership of, property knowing that it is derived from a criminal offence; or</w:t>
      </w:r>
    </w:p>
    <w:p>
      <w:pPr>
        <w:spacing w:after="0" w:line="161" w:lineRule="exact"/>
        <w:rPr>
          <w:rFonts w:ascii="Times New Roman" w:cs="Times New Roman" w:eastAsia="Times New Roman" w:hAnsi="Times New Roman"/>
          <w:sz w:val="18"/>
          <w:szCs w:val="18"/>
          <w:color w:val="auto"/>
        </w:rPr>
      </w:pPr>
    </w:p>
    <w:p>
      <w:pPr>
        <w:ind w:left="680" w:hanging="664"/>
        <w:spacing w:after="0"/>
        <w:tabs>
          <w:tab w:leader="none" w:pos="6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possession or use of property knowing at the time of its receipt that it is derived from a criminal offence.</w:t>
      </w:r>
    </w:p>
    <w:p>
      <w:pPr>
        <w:spacing w:after="0" w:line="22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Month</w:t>
      </w:r>
      <w:r>
        <w:rPr>
          <w:rFonts w:ascii="Times New Roman" w:cs="Times New Roman" w:eastAsia="Times New Roman" w:hAnsi="Times New Roman"/>
          <w:sz w:val="18"/>
          <w:szCs w:val="18"/>
          <w:color w:val="auto"/>
        </w:rPr>
        <w:t>” means a period starting on one day in a calendar month and ending on the numerically corresponding day in the next calendar month, except that:</w:t>
      </w:r>
    </w:p>
    <w:p>
      <w:pPr>
        <w:spacing w:after="0" w:line="159" w:lineRule="exact"/>
        <w:rPr>
          <w:sz w:val="20"/>
          <w:szCs w:val="20"/>
          <w:color w:val="auto"/>
        </w:rPr>
      </w:pPr>
    </w:p>
    <w:p>
      <w:pPr>
        <w:ind w:left="660" w:right="80" w:hanging="644"/>
        <w:spacing w:after="0" w:line="282" w:lineRule="auto"/>
        <w:tabs>
          <w:tab w:leader="none" w:pos="65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numerically corresponding day is not a Business Day, that period shall end on the next Business Day in that calendar month in which that period is to end if there is one, or if there is not, on the immediately preceding Business Day; and</w:t>
      </w:r>
    </w:p>
    <w:p>
      <w:pPr>
        <w:spacing w:after="0" w:line="16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83820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00" w:hanging="644"/>
        <w:spacing w:after="0" w:line="282" w:lineRule="auto"/>
        <w:tabs>
          <w:tab w:leader="none" w:pos="667"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numerically corresponding day in the calendar month in which that period is to end, that period shall end on the last Business Day in that calendar month.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rules will apply only to the last Month of any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Obligors</w:t>
      </w:r>
      <w:r>
        <w:rPr>
          <w:rFonts w:ascii="Times New Roman" w:cs="Times New Roman" w:eastAsia="Times New Roman" w:hAnsi="Times New Roman"/>
          <w:sz w:val="18"/>
          <w:szCs w:val="18"/>
          <w:color w:val="auto"/>
        </w:rPr>
        <w:t>” mean the Borrower and the Covenantors and “</w:t>
      </w:r>
      <w:r>
        <w:rPr>
          <w:rFonts w:ascii="Times New Roman" w:cs="Times New Roman" w:eastAsia="Times New Roman" w:hAnsi="Times New Roman"/>
          <w:sz w:val="18"/>
          <w:szCs w:val="18"/>
          <w:b w:val="1"/>
          <w:bCs w:val="1"/>
          <w:color w:val="auto"/>
        </w:rPr>
        <w:t>Obligor</w:t>
      </w:r>
      <w:r>
        <w:rPr>
          <w:rFonts w:ascii="Times New Roman" w:cs="Times New Roman" w:eastAsia="Times New Roman" w:hAnsi="Times New Roman"/>
          <w:sz w:val="18"/>
          <w:szCs w:val="18"/>
          <w:color w:val="auto"/>
        </w:rPr>
        <w:t>” means each one of them.</w:t>
      </w:r>
    </w:p>
    <w:p>
      <w:pPr>
        <w:spacing w:after="0" w:line="2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Financial Statements</w:t>
      </w:r>
      <w:r>
        <w:rPr>
          <w:rFonts w:ascii="Times New Roman" w:cs="Times New Roman" w:eastAsia="Times New Roman" w:hAnsi="Times New Roman"/>
          <w:sz w:val="18"/>
          <w:szCs w:val="18"/>
          <w:color w:val="auto"/>
        </w:rPr>
        <w:t>” means, in relation to the Borrower, financial statements for its financial year ended December 31, 2015 and its financial quarter ended March 31, 2016.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means a party to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means the People’s Republic of China.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Renminbi</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RMB</w:t>
      </w:r>
      <w:r>
        <w:rPr>
          <w:rFonts w:ascii="Times New Roman" w:cs="Times New Roman" w:eastAsia="Times New Roman" w:hAnsi="Times New Roman"/>
          <w:sz w:val="18"/>
          <w:szCs w:val="18"/>
          <w:color w:val="auto"/>
        </w:rPr>
        <w:t>” means the lawful currency for the time being of the PRC.</w:t>
      </w:r>
    </w:p>
    <w:p>
      <w:pPr>
        <w:spacing w:after="0" w:line="225"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means a mortgage, charge, pledge, lien or other security interest securing any obligation of any person or any other agreement or arrangement having a similar effect.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in relation to any company or corporation, a company or corporation:</w:t>
      </w:r>
    </w:p>
    <w:p>
      <w:pPr>
        <w:spacing w:after="0" w:line="229" w:lineRule="exact"/>
        <w:rPr>
          <w:sz w:val="20"/>
          <w:szCs w:val="20"/>
          <w:color w:val="auto"/>
        </w:rPr>
      </w:pPr>
    </w:p>
    <w:p>
      <w:pPr>
        <w:ind w:left="660" w:right="40" w:hanging="644"/>
        <w:spacing w:after="0" w:line="282" w:lineRule="auto"/>
        <w:tabs>
          <w:tab w:leader="none" w:pos="657"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controlled, directly or indirectly, though equity ownership, contractual arrangements or otherwise, by the first mentioned company or corporation;</w:t>
      </w:r>
    </w:p>
    <w:p>
      <w:pPr>
        <w:sectPr>
          <w:pgSz w:w="11900" w:h="16838" w:orient="portrait"/>
          <w:cols w:equalWidth="0" w:num="1">
            <w:col w:w="10740"/>
          </w:cols>
          <w:pgMar w:left="880" w:top="729" w:right="279" w:bottom="0" w:gutter="0" w:footer="0" w:header="0"/>
        </w:sectPr>
      </w:pPr>
    </w:p>
    <w:bookmarkStart w:id="142" w:name="page143"/>
    <w:bookmarkEnd w:id="142"/>
    <w:p>
      <w:pPr>
        <w:ind w:left="1300" w:right="460" w:hanging="644"/>
        <w:spacing w:after="0" w:line="282" w:lineRule="auto"/>
        <w:tabs>
          <w:tab w:leader="none" w:pos="1307"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half the issued equity share capital of which is beneficially owned, directly or indirectly, by the first mentioned company or corporation; or</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 Subsidiary of another Subsidiary of the first mentioned company or corporation,</w:t>
      </w:r>
    </w:p>
    <w:p>
      <w:pPr>
        <w:spacing w:after="0" w:line="225" w:lineRule="exact"/>
        <w:rPr>
          <w:sz w:val="20"/>
          <w:szCs w:val="20"/>
          <w:color w:val="auto"/>
        </w:rPr>
      </w:pPr>
    </w:p>
    <w:p>
      <w:pPr>
        <w:ind w:left="640" w:right="20"/>
        <w:spacing w:after="0" w:line="282" w:lineRule="auto"/>
        <w:rPr>
          <w:sz w:val="20"/>
          <w:szCs w:val="20"/>
          <w:color w:val="auto"/>
        </w:rPr>
      </w:pPr>
      <w:r>
        <w:rPr>
          <w:rFonts w:ascii="Times New Roman" w:cs="Times New Roman" w:eastAsia="Times New Roman" w:hAnsi="Times New Roman"/>
          <w:sz w:val="18"/>
          <w:szCs w:val="18"/>
          <w:color w:val="auto"/>
        </w:rPr>
        <w:t>and for this purpose, a company or corporation shall be treated as being controlled by another if that other company or corporation is able to direct its affairs and/or to control the composition of its board of directors or equivalent body.</w:t>
      </w:r>
    </w:p>
    <w:p>
      <w:pPr>
        <w:spacing w:after="0" w:line="158" w:lineRule="exact"/>
        <w:rPr>
          <w:sz w:val="20"/>
          <w:szCs w:val="20"/>
          <w:color w:val="auto"/>
        </w:rPr>
      </w:pPr>
    </w:p>
    <w:p>
      <w:pPr>
        <w:ind w:left="640" w:right="2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any tax, levy, impost, duty or other charge or withholding of a similar nature (including any penalty or interest payable in connection with any failure to pay or any delay in paying any of the same).</w:t>
      </w:r>
    </w:p>
    <w:p>
      <w:pPr>
        <w:spacing w:after="0" w:line="155" w:lineRule="exact"/>
        <w:rPr>
          <w:sz w:val="20"/>
          <w:szCs w:val="20"/>
          <w:color w:val="auto"/>
        </w:rPr>
      </w:pPr>
    </w:p>
    <w:p>
      <w:pPr>
        <w:ind w:left="640" w:right="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Certificate</w:t>
      </w:r>
      <w:r>
        <w:rPr>
          <w:rFonts w:ascii="Times New Roman" w:cs="Times New Roman" w:eastAsia="Times New Roman" w:hAnsi="Times New Roman"/>
          <w:sz w:val="18"/>
          <w:szCs w:val="18"/>
          <w:color w:val="auto"/>
        </w:rPr>
        <w:t>” means a certificate substantially in the form set out in Schedule 3 (</w:t>
      </w:r>
      <w:r>
        <w:rPr>
          <w:rFonts w:ascii="Times New Roman" w:cs="Times New Roman" w:eastAsia="Times New Roman" w:hAnsi="Times New Roman"/>
          <w:sz w:val="18"/>
          <w:szCs w:val="18"/>
          <w:i w:val="1"/>
          <w:iCs w:val="1"/>
          <w:color w:val="auto"/>
        </w:rPr>
        <w:t>Form of Transfer Certificate</w:t>
      </w:r>
      <w:r>
        <w:rPr>
          <w:rFonts w:ascii="Times New Roman" w:cs="Times New Roman" w:eastAsia="Times New Roman" w:hAnsi="Times New Roman"/>
          <w:sz w:val="18"/>
          <w:szCs w:val="18"/>
          <w:color w:val="auto"/>
        </w:rPr>
        <w:t>) or any other form agreed between the Lender and the Borrower.</w:t>
      </w:r>
    </w:p>
    <w:p>
      <w:pPr>
        <w:spacing w:after="0" w:line="155" w:lineRule="exact"/>
        <w:rPr>
          <w:sz w:val="20"/>
          <w:szCs w:val="20"/>
          <w:color w:val="auto"/>
        </w:rPr>
      </w:pPr>
    </w:p>
    <w:p>
      <w:pPr>
        <w:ind w:left="640" w:right="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Date</w:t>
      </w:r>
      <w:r>
        <w:rPr>
          <w:rFonts w:ascii="Times New Roman" w:cs="Times New Roman" w:eastAsia="Times New Roman" w:hAnsi="Times New Roman"/>
          <w:sz w:val="18"/>
          <w:szCs w:val="18"/>
          <w:color w:val="auto"/>
        </w:rPr>
        <w:t>” means, in relation to an assignment or a transfer, the proposed Transfer Date specified in the Transfer Certificate or in any other document agreed between the relevant assignor and assignee.</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Unpaid Sum</w:t>
      </w:r>
      <w:r>
        <w:rPr>
          <w:rFonts w:ascii="Times New Roman" w:cs="Times New Roman" w:eastAsia="Times New Roman" w:hAnsi="Times New Roman"/>
          <w:sz w:val="18"/>
          <w:szCs w:val="18"/>
          <w:color w:val="auto"/>
        </w:rPr>
        <w:t>” means any sum due and payable but unpaid by an Obligor under the Finance Documents.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USA</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Utilisation</w:t>
      </w:r>
      <w:r>
        <w:rPr>
          <w:rFonts w:ascii="Times New Roman" w:cs="Times New Roman" w:eastAsia="Times New Roman" w:hAnsi="Times New Roman"/>
          <w:sz w:val="18"/>
          <w:szCs w:val="18"/>
          <w:color w:val="auto"/>
        </w:rPr>
        <w:t>” means an utilisation of the Facility.</w:t>
      </w:r>
    </w:p>
    <w:p>
      <w:pPr>
        <w:spacing w:after="0" w:line="225" w:lineRule="exact"/>
        <w:rPr>
          <w:sz w:val="20"/>
          <w:szCs w:val="20"/>
          <w:color w:val="auto"/>
        </w:rPr>
      </w:pPr>
    </w:p>
    <w:p>
      <w:pPr>
        <w:ind w:left="640"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Utilisation Date</w:t>
      </w:r>
      <w:r>
        <w:rPr>
          <w:rFonts w:ascii="Times New Roman" w:cs="Times New Roman" w:eastAsia="Times New Roman" w:hAnsi="Times New Roman"/>
          <w:sz w:val="18"/>
          <w:szCs w:val="18"/>
          <w:color w:val="auto"/>
        </w:rPr>
        <w:t>” means the date of an Utilisation, being the date on which the Loan is to be made, which shall not be later than the last day of the Availability Period.</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Utilisation Request</w:t>
      </w:r>
      <w:r>
        <w:rPr>
          <w:rFonts w:ascii="Times New Roman" w:cs="Times New Roman" w:eastAsia="Times New Roman" w:hAnsi="Times New Roman"/>
          <w:sz w:val="18"/>
          <w:szCs w:val="18"/>
          <w:color w:val="auto"/>
        </w:rPr>
        <w:t>” means a notice substantially in the form set out in Schedule 2 (</w:t>
      </w:r>
      <w:r>
        <w:rPr>
          <w:rFonts w:ascii="Times New Roman" w:cs="Times New Roman" w:eastAsia="Times New Roman" w:hAnsi="Times New Roman"/>
          <w:sz w:val="18"/>
          <w:szCs w:val="18"/>
          <w:i w:val="1"/>
          <w:iCs w:val="1"/>
          <w:color w:val="auto"/>
        </w:rPr>
        <w:t>Requests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Construction</w:t>
      </w:r>
    </w:p>
    <w:p>
      <w:pPr>
        <w:spacing w:after="0" w:line="229" w:lineRule="exact"/>
        <w:rPr>
          <w:sz w:val="20"/>
          <w:szCs w:val="20"/>
          <w:color w:val="auto"/>
        </w:rPr>
      </w:pPr>
    </w:p>
    <w:p>
      <w:pPr>
        <w:ind w:left="1320" w:hanging="664"/>
        <w:spacing w:after="0"/>
        <w:tabs>
          <w:tab w:leader="none" w:pos="132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a contrary indication appears, any reference in this Agreement to:</w:t>
      </w:r>
    </w:p>
    <w:p>
      <w:pPr>
        <w:spacing w:after="0" w:line="225" w:lineRule="exact"/>
        <w:rPr>
          <w:rFonts w:ascii="Times New Roman" w:cs="Times New Roman" w:eastAsia="Times New Roman" w:hAnsi="Times New Roman"/>
          <w:sz w:val="18"/>
          <w:szCs w:val="18"/>
          <w:b w:val="1"/>
          <w:bCs w:val="1"/>
          <w:color w:val="auto"/>
        </w:rPr>
      </w:pPr>
    </w:p>
    <w:p>
      <w:pPr>
        <w:ind w:left="1960" w:hanging="655"/>
        <w:spacing w:after="0" w:line="282" w:lineRule="auto"/>
        <w:tabs>
          <w:tab w:leader="none" w:pos="1981"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the “Lender”, any “Covenantor”, any “Obligor” or any “Party” shall be construed so as to include its successors in title, permitted assigns and permitted transferees;</w:t>
      </w:r>
    </w:p>
    <w:p>
      <w:pPr>
        <w:spacing w:after="0" w:line="161"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includes present and future properties, revenues and rights of every description;</w:t>
      </w:r>
    </w:p>
    <w:p>
      <w:pPr>
        <w:spacing w:after="0" w:line="225" w:lineRule="exact"/>
        <w:rPr>
          <w:rFonts w:ascii="Times New Roman" w:cs="Times New Roman" w:eastAsia="Times New Roman" w:hAnsi="Times New Roman"/>
          <w:sz w:val="18"/>
          <w:szCs w:val="18"/>
          <w:color w:val="auto"/>
        </w:rPr>
      </w:pPr>
    </w:p>
    <w:p>
      <w:pPr>
        <w:ind w:left="1960" w:right="540" w:hanging="655"/>
        <w:spacing w:after="0" w:line="282" w:lineRule="auto"/>
        <w:tabs>
          <w:tab w:leader="none" w:pos="200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“Finance Document” or any other agreement or instrument is a reference to that Finance Document or other agreement or instrument as amended, novated, supplemented, extended or restated;</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shall be construed as “including without limitation” (and cognate expressions shall be construed similarly);</w:t>
      </w:r>
    </w:p>
    <w:p>
      <w:pPr>
        <w:spacing w:after="0" w:line="225" w:lineRule="exact"/>
        <w:rPr>
          <w:rFonts w:ascii="Times New Roman" w:cs="Times New Roman" w:eastAsia="Times New Roman" w:hAnsi="Times New Roman"/>
          <w:sz w:val="18"/>
          <w:szCs w:val="18"/>
          <w:color w:val="auto"/>
        </w:rPr>
      </w:pPr>
    </w:p>
    <w:p>
      <w:pPr>
        <w:ind w:left="1960" w:right="560" w:hanging="655"/>
        <w:spacing w:after="0" w:line="282" w:lineRule="auto"/>
        <w:tabs>
          <w:tab w:leader="none" w:pos="1967"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includes any obligation (whether incurred as principal or as surety) for the payment or repayment of money, whether present or future, actual or contingent;</w:t>
      </w:r>
    </w:p>
    <w:p>
      <w:pPr>
        <w:spacing w:after="0" w:line="161" w:lineRule="exact"/>
        <w:rPr>
          <w:rFonts w:ascii="Times New Roman" w:cs="Times New Roman" w:eastAsia="Times New Roman" w:hAnsi="Times New Roman"/>
          <w:sz w:val="18"/>
          <w:szCs w:val="18"/>
          <w:color w:val="auto"/>
        </w:rPr>
      </w:pPr>
    </w:p>
    <w:p>
      <w:pPr>
        <w:ind w:left="1960" w:right="160" w:hanging="655"/>
        <w:spacing w:after="0" w:line="282" w:lineRule="auto"/>
        <w:tabs>
          <w:tab w:leader="none" w:pos="1977"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includes any person, firm, company, corporation, government, state or agency of a state or any association, trust, joint venture, consortium or partnership (whether or not having separate legal personality) or two or more of the foregoing;</w:t>
      </w:r>
    </w:p>
    <w:p>
      <w:pPr>
        <w:spacing w:after="0" w:line="161" w:lineRule="exact"/>
        <w:rPr>
          <w:rFonts w:ascii="Times New Roman" w:cs="Times New Roman" w:eastAsia="Times New Roman" w:hAnsi="Times New Roman"/>
          <w:sz w:val="18"/>
          <w:szCs w:val="18"/>
          <w:color w:val="auto"/>
        </w:rPr>
      </w:pPr>
    </w:p>
    <w:p>
      <w:pPr>
        <w:ind w:left="1960" w:right="100" w:hanging="655"/>
        <w:spacing w:after="0" w:line="266" w:lineRule="auto"/>
        <w:tabs>
          <w:tab w:leader="none" w:pos="1986"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“regulation” includes any regulation, rule, official directive, request or guideline (whether or not having the force of law) of any governmental, intergovernmental or supranational body, agency, department or regulatory, self-regulatory or other authority or organisation;</w:t>
      </w:r>
    </w:p>
    <w:p>
      <w:pPr>
        <w:spacing w:after="0" w:line="176"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of law is a reference to that provision as amended or re-enacted;</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one gender shall include the other genders;</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shall include the plural and vice versa; and</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time of day is a reference to Hong Kong time.</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Clause and Schedule headings are for ease of reference only.</w:t>
      </w:r>
    </w:p>
    <w:p>
      <w:pPr>
        <w:spacing w:after="0" w:line="225" w:lineRule="exact"/>
        <w:rPr>
          <w:rFonts w:ascii="Times New Roman" w:cs="Times New Roman" w:eastAsia="Times New Roman" w:hAnsi="Times New Roman"/>
          <w:sz w:val="18"/>
          <w:szCs w:val="18"/>
          <w:b w:val="1"/>
          <w:bCs w:val="1"/>
          <w:color w:val="auto"/>
        </w:rPr>
      </w:pPr>
    </w:p>
    <w:p>
      <w:pPr>
        <w:ind w:left="1300" w:right="300" w:hanging="644"/>
        <w:spacing w:after="0" w:line="282" w:lineRule="auto"/>
        <w:tabs>
          <w:tab w:leader="none" w:pos="131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161" w:lineRule="exact"/>
        <w:rPr>
          <w:rFonts w:ascii="Times New Roman" w:cs="Times New Roman" w:eastAsia="Times New Roman" w:hAnsi="Times New Roman"/>
          <w:sz w:val="18"/>
          <w:szCs w:val="18"/>
          <w:b w:val="1"/>
          <w:bCs w:val="1"/>
          <w:color w:val="auto"/>
        </w:rPr>
      </w:pPr>
    </w:p>
    <w:p>
      <w:pPr>
        <w:ind w:left="1320" w:hanging="664"/>
        <w:spacing w:after="0"/>
        <w:tabs>
          <w:tab w:leader="none" w:pos="132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Default or an Event of Default is “continuing” if it has not been remedied or waived.</w:t>
      </w:r>
    </w:p>
    <w:p>
      <w:pPr>
        <w:spacing w:after="0" w:line="225" w:lineRule="exact"/>
        <w:rPr>
          <w:rFonts w:ascii="Times New Roman" w:cs="Times New Roman" w:eastAsia="Times New Roman" w:hAnsi="Times New Roman"/>
          <w:sz w:val="18"/>
          <w:szCs w:val="18"/>
          <w:b w:val="1"/>
          <w:bCs w:val="1"/>
          <w:color w:val="auto"/>
        </w:rPr>
      </w:pPr>
    </w:p>
    <w:p>
      <w:pPr>
        <w:ind w:left="1300" w:right="20" w:hanging="644"/>
        <w:spacing w:after="0" w:line="261" w:lineRule="auto"/>
        <w:tabs>
          <w:tab w:leader="none" w:pos="131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Where this Agreement specifies an amount in a given currency (the “specified currency”) “or its equivalent”, the “equivalent” is a reference to the amount of any other currency which, when converted into the specified currency utilising the Lender’s spot rate of exchange for the purchase of the specified currency with that other currency at or about 11 a.m. on the relevant date, is equal to the relevant amount in the specified currency.</w:t>
      </w:r>
    </w:p>
    <w:p>
      <w:pPr>
        <w:sectPr>
          <w:pgSz w:w="11900" w:h="16838" w:orient="portrait"/>
          <w:cols w:equalWidth="0" w:num="1">
            <w:col w:w="11420"/>
          </w:cols>
          <w:pgMar w:left="240" w:top="121" w:right="239" w:bottom="0" w:gutter="0" w:footer="0" w:header="0"/>
        </w:sectPr>
      </w:pPr>
    </w:p>
    <w:bookmarkStart w:id="143" w:name="page144"/>
    <w:bookmarkEnd w:id="143"/>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Third party rights</w:t>
      </w:r>
    </w:p>
    <w:p>
      <w:pPr>
        <w:spacing w:after="0" w:line="229" w:lineRule="exact"/>
        <w:rPr>
          <w:sz w:val="20"/>
          <w:szCs w:val="20"/>
          <w:color w:val="auto"/>
        </w:rPr>
      </w:pPr>
    </w:p>
    <w:p>
      <w:pPr>
        <w:ind w:left="660" w:right="200"/>
        <w:spacing w:after="0" w:line="261" w:lineRule="auto"/>
        <w:rPr>
          <w:sz w:val="20"/>
          <w:szCs w:val="20"/>
          <w:color w:val="auto"/>
        </w:rPr>
      </w:pPr>
      <w:r>
        <w:rPr>
          <w:rFonts w:ascii="Times New Roman" w:cs="Times New Roman" w:eastAsia="Times New Roman" w:hAnsi="Times New Roman"/>
          <w:sz w:val="18"/>
          <w:szCs w:val="18"/>
          <w:color w:val="auto"/>
        </w:rPr>
        <w:t>A person who is not a Party has no right under the doctrine of privity of contract to enforce or to enjoy the benefit of any term of this Agreement. The provisions of the Contracts (Rights of Third Parties) Ordinance (Cap. 623) shall not apply to this Agreement and, unless specifically herein provided, no person other than the Parties to this Agreement shall have any rights under it nor shall it be enforceable by any person other than the Parties to it.</w:t>
      </w:r>
    </w:p>
    <w:p>
      <w:pPr>
        <w:spacing w:after="0" w:line="176" w:lineRule="exact"/>
        <w:rPr>
          <w:sz w:val="20"/>
          <w:szCs w:val="20"/>
          <w:color w:val="auto"/>
        </w:rPr>
      </w:pPr>
    </w:p>
    <w:p>
      <w:pPr>
        <w:ind w:left="660" w:hanging="652"/>
        <w:spacing w:after="0"/>
        <w:tabs>
          <w:tab w:leader="none" w:pos="66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FACILITY</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17"/>
          <w:szCs w:val="17"/>
          <w:b w:val="1"/>
          <w:bCs w:val="1"/>
          <w:color w:val="auto"/>
        </w:rPr>
        <w:t>The Facility</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Subject to the terms of this Agreement, the Lender shall make available to the Borrower a Dollar term loan facility in aggregate amount of Fourteen Million and Eight Hundred Thousand Dollars (US$14,800,000).</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Term of the Facility</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term of the Facility is from the relevant Utilisation Date to the Final Maturity Date.</w:t>
      </w:r>
    </w:p>
    <w:p>
      <w:pPr>
        <w:spacing w:after="0" w:line="221" w:lineRule="exact"/>
        <w:rPr>
          <w:sz w:val="20"/>
          <w:szCs w:val="20"/>
          <w:color w:val="auto"/>
        </w:rPr>
      </w:pPr>
    </w:p>
    <w:p>
      <w:pPr>
        <w:ind w:left="660" w:hanging="652"/>
        <w:spacing w:after="0"/>
        <w:tabs>
          <w:tab w:leader="none" w:pos="66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3.1</w:t>
      </w:r>
      <w:r>
        <w:rPr>
          <w:rFonts w:ascii="Times New Roman" w:cs="Times New Roman" w:eastAsia="Times New Roman" w:hAnsi="Times New Roman"/>
          <w:sz w:val="17"/>
          <w:szCs w:val="17"/>
          <w:b w:val="1"/>
          <w:bCs w:val="1"/>
          <w:color w:val="auto"/>
        </w:rPr>
        <w:t>Purpose</w:t>
      </w:r>
    </w:p>
    <w:p>
      <w:pPr>
        <w:spacing w:after="0" w:line="229" w:lineRule="exact"/>
        <w:rPr>
          <w:sz w:val="20"/>
          <w:szCs w:val="20"/>
          <w:color w:val="auto"/>
        </w:rPr>
      </w:pPr>
    </w:p>
    <w:p>
      <w:pPr>
        <w:ind w:left="660" w:right="480"/>
        <w:spacing w:after="0" w:line="282" w:lineRule="auto"/>
        <w:rPr>
          <w:sz w:val="20"/>
          <w:szCs w:val="20"/>
          <w:color w:val="auto"/>
        </w:rPr>
      </w:pPr>
      <w:r>
        <w:rPr>
          <w:rFonts w:ascii="Times New Roman" w:cs="Times New Roman" w:eastAsia="Times New Roman" w:hAnsi="Times New Roman"/>
          <w:sz w:val="18"/>
          <w:szCs w:val="18"/>
          <w:color w:val="auto"/>
        </w:rPr>
        <w:t>The Borrower shall apply all amounts borrowed by it under the Facility for the Group’s working capital requirement arising from the Group’s ordinary course of business.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Monitoring</w:t>
      </w:r>
    </w:p>
    <w:p>
      <w:pPr>
        <w:spacing w:after="0" w:line="229"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The Lender is not bound to monitor or verify the application of any amount borrowed pursuant to this Agreement, nor shall it be responsible for the consequences of Utilisation of the Loan.</w:t>
      </w:r>
    </w:p>
    <w:p>
      <w:pPr>
        <w:spacing w:after="0" w:line="158" w:lineRule="exact"/>
        <w:rPr>
          <w:sz w:val="20"/>
          <w:szCs w:val="20"/>
          <w:color w:val="auto"/>
        </w:rPr>
      </w:pPr>
    </w:p>
    <w:p>
      <w:pPr>
        <w:ind w:left="660" w:hanging="652"/>
        <w:spacing w:after="0"/>
        <w:tabs>
          <w:tab w:leader="none" w:pos="66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OF UTILISATION</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4.1</w:t>
      </w:r>
      <w:r>
        <w:rPr>
          <w:rFonts w:ascii="Times New Roman" w:cs="Times New Roman" w:eastAsia="Times New Roman" w:hAnsi="Times New Roman"/>
          <w:sz w:val="17"/>
          <w:szCs w:val="17"/>
          <w:b w:val="1"/>
          <w:bCs w:val="1"/>
          <w:color w:val="auto"/>
        </w:rPr>
        <w:t>Initial conditions precedent</w:t>
      </w:r>
    </w:p>
    <w:p>
      <w:pPr>
        <w:spacing w:after="0" w:line="227" w:lineRule="exact"/>
        <w:rPr>
          <w:sz w:val="20"/>
          <w:szCs w:val="20"/>
          <w:color w:val="auto"/>
        </w:rPr>
      </w:pPr>
    </w:p>
    <w:p>
      <w:pPr>
        <w:ind w:left="660" w:right="40"/>
        <w:spacing w:after="0" w:line="290" w:lineRule="auto"/>
        <w:rPr>
          <w:sz w:val="20"/>
          <w:szCs w:val="20"/>
          <w:color w:val="auto"/>
        </w:rPr>
      </w:pPr>
      <w:r>
        <w:rPr>
          <w:rFonts w:ascii="Times New Roman" w:cs="Times New Roman" w:eastAsia="Times New Roman" w:hAnsi="Times New Roman"/>
          <w:sz w:val="17"/>
          <w:szCs w:val="17"/>
          <w:color w:val="auto"/>
        </w:rPr>
        <w:t>The Lender will be obliged to comply with Clause 5.4 (</w:t>
      </w:r>
      <w:r>
        <w:rPr>
          <w:rFonts w:ascii="Times New Roman" w:cs="Times New Roman" w:eastAsia="Times New Roman" w:hAnsi="Times New Roman"/>
          <w:sz w:val="17"/>
          <w:szCs w:val="17"/>
          <w:i w:val="1"/>
          <w:iCs w:val="1"/>
          <w:color w:val="auto"/>
        </w:rPr>
        <w:t>Lender’s disbursement</w:t>
      </w:r>
      <w:r>
        <w:rPr>
          <w:rFonts w:ascii="Times New Roman" w:cs="Times New Roman" w:eastAsia="Times New Roman" w:hAnsi="Times New Roman"/>
          <w:sz w:val="17"/>
          <w:szCs w:val="17"/>
          <w:color w:val="auto"/>
        </w:rPr>
        <w:t>) only if Lender has received all of the documents and other evidence listed on Schedule 1 (</w:t>
      </w:r>
      <w:r>
        <w:rPr>
          <w:rFonts w:ascii="Times New Roman" w:cs="Times New Roman" w:eastAsia="Times New Roman" w:hAnsi="Times New Roman"/>
          <w:sz w:val="17"/>
          <w:szCs w:val="17"/>
          <w:i w:val="1"/>
          <w:iCs w:val="1"/>
          <w:color w:val="auto"/>
        </w:rPr>
        <w:t>Conditions precedent</w:t>
      </w:r>
      <w:r>
        <w:rPr>
          <w:rFonts w:ascii="Times New Roman" w:cs="Times New Roman" w:eastAsia="Times New Roman" w:hAnsi="Times New Roman"/>
          <w:sz w:val="17"/>
          <w:szCs w:val="17"/>
          <w:color w:val="auto"/>
        </w:rPr>
        <w:t>) in form and substance reasonably satisfactory to the Lender (unless the requirement to provide any of such documents or other evidence is waived by the Lender). The Lender shall notify the Borrower promptly upon the Lender being so satisfied.</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Further conditions precedent</w:t>
      </w:r>
    </w:p>
    <w:p>
      <w:pPr>
        <w:spacing w:after="0" w:line="2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Lender will be obliged to comply with Clause 5.4 (</w:t>
      </w:r>
      <w:r>
        <w:rPr>
          <w:rFonts w:ascii="Times New Roman" w:cs="Times New Roman" w:eastAsia="Times New Roman" w:hAnsi="Times New Roman"/>
          <w:sz w:val="18"/>
          <w:szCs w:val="18"/>
          <w:i w:val="1"/>
          <w:iCs w:val="1"/>
          <w:color w:val="auto"/>
        </w:rPr>
        <w:t>Lender’s disbursement</w:t>
      </w:r>
      <w:r>
        <w:rPr>
          <w:rFonts w:ascii="Times New Roman" w:cs="Times New Roman" w:eastAsia="Times New Roman" w:hAnsi="Times New Roman"/>
          <w:sz w:val="18"/>
          <w:szCs w:val="18"/>
          <w:color w:val="auto"/>
        </w:rPr>
        <w:t>) only if on the date of the Utilisation Request and on the proposed</w:t>
      </w:r>
    </w:p>
    <w:p>
      <w:pPr>
        <w:spacing w:after="0" w:line="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Utilisation Date:</w:t>
      </w:r>
    </w:p>
    <w:p>
      <w:pPr>
        <w:spacing w:after="0" w:line="207" w:lineRule="exact"/>
        <w:rPr>
          <w:sz w:val="20"/>
          <w:szCs w:val="20"/>
          <w:color w:val="auto"/>
        </w:rPr>
      </w:pPr>
    </w:p>
    <w:p>
      <w:pPr>
        <w:ind w:left="1400" w:hanging="744"/>
        <w:spacing w:after="0"/>
        <w:tabs>
          <w:tab w:leader="none" w:pos="1400"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Default is continuing or would result from the proposed Loan;</w:t>
      </w:r>
    </w:p>
    <w:p>
      <w:pPr>
        <w:spacing w:after="0" w:line="223"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representations made by the Obligors under Clause 14 (</w:t>
      </w:r>
      <w:r>
        <w:rPr>
          <w:rFonts w:ascii="Times New Roman" w:cs="Times New Roman" w:eastAsia="Times New Roman" w:hAnsi="Times New Roman"/>
          <w:sz w:val="18"/>
          <w:szCs w:val="18"/>
          <w:i w:val="1"/>
          <w:iCs w:val="1"/>
          <w:color w:val="auto"/>
        </w:rPr>
        <w:t>Representations</w:t>
      </w:r>
      <w:r>
        <w:rPr>
          <w:rFonts w:ascii="Times New Roman" w:cs="Times New Roman" w:eastAsia="Times New Roman" w:hAnsi="Times New Roman"/>
          <w:sz w:val="18"/>
          <w:szCs w:val="18"/>
          <w:color w:val="auto"/>
        </w:rPr>
        <w:t>) are true and accurate; and</w:t>
      </w:r>
    </w:p>
    <w:p>
      <w:pPr>
        <w:spacing w:after="0" w:line="227" w:lineRule="exact"/>
        <w:rPr>
          <w:rFonts w:ascii="Times New Roman" w:cs="Times New Roman" w:eastAsia="Times New Roman" w:hAnsi="Times New Roman"/>
          <w:sz w:val="18"/>
          <w:szCs w:val="18"/>
          <w:b w:val="1"/>
          <w:bCs w:val="1"/>
          <w:color w:val="auto"/>
        </w:rPr>
      </w:pPr>
    </w:p>
    <w:p>
      <w:pPr>
        <w:jc w:val="center"/>
        <w:ind w:left="5660" w:right="860" w:hanging="5004"/>
        <w:spacing w:after="0" w:line="532" w:lineRule="auto"/>
        <w:tabs>
          <w:tab w:leader="none" w:pos="1401"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since the Execution Date, nothing has occurred which has or could reasonably be expected to have a Material Adverse Effect.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Maximum number of Loan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is no maximum number of Loans that the Borrower may borrow under the Facility.</w:t>
      </w:r>
    </w:p>
    <w:p>
      <w:pPr>
        <w:spacing w:after="0" w:line="221" w:lineRule="exact"/>
        <w:rPr>
          <w:sz w:val="20"/>
          <w:szCs w:val="20"/>
          <w:color w:val="auto"/>
        </w:rPr>
      </w:pPr>
    </w:p>
    <w:p>
      <w:pPr>
        <w:ind w:left="660" w:hanging="652"/>
        <w:spacing w:after="0"/>
        <w:tabs>
          <w:tab w:leader="none" w:pos="66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UTILISATION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Delivery of a Utilisation Request</w:t>
      </w:r>
    </w:p>
    <w:p>
      <w:pPr>
        <w:spacing w:after="0" w:line="229"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The Borrower may utilise the Facility by delivering to the Lender a duly completed Utilisation Request and the Lender receives the Utilisation Request not later than 11 a.m. ten (10) Business Day before the proposed Utilisation Date, provided that the Borrower and the Lender shall agree on the Utilisation Date in advance.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Completion of a Utilisation Request</w:t>
      </w:r>
    </w:p>
    <w:p>
      <w:pPr>
        <w:spacing w:after="0" w:line="229" w:lineRule="exact"/>
        <w:rPr>
          <w:sz w:val="20"/>
          <w:szCs w:val="20"/>
          <w:color w:val="auto"/>
        </w:rPr>
      </w:pPr>
    </w:p>
    <w:p>
      <w:pPr>
        <w:ind w:left="1320" w:hanging="664"/>
        <w:spacing w:after="0"/>
        <w:tabs>
          <w:tab w:leader="none" w:pos="1320"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Utilisation Request is irrevocable and will not be regarded as having been duly completed unless:</w:t>
      </w:r>
    </w:p>
    <w:p>
      <w:pPr>
        <w:spacing w:after="0" w:line="225" w:lineRule="exact"/>
        <w:rPr>
          <w:rFonts w:ascii="Times New Roman" w:cs="Times New Roman" w:eastAsia="Times New Roman" w:hAnsi="Times New Roman"/>
          <w:sz w:val="18"/>
          <w:szCs w:val="18"/>
          <w:b w:val="1"/>
          <w:bCs w:val="1"/>
          <w:color w:val="auto"/>
        </w:rPr>
      </w:pPr>
    </w:p>
    <w:p>
      <w:pPr>
        <w:ind w:left="1980" w:hanging="675"/>
        <w:spacing w:after="0"/>
        <w:tabs>
          <w:tab w:leader="none" w:pos="198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Utilisation Date is a Business Day within the Availability Period; and</w:t>
      </w:r>
    </w:p>
    <w:p>
      <w:pPr>
        <w:sectPr>
          <w:pgSz w:w="11900" w:h="16838" w:orient="portrait"/>
          <w:cols w:equalWidth="0" w:num="1">
            <w:col w:w="11320"/>
          </w:cols>
          <w:pgMar w:left="240" w:top="121" w:right="339" w:bottom="0" w:gutter="0" w:footer="0" w:header="0"/>
        </w:sectPr>
      </w:pPr>
    </w:p>
    <w:bookmarkStart w:id="144" w:name="page145"/>
    <w:bookmarkEnd w:id="144"/>
    <w:p>
      <w:pPr>
        <w:spacing w:after="0" w:line="51" w:lineRule="exact"/>
        <w:rPr>
          <w:sz w:val="20"/>
          <w:szCs w:val="20"/>
          <w:color w:val="auto"/>
        </w:rPr>
      </w:pPr>
    </w:p>
    <w:p>
      <w:pPr>
        <w:ind w:left="1960" w:hanging="655"/>
        <w:spacing w:after="0"/>
        <w:tabs>
          <w:tab w:leader="none" w:pos="196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and amount of the Utilisation comply with Clause 5.3 (</w:t>
      </w:r>
      <w:r>
        <w:rPr>
          <w:rFonts w:ascii="Times New Roman" w:cs="Times New Roman" w:eastAsia="Times New Roman" w:hAnsi="Times New Roman"/>
          <w:sz w:val="18"/>
          <w:szCs w:val="18"/>
          <w:i w:val="1"/>
          <w:iCs w:val="1"/>
          <w:color w:val="auto"/>
        </w:rPr>
        <w:t>Currency and amount</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Only one Loan may be requested in the Utilisation Request.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7"/>
          <w:szCs w:val="17"/>
          <w:b w:val="1"/>
          <w:bCs w:val="1"/>
          <w:color w:val="auto"/>
        </w:rPr>
        <w:t>Currency and amount</w:t>
      </w:r>
    </w:p>
    <w:p>
      <w:pPr>
        <w:spacing w:after="0" w:line="229" w:lineRule="exact"/>
        <w:rPr>
          <w:sz w:val="20"/>
          <w:szCs w:val="20"/>
          <w:color w:val="auto"/>
        </w:rPr>
      </w:pPr>
    </w:p>
    <w:p>
      <w:pPr>
        <w:ind w:left="1400" w:hanging="744"/>
        <w:spacing w:after="0"/>
        <w:tabs>
          <w:tab w:leader="none" w:pos="140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currency specified in an Utilisation Request must be Dollars.</w:t>
      </w:r>
    </w:p>
    <w:p>
      <w:pPr>
        <w:spacing w:after="0" w:line="225"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amount of the proposed Loan in an Utilisation Request shall be no more than the amount of the Available Facility.</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7"/>
          <w:szCs w:val="17"/>
          <w:b w:val="1"/>
          <w:bCs w:val="1"/>
          <w:color w:val="auto"/>
        </w:rPr>
        <w:t>Lender’s disbursement</w:t>
      </w:r>
    </w:p>
    <w:p>
      <w:pPr>
        <w:spacing w:after="0" w:line="227" w:lineRule="exact"/>
        <w:rPr>
          <w:sz w:val="20"/>
          <w:szCs w:val="20"/>
          <w:color w:val="auto"/>
        </w:rPr>
      </w:pPr>
    </w:p>
    <w:p>
      <w:pPr>
        <w:ind w:left="1400" w:hanging="744"/>
        <w:spacing w:after="0" w:line="267" w:lineRule="auto"/>
        <w:tabs>
          <w:tab w:leader="none" w:pos="141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it is mutually agreed that the conditions set out in Clause 4 (</w:t>
      </w:r>
      <w:r>
        <w:rPr>
          <w:rFonts w:ascii="Times New Roman" w:cs="Times New Roman" w:eastAsia="Times New Roman" w:hAnsi="Times New Roman"/>
          <w:sz w:val="18"/>
          <w:szCs w:val="18"/>
          <w:i w:val="1"/>
          <w:iCs w:val="1"/>
          <w:color w:val="auto"/>
        </w:rPr>
        <w:t>Conditions of Utilisation</w:t>
      </w:r>
      <w:r>
        <w:rPr>
          <w:rFonts w:ascii="Times New Roman" w:cs="Times New Roman" w:eastAsia="Times New Roman" w:hAnsi="Times New Roman"/>
          <w:sz w:val="18"/>
          <w:szCs w:val="18"/>
          <w:color w:val="auto"/>
        </w:rPr>
        <w:t>) and Clause 5.1 (</w:t>
      </w:r>
      <w:r>
        <w:rPr>
          <w:rFonts w:ascii="Times New Roman" w:cs="Times New Roman" w:eastAsia="Times New Roman" w:hAnsi="Times New Roman"/>
          <w:sz w:val="18"/>
          <w:szCs w:val="18"/>
          <w:i w:val="1"/>
          <w:iCs w:val="1"/>
          <w:color w:val="auto"/>
        </w:rPr>
        <w:t>Delivery of a Utilisation Request</w:t>
      </w:r>
      <w:r>
        <w:rPr>
          <w:rFonts w:ascii="Times New Roman" w:cs="Times New Roman" w:eastAsia="Times New Roman" w:hAnsi="Times New Roman"/>
          <w:sz w:val="18"/>
          <w:szCs w:val="18"/>
          <w:color w:val="auto"/>
        </w:rPr>
        <w:t>) to Clause 5.3 (</w:t>
      </w:r>
      <w:r>
        <w:rPr>
          <w:rFonts w:ascii="Times New Roman" w:cs="Times New Roman" w:eastAsia="Times New Roman" w:hAnsi="Times New Roman"/>
          <w:sz w:val="18"/>
          <w:szCs w:val="18"/>
          <w:i w:val="1"/>
          <w:iCs w:val="1"/>
          <w:color w:val="auto"/>
        </w:rPr>
        <w:t>Currency and amount</w:t>
      </w:r>
      <w:r>
        <w:rPr>
          <w:rFonts w:ascii="Times New Roman" w:cs="Times New Roman" w:eastAsia="Times New Roman" w:hAnsi="Times New Roman"/>
          <w:sz w:val="18"/>
          <w:szCs w:val="18"/>
          <w:color w:val="auto"/>
        </w:rPr>
        <w:t>) above have been met, the Lender shall make the Loan available on the Utilisation Date through its Facility Office.</w:t>
      </w:r>
    </w:p>
    <w:p>
      <w:pPr>
        <w:spacing w:after="0" w:line="175"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amount of such Loan shall be equal to the amount of the Utilisation set forth in the Utilisation Request.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b w:val="1"/>
          <w:bCs w:val="1"/>
          <w:color w:val="auto"/>
        </w:rPr>
        <w:t>Cancellation of unutilised Facility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5:00 p.m. in Hong Kong on the last day of the Availability Period, the Available Facility shall be automatically cancelled.</w:t>
      </w:r>
    </w:p>
    <w:p>
      <w:pPr>
        <w:spacing w:after="0" w:line="221" w:lineRule="exact"/>
        <w:rPr>
          <w:sz w:val="20"/>
          <w:szCs w:val="20"/>
          <w:color w:val="auto"/>
        </w:rPr>
      </w:pPr>
    </w:p>
    <w:p>
      <w:pPr>
        <w:ind w:left="660" w:hanging="652"/>
        <w:spacing w:after="0"/>
        <w:tabs>
          <w:tab w:leader="none" w:pos="660"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7"/>
          <w:szCs w:val="17"/>
          <w:b w:val="1"/>
          <w:bCs w:val="1"/>
          <w:color w:val="auto"/>
        </w:rPr>
        <w:t>Calculation of interest</w:t>
      </w:r>
    </w:p>
    <w:p>
      <w:pPr>
        <w:spacing w:after="0" w:line="225" w:lineRule="exact"/>
        <w:rPr>
          <w:sz w:val="20"/>
          <w:szCs w:val="20"/>
          <w:color w:val="auto"/>
        </w:rPr>
      </w:pPr>
    </w:p>
    <w:p>
      <w:pPr>
        <w:ind w:left="660" w:right="60"/>
        <w:spacing w:after="0" w:line="262" w:lineRule="auto"/>
        <w:rPr>
          <w:sz w:val="20"/>
          <w:szCs w:val="20"/>
          <w:color w:val="auto"/>
        </w:rPr>
      </w:pPr>
      <w:r>
        <w:rPr>
          <w:rFonts w:ascii="Times New Roman" w:cs="Times New Roman" w:eastAsia="Times New Roman" w:hAnsi="Times New Roman"/>
          <w:sz w:val="18"/>
          <w:szCs w:val="18"/>
          <w:color w:val="auto"/>
        </w:rPr>
        <w:t>The rate of interest on the Loan shall be 4.35 percent (4.35%) per annum (the “</w:t>
      </w:r>
      <w:r>
        <w:rPr>
          <w:rFonts w:ascii="Times New Roman" w:cs="Times New Roman" w:eastAsia="Times New Roman" w:hAnsi="Times New Roman"/>
          <w:sz w:val="18"/>
          <w:szCs w:val="18"/>
          <w:b w:val="1"/>
          <w:bCs w:val="1"/>
          <w:color w:val="auto"/>
        </w:rPr>
        <w:t>Interest Rate</w:t>
      </w:r>
      <w:r>
        <w:rPr>
          <w:rFonts w:ascii="Times New Roman" w:cs="Times New Roman" w:eastAsia="Times New Roman" w:hAnsi="Times New Roman"/>
          <w:sz w:val="18"/>
          <w:szCs w:val="18"/>
          <w:color w:val="auto"/>
        </w:rPr>
        <w:t>”). Each Loan shall accrue interest on each date on which it is outstanding at the Interest Rate before its due date except that, in the event a Loan is repaid before the Final Maturity Date for any reason (including but not limited to prepayments according to Clause 8 or acceleration upon an Event of Default according to Clause 17.14), the Loan shall accrue a special interest on the date of such early repayment that equals to the amount of interest that</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would have accrued from the date of such early repayment to the Final Maturity Date if the Loan were not repaid before the Final Maturity Date.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b w:val="1"/>
          <w:bCs w:val="1"/>
          <w:color w:val="auto"/>
        </w:rPr>
        <w:t>Payment of interest</w:t>
      </w:r>
    </w:p>
    <w:p>
      <w:pPr>
        <w:spacing w:after="0" w:line="229"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The Borrower shall pay all accrued interest on the Final Maturity Date. For the avoidance of doubt, the amount of interest payable by the Borrower shall be based on the actual amount of the Loan disbursed by the Lender to the Borrower.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7"/>
          <w:szCs w:val="17"/>
          <w:b w:val="1"/>
          <w:bCs w:val="1"/>
          <w:color w:val="auto"/>
        </w:rPr>
        <w:t>Default interest</w:t>
      </w:r>
    </w:p>
    <w:p>
      <w:pPr>
        <w:spacing w:after="0" w:line="229" w:lineRule="exact"/>
        <w:rPr>
          <w:sz w:val="20"/>
          <w:szCs w:val="20"/>
          <w:color w:val="auto"/>
        </w:rPr>
      </w:pPr>
    </w:p>
    <w:p>
      <w:pPr>
        <w:ind w:left="1400" w:right="40" w:hanging="744"/>
        <w:spacing w:after="0" w:line="272" w:lineRule="auto"/>
        <w:tabs>
          <w:tab w:leader="none" w:pos="1410" w:val="left"/>
        </w:tabs>
        <w:numPr>
          <w:ilvl w:val="1"/>
          <w:numId w:val="1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Without prejudice to any other remedies available to the Lender under this Agreement or otherwise (and to the maximum extent permitted by applicable law), if the Borrower fails to pay any amount payable by it under a Finance Document on its due date, interest shall accrue on the Unpaid Sum from the due date to the date of actual payment (both before and after judgment) at a rate which, subject to sub-clause</w:t>
      </w:r>
    </w:p>
    <w:p>
      <w:pPr>
        <w:spacing w:after="0" w:line="1" w:lineRule="exact"/>
        <w:rPr>
          <w:rFonts w:ascii="Times New Roman" w:cs="Times New Roman" w:eastAsia="Times New Roman" w:hAnsi="Times New Roman"/>
          <w:sz w:val="17"/>
          <w:szCs w:val="17"/>
          <w:b w:val="1"/>
          <w:bCs w:val="1"/>
          <w:color w:val="auto"/>
        </w:rPr>
      </w:pPr>
    </w:p>
    <w:p>
      <w:pPr>
        <w:ind w:left="1400" w:right="66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(b) below, shall be 0.02 per cent (0.02%) per day. Any interest accruing under this Clause 6.3 shall be immediately payable by the Borrower on demand by the Lender.</w:t>
      </w:r>
    </w:p>
    <w:p>
      <w:pPr>
        <w:spacing w:after="0" w:line="179" w:lineRule="exact"/>
        <w:rPr>
          <w:rFonts w:ascii="Times New Roman" w:cs="Times New Roman" w:eastAsia="Times New Roman" w:hAnsi="Times New Roman"/>
          <w:sz w:val="17"/>
          <w:szCs w:val="17"/>
          <w:b w:val="1"/>
          <w:bCs w:val="1"/>
          <w:color w:val="auto"/>
        </w:rPr>
      </w:pPr>
    </w:p>
    <w:p>
      <w:pPr>
        <w:ind w:left="1400" w:right="60" w:hanging="744"/>
        <w:spacing w:after="0" w:line="282" w:lineRule="auto"/>
        <w:tabs>
          <w:tab w:leader="none" w:pos="1420" w:val="left"/>
        </w:tabs>
        <w:numPr>
          <w:ilvl w:val="1"/>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Default interest (if unpaid) arising on an Unpaid Sum will be compounded with the Unpaid Sum at the end of each Month but will remain immediately due and payable.</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REPAYMENT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7"/>
          <w:szCs w:val="17"/>
          <w:b w:val="1"/>
          <w:bCs w:val="1"/>
          <w:color w:val="auto"/>
        </w:rPr>
        <w:t>Repayment of Loan</w:t>
      </w:r>
    </w:p>
    <w:p>
      <w:pPr>
        <w:spacing w:after="0" w:line="229"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18"/>
          <w:szCs w:val="18"/>
          <w:color w:val="auto"/>
        </w:rPr>
        <w:t>The Borrower shall repay the Loan and all outstanding amounts with respect to the Loan on the Final Maturity Date. For the avoidance of doubt, this obligation of the Borrower shall not be avoided or excused in any way, whether due to issues relating to (a) the legality of the Loan or the use of the Loan, (b) any conflict of interests or the relationship between the Lender and the Borrower and their respective Affiliates and related parties, (c) the violation or breach of any laws and regulations in relation to the Loan, or (d) any other issue otherwise in relation to the Loan and the Finance Documents.</w:t>
      </w:r>
    </w:p>
    <w:p>
      <w:pPr>
        <w:spacing w:after="0" w:line="180" w:lineRule="exact"/>
        <w:rPr>
          <w:sz w:val="20"/>
          <w:szCs w:val="20"/>
          <w:color w:val="auto"/>
        </w:rPr>
      </w:pPr>
    </w:p>
    <w:p>
      <w:pPr>
        <w:ind w:left="660" w:hanging="652"/>
        <w:spacing w:after="0"/>
        <w:tabs>
          <w:tab w:leader="none" w:pos="66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PREPAYMENT AND CANCELLATION</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8.1</w:t>
      </w:r>
      <w:r>
        <w:rPr>
          <w:rFonts w:ascii="Times New Roman" w:cs="Times New Roman" w:eastAsia="Times New Roman" w:hAnsi="Times New Roman"/>
          <w:sz w:val="17"/>
          <w:szCs w:val="17"/>
          <w:b w:val="1"/>
          <w:bCs w:val="1"/>
          <w:color w:val="auto"/>
        </w:rPr>
        <w:t>Illegality and Mandatory Prepayment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at any time, it is or will become unlawful in any applicable jurisdiction for the Lender to perform any of its obligations as contemplated by this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Agreement or to fund or maintain its participation in any Loan or it is or will become unlawful for the Lender to do so:</w:t>
      </w:r>
    </w:p>
    <w:p>
      <w:pPr>
        <w:spacing w:after="0" w:line="207" w:lineRule="exact"/>
        <w:rPr>
          <w:sz w:val="20"/>
          <w:szCs w:val="20"/>
          <w:color w:val="auto"/>
        </w:rPr>
      </w:pPr>
    </w:p>
    <w:p>
      <w:pPr>
        <w:ind w:left="1320" w:hanging="664"/>
        <w:spacing w:after="0"/>
        <w:tabs>
          <w:tab w:leader="none" w:pos="1320"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Lender shall promptly notify the Borrower upon becoming aware of that event;</w:t>
      </w:r>
    </w:p>
    <w:p>
      <w:pPr>
        <w:spacing w:after="0" w:line="225" w:lineRule="exact"/>
        <w:rPr>
          <w:rFonts w:ascii="Times New Roman" w:cs="Times New Roman" w:eastAsia="Times New Roman" w:hAnsi="Times New Roman"/>
          <w:sz w:val="18"/>
          <w:szCs w:val="18"/>
          <w:b w:val="1"/>
          <w:bCs w:val="1"/>
          <w:color w:val="auto"/>
        </w:rPr>
      </w:pPr>
    </w:p>
    <w:p>
      <w:pPr>
        <w:ind w:left="1320" w:hanging="664"/>
        <w:spacing w:after="0"/>
        <w:tabs>
          <w:tab w:leader="none" w:pos="1320"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the Lender notifying the Borrower, the Available Facility of the Lender will be immediately cancelled; and</w:t>
      </w:r>
    </w:p>
    <w:p>
      <w:pPr>
        <w:spacing w:after="0" w:line="225" w:lineRule="exact"/>
        <w:rPr>
          <w:rFonts w:ascii="Times New Roman" w:cs="Times New Roman" w:eastAsia="Times New Roman" w:hAnsi="Times New Roman"/>
          <w:sz w:val="18"/>
          <w:szCs w:val="18"/>
          <w:b w:val="1"/>
          <w:bCs w:val="1"/>
          <w:color w:val="auto"/>
        </w:rPr>
      </w:pPr>
    </w:p>
    <w:p>
      <w:pPr>
        <w:ind w:left="1300" w:right="160" w:hanging="644"/>
        <w:spacing w:after="0" w:line="313" w:lineRule="auto"/>
        <w:tabs>
          <w:tab w:leader="none" w:pos="1310" w:val="left"/>
        </w:tabs>
        <w:numPr>
          <w:ilvl w:val="0"/>
          <w:numId w:val="1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Borrower shall repay or pay the Lender on the date specified by the Lender (being no earlier than the last day of any applicable grace period permitted by law) the outstanding Loan together with the interest accrued up to the repayment or, as the case may be, payment date</w:t>
      </w:r>
    </w:p>
    <w:p>
      <w:pPr>
        <w:sectPr>
          <w:pgSz w:w="11900" w:h="16889" w:orient="portrait"/>
          <w:cols w:equalWidth="0" w:num="1">
            <w:col w:w="11400"/>
          </w:cols>
          <w:pgMar w:left="240" w:top="119" w:right="259" w:bottom="0" w:gutter="0" w:footer="0" w:header="0"/>
        </w:sectPr>
      </w:pPr>
    </w:p>
    <w:bookmarkStart w:id="145" w:name="page146"/>
    <w:bookmarkEnd w:id="145"/>
    <w:p>
      <w:pPr>
        <w:spacing w:after="0" w:line="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 all other amounts accrued under the Finance Documents.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7"/>
          <w:szCs w:val="17"/>
          <w:b w:val="1"/>
          <w:bCs w:val="1"/>
          <w:color w:val="auto"/>
        </w:rPr>
        <w:t>Voluntary prepayment of Loan</w:t>
      </w:r>
    </w:p>
    <w:p>
      <w:pPr>
        <w:spacing w:after="0" w:line="229"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The Borrower may, if it gives the Lender not less than five (5) Business Days’ (or such shorter period as the Lender may agree) prior notice, prepay all or any portion of the Loan. When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40"/>
        <w:spacing w:after="0" w:line="282" w:lineRule="auto"/>
        <w:rPr>
          <w:sz w:val="20"/>
          <w:szCs w:val="20"/>
          <w:color w:val="auto"/>
        </w:rPr>
      </w:pPr>
      <w:r>
        <w:rPr>
          <w:rFonts w:ascii="Times New Roman" w:cs="Times New Roman" w:eastAsia="Times New Roman" w:hAnsi="Times New Roman"/>
          <w:sz w:val="18"/>
          <w:szCs w:val="18"/>
          <w:color w:val="auto"/>
        </w:rPr>
        <w:t>the Borrower makes the prepayment of the Loan, the Borrower shall also pay the interest accrued on the amount prepaid to the Lender at the same time.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8"/>
          <w:szCs w:val="18"/>
          <w:b w:val="1"/>
          <w:bCs w:val="1"/>
          <w:color w:val="auto"/>
        </w:rPr>
        <w:t>Restrictions</w:t>
      </w:r>
    </w:p>
    <w:p>
      <w:pPr>
        <w:spacing w:after="0" w:line="229" w:lineRule="exact"/>
        <w:rPr>
          <w:sz w:val="20"/>
          <w:szCs w:val="20"/>
          <w:color w:val="auto"/>
        </w:rPr>
      </w:pPr>
    </w:p>
    <w:p>
      <w:pPr>
        <w:ind w:left="1400" w:right="220" w:hanging="744"/>
        <w:spacing w:after="0" w:line="282" w:lineRule="auto"/>
        <w:tabs>
          <w:tab w:leader="none" w:pos="1410"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notice of cancellation or mandatory prepayment given by the Lender under this Clause 8 shall specify the date or dates upon which the relevant cancellation or mandatory prepayment is to be made and the amount of that cancellation or mandatory prepayment.</w:t>
      </w:r>
    </w:p>
    <w:p>
      <w:pPr>
        <w:spacing w:after="0" w:line="161"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Borrower may not reborrow any part of the Facility which is prepaid.</w:t>
      </w:r>
    </w:p>
    <w:p>
      <w:pPr>
        <w:spacing w:after="0" w:line="225" w:lineRule="exact"/>
        <w:rPr>
          <w:rFonts w:ascii="Times New Roman" w:cs="Times New Roman" w:eastAsia="Times New Roman" w:hAnsi="Times New Roman"/>
          <w:sz w:val="18"/>
          <w:szCs w:val="18"/>
          <w:b w:val="1"/>
          <w:bCs w:val="1"/>
          <w:color w:val="auto"/>
        </w:rPr>
      </w:pPr>
    </w:p>
    <w:p>
      <w:pPr>
        <w:ind w:left="1400" w:hanging="744"/>
        <w:spacing w:after="0" w:line="282" w:lineRule="auto"/>
        <w:tabs>
          <w:tab w:leader="none" w:pos="1413"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Borrower shall not repay or prepay all or any part of the Loan or cancel all or any part of the Available Facility except at the times and in the manner expressly provided for in this Agreement.</w:t>
      </w:r>
    </w:p>
    <w:p>
      <w:pPr>
        <w:spacing w:after="0" w:line="161"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amount of the Available Facility cancelled under this Agreement may be subsequently reinstated.</w:t>
      </w:r>
    </w:p>
    <w:p>
      <w:pPr>
        <w:spacing w:after="0" w:line="221" w:lineRule="exact"/>
        <w:rPr>
          <w:sz w:val="20"/>
          <w:szCs w:val="20"/>
          <w:color w:val="auto"/>
        </w:rPr>
      </w:pPr>
    </w:p>
    <w:p>
      <w:pPr>
        <w:ind w:left="660" w:hanging="652"/>
        <w:spacing w:after="0"/>
        <w:tabs>
          <w:tab w:leader="none" w:pos="66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GROSS UP AND INDEMNITIES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9.1</w:t>
      </w:r>
      <w:r>
        <w:rPr>
          <w:rFonts w:ascii="Times New Roman" w:cs="Times New Roman" w:eastAsia="Times New Roman" w:hAnsi="Times New Roman"/>
          <w:sz w:val="17"/>
          <w:szCs w:val="17"/>
          <w:b w:val="1"/>
          <w:bCs w:val="1"/>
          <w:color w:val="auto"/>
        </w:rPr>
        <w:t>Definitions</w:t>
      </w:r>
    </w:p>
    <w:p>
      <w:pPr>
        <w:spacing w:after="0" w:line="229" w:lineRule="exact"/>
        <w:rPr>
          <w:rFonts w:ascii="Times New Roman" w:cs="Times New Roman" w:eastAsia="Times New Roman" w:hAnsi="Times New Roman"/>
          <w:sz w:val="18"/>
          <w:szCs w:val="18"/>
          <w:b w:val="1"/>
          <w:bCs w:val="1"/>
          <w:color w:val="auto"/>
        </w:rPr>
      </w:pPr>
    </w:p>
    <w:p>
      <w:pPr>
        <w:ind w:left="1400" w:hanging="744"/>
        <w:spacing w:after="0"/>
        <w:tabs>
          <w:tab w:leader="none" w:pos="1400" w:val="left"/>
        </w:tabs>
        <w:numPr>
          <w:ilvl w:val="1"/>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this Clause 9:</w:t>
      </w:r>
    </w:p>
    <w:p>
      <w:pPr>
        <w:spacing w:after="0" w:line="221" w:lineRule="exact"/>
        <w:rPr>
          <w:rFonts w:ascii="Times New Roman" w:cs="Times New Roman" w:eastAsia="Times New Roman" w:hAnsi="Times New Roman"/>
          <w:sz w:val="18"/>
          <w:szCs w:val="18"/>
          <w:b w:val="1"/>
          <w:bCs w:val="1"/>
          <w:color w:val="auto"/>
        </w:rPr>
      </w:pPr>
    </w:p>
    <w:p>
      <w:pPr>
        <w:ind w:left="1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Credit</w:t>
      </w:r>
      <w:r>
        <w:rPr>
          <w:rFonts w:ascii="Times New Roman" w:cs="Times New Roman" w:eastAsia="Times New Roman" w:hAnsi="Times New Roman"/>
          <w:sz w:val="18"/>
          <w:szCs w:val="18"/>
          <w:color w:val="auto"/>
        </w:rPr>
        <w:t>” means a credit against, relief or remission for, or repayment of any Tax.</w:t>
      </w:r>
    </w:p>
    <w:p>
      <w:pPr>
        <w:spacing w:after="0" w:line="225" w:lineRule="exact"/>
        <w:rPr>
          <w:rFonts w:ascii="Times New Roman" w:cs="Times New Roman" w:eastAsia="Times New Roman" w:hAnsi="Times New Roman"/>
          <w:sz w:val="18"/>
          <w:szCs w:val="18"/>
          <w:b w:val="1"/>
          <w:bCs w:val="1"/>
          <w:color w:val="auto"/>
        </w:rPr>
      </w:pPr>
    </w:p>
    <w:p>
      <w:pPr>
        <w:ind w:left="1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Deduction</w:t>
      </w:r>
      <w:r>
        <w:rPr>
          <w:rFonts w:ascii="Times New Roman" w:cs="Times New Roman" w:eastAsia="Times New Roman" w:hAnsi="Times New Roman"/>
          <w:sz w:val="18"/>
          <w:szCs w:val="18"/>
          <w:color w:val="auto"/>
        </w:rPr>
        <w:t>” means a deduction or withholding for or on account of Tax from a payment under a Finance Document.</w:t>
      </w:r>
    </w:p>
    <w:p>
      <w:pPr>
        <w:spacing w:after="0" w:line="225" w:lineRule="exact"/>
        <w:rPr>
          <w:rFonts w:ascii="Times New Roman" w:cs="Times New Roman" w:eastAsia="Times New Roman" w:hAnsi="Times New Roman"/>
          <w:sz w:val="18"/>
          <w:szCs w:val="18"/>
          <w:b w:val="1"/>
          <w:bCs w:val="1"/>
          <w:color w:val="auto"/>
        </w:rPr>
      </w:pPr>
    </w:p>
    <w:p>
      <w:pPr>
        <w:ind w:left="1420" w:right="4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Payment</w:t>
      </w:r>
      <w:r>
        <w:rPr>
          <w:rFonts w:ascii="Times New Roman" w:cs="Times New Roman" w:eastAsia="Times New Roman" w:hAnsi="Times New Roman"/>
          <w:sz w:val="18"/>
          <w:szCs w:val="18"/>
          <w:color w:val="auto"/>
        </w:rPr>
        <w:t>” means an increased payment made by an Obligor to the Lender under Clause 9.2 (</w:t>
      </w:r>
      <w:r>
        <w:rPr>
          <w:rFonts w:ascii="Times New Roman" w:cs="Times New Roman" w:eastAsia="Times New Roman" w:hAnsi="Times New Roman"/>
          <w:sz w:val="18"/>
          <w:szCs w:val="18"/>
          <w:i w:val="1"/>
          <w:iCs w:val="1"/>
          <w:color w:val="auto"/>
        </w:rPr>
        <w:t>Tax gross-up</w:t>
      </w:r>
      <w:r>
        <w:rPr>
          <w:rFonts w:ascii="Times New Roman" w:cs="Times New Roman" w:eastAsia="Times New Roman" w:hAnsi="Times New Roman"/>
          <w:sz w:val="18"/>
          <w:szCs w:val="18"/>
          <w:color w:val="auto"/>
        </w:rPr>
        <w:t>) or a payment under Clause 9.3 (</w:t>
      </w: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b w:val="1"/>
          <w:bCs w:val="1"/>
          <w:color w:val="auto"/>
        </w:rPr>
      </w:pPr>
    </w:p>
    <w:p>
      <w:pPr>
        <w:ind w:left="1400" w:right="400" w:hanging="744"/>
        <w:spacing w:after="0" w:line="282" w:lineRule="auto"/>
        <w:tabs>
          <w:tab w:leader="none" w:pos="1420" w:val="left"/>
        </w:tabs>
        <w:numPr>
          <w:ilvl w:val="1"/>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a contrary indication appears, in this Clause 9 a reference to “determines” or “determined” means a determination made in the absolute discretion of the person making the determination.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7"/>
          <w:szCs w:val="17"/>
          <w:b w:val="1"/>
          <w:bCs w:val="1"/>
          <w:color w:val="auto"/>
        </w:rPr>
        <w:t>Tax gross-up</w:t>
      </w:r>
    </w:p>
    <w:p>
      <w:pPr>
        <w:spacing w:after="0" w:line="229" w:lineRule="exact"/>
        <w:rPr>
          <w:sz w:val="20"/>
          <w:szCs w:val="20"/>
          <w:color w:val="auto"/>
        </w:rPr>
      </w:pPr>
    </w:p>
    <w:p>
      <w:pPr>
        <w:jc w:val="both"/>
        <w:ind w:left="1400" w:right="160" w:hanging="744"/>
        <w:spacing w:after="0" w:line="281" w:lineRule="auto"/>
        <w:tabs>
          <w:tab w:leader="none" w:pos="1410" w:val="left"/>
        </w:tabs>
        <w:numPr>
          <w:ilvl w:val="0"/>
          <w:numId w:val="1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All payments to be made by an Obligor to the Lender under the Finance Documents shall be made free and clear of and without any Tax Deduction unless such Obligor is required to make a Tax Deduction, in which case the sum payable by such Obligor (in respect of which such Tax Deduction is required to be made) shall be increased to the extent necessary to ensure that the Lender receives a sum net of any deduction or withholding equal to the sum which it would have received had no such Tax Deduction been made or required to be made.</w:t>
      </w:r>
    </w:p>
    <w:p>
      <w:pPr>
        <w:spacing w:after="0" w:line="164" w:lineRule="exact"/>
        <w:rPr>
          <w:rFonts w:ascii="Times New Roman" w:cs="Times New Roman" w:eastAsia="Times New Roman" w:hAnsi="Times New Roman"/>
          <w:sz w:val="17"/>
          <w:szCs w:val="17"/>
          <w:b w:val="1"/>
          <w:bCs w:val="1"/>
          <w:color w:val="auto"/>
        </w:rPr>
      </w:pPr>
    </w:p>
    <w:p>
      <w:pPr>
        <w:ind w:left="1400" w:right="100" w:hanging="744"/>
        <w:spacing w:after="0" w:line="266" w:lineRule="auto"/>
        <w:tabs>
          <w:tab w:leader="none" w:pos="1420"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Borrower shall promptly upon becoming aware that an Obligor must make a Tax Deduction (or that there is any change in the rate or the basis of a Tax Deduction) notify the Lender accordingly. Similarly, the Lender shall notify the Borrower on becoming so aware in respect of a payment payable to the Lender.</w:t>
      </w:r>
    </w:p>
    <w:p>
      <w:pPr>
        <w:spacing w:after="0" w:line="176" w:lineRule="exact"/>
        <w:rPr>
          <w:rFonts w:ascii="Times New Roman" w:cs="Times New Roman" w:eastAsia="Times New Roman" w:hAnsi="Times New Roman"/>
          <w:sz w:val="18"/>
          <w:szCs w:val="18"/>
          <w:b w:val="1"/>
          <w:bCs w:val="1"/>
          <w:color w:val="auto"/>
        </w:rPr>
      </w:pPr>
    </w:p>
    <w:p>
      <w:pPr>
        <w:ind w:left="1400" w:right="260" w:hanging="744"/>
        <w:spacing w:after="0" w:line="282" w:lineRule="auto"/>
        <w:tabs>
          <w:tab w:leader="none" w:pos="1413"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 Obligor is required to make a Tax Deduction, that Obligor shall make that Tax Deduction and any payment required in connection with that Tax Deduction within the time allowed and in the minimum amount required by law.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0" w:right="140" w:hanging="744"/>
        <w:spacing w:after="0" w:line="266" w:lineRule="auto"/>
        <w:tabs>
          <w:tab w:leader="none" w:pos="1420"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Within thirty (30) days of making either a Tax Deduction or any payment required in connection with that Tax Deduction, the Obligor making that Tax Deduction shall deliver to the Lender entitled to the payment evidence reasonably satisfactory to the Lender that the Tax Deduction has been made or (as applicable) any appropriate payment paid to the relevant taxing authority.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7"/>
          <w:szCs w:val="17"/>
          <w:b w:val="1"/>
          <w:bCs w:val="1"/>
          <w:color w:val="auto"/>
        </w:rPr>
        <w:t>Tax indemnity</w:t>
      </w:r>
    </w:p>
    <w:p>
      <w:pPr>
        <w:spacing w:after="0" w:line="227" w:lineRule="exact"/>
        <w:rPr>
          <w:sz w:val="20"/>
          <w:szCs w:val="20"/>
          <w:color w:val="auto"/>
        </w:rPr>
      </w:pPr>
    </w:p>
    <w:p>
      <w:pPr>
        <w:ind w:left="1400" w:right="60" w:hanging="744"/>
        <w:spacing w:after="0" w:line="257" w:lineRule="auto"/>
        <w:tabs>
          <w:tab w:leader="none" w:pos="1410"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Without prejudice to Clause 9.2 (</w:t>
      </w:r>
      <w:r>
        <w:rPr>
          <w:rFonts w:ascii="Times New Roman" w:cs="Times New Roman" w:eastAsia="Times New Roman" w:hAnsi="Times New Roman"/>
          <w:sz w:val="18"/>
          <w:szCs w:val="18"/>
          <w:i w:val="1"/>
          <w:iCs w:val="1"/>
          <w:color w:val="auto"/>
        </w:rPr>
        <w:t>Tax gross-up</w:t>
      </w:r>
      <w:r>
        <w:rPr>
          <w:rFonts w:ascii="Times New Roman" w:cs="Times New Roman" w:eastAsia="Times New Roman" w:hAnsi="Times New Roman"/>
          <w:sz w:val="18"/>
          <w:szCs w:val="18"/>
          <w:color w:val="auto"/>
        </w:rPr>
        <w:t>), if the Lender is required to make any payment of or on account of Tax on or in relation to any sum received or receivable under the Finance Documents (including any sum deemed for purposes of Tax to be received or receivable by the Lender whether or not actually received or receivable) or if any liability in respect of any such payment is asserted, imposed, levied or assessed against the Lender, the Borrower shall, within three (3) Business Days of demand of the Lender, promptly indemnify the Lender which suffers a loss or liability as a result against such payment or liability, together with any interest, penalties, costs and expenses payable or incurred in connection therewith, provided that this Clause 9.3 shall not apply to:</w:t>
      </w:r>
    </w:p>
    <w:p>
      <w:pPr>
        <w:spacing w:after="0" w:line="184" w:lineRule="exact"/>
        <w:rPr>
          <w:rFonts w:ascii="Times New Roman" w:cs="Times New Roman" w:eastAsia="Times New Roman" w:hAnsi="Times New Roman"/>
          <w:sz w:val="18"/>
          <w:szCs w:val="18"/>
          <w:b w:val="1"/>
          <w:bCs w:val="1"/>
          <w:color w:val="auto"/>
        </w:rPr>
      </w:pPr>
    </w:p>
    <w:p>
      <w:pPr>
        <w:ind w:left="2040" w:hanging="658"/>
        <w:spacing w:after="0" w:line="266" w:lineRule="auto"/>
        <w:tabs>
          <w:tab w:leader="none" w:pos="2055"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imposed on and calculated by reference to the net income actually received or receivable by the Lender (but, for the avoidance of doubt, not including any sum deemed for purposes of Tax to be received or receivable by the Lender but not actually receivable) by the jurisdiction in which the Lender is incorporated; or</w:t>
      </w:r>
    </w:p>
    <w:p>
      <w:pPr>
        <w:sectPr>
          <w:pgSz w:w="11900" w:h="16919" w:orient="portrait"/>
          <w:cols w:equalWidth="0" w:num="1">
            <w:col w:w="11420"/>
          </w:cols>
          <w:pgMar w:left="240" w:top="121" w:right="239" w:bottom="0" w:gutter="0" w:footer="0" w:header="0"/>
        </w:sectPr>
      </w:pPr>
    </w:p>
    <w:bookmarkStart w:id="146" w:name="page147"/>
    <w:bookmarkEnd w:id="146"/>
    <w:p>
      <w:pPr>
        <w:ind w:left="2040" w:right="200" w:hanging="658"/>
        <w:spacing w:after="0" w:line="266" w:lineRule="auto"/>
        <w:tabs>
          <w:tab w:leader="none" w:pos="2065"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imposed on and calculated by reference to the net income of the Facility Office of the Lender actually received or receivable by the Lender (but, for the avoidance of doubt, not including any sum deemed for purposes of Tax to be received or receivable by the Lender but not actually receivable) by the jurisdiction in which its Facility Office is located.</w:t>
      </w:r>
    </w:p>
    <w:p>
      <w:pPr>
        <w:spacing w:after="0" w:line="176"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Lender intends to make a claim under sub-clause (a), it shall notify the Borrower of the event giving rise to the claim.</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9.4</w:t>
      </w:r>
      <w:r>
        <w:rPr>
          <w:sz w:val="20"/>
          <w:szCs w:val="20"/>
          <w:color w:val="auto"/>
        </w:rPr>
        <w:tab/>
      </w:r>
      <w:r>
        <w:rPr>
          <w:rFonts w:ascii="Times New Roman" w:cs="Times New Roman" w:eastAsia="Times New Roman" w:hAnsi="Times New Roman"/>
          <w:sz w:val="17"/>
          <w:szCs w:val="17"/>
          <w:b w:val="1"/>
          <w:bCs w:val="1"/>
          <w:color w:val="auto"/>
        </w:rPr>
        <w:t>Tax credit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 Obligor makes a Tax Payment and the Lender determines that:</w:t>
      </w:r>
    </w:p>
    <w:p>
      <w:pPr>
        <w:spacing w:after="0" w:line="225" w:lineRule="exact"/>
        <w:rPr>
          <w:sz w:val="20"/>
          <w:szCs w:val="20"/>
          <w:color w:val="auto"/>
        </w:rPr>
      </w:pPr>
    </w:p>
    <w:p>
      <w:pPr>
        <w:ind w:left="1400" w:hanging="744"/>
        <w:spacing w:after="0"/>
        <w:tabs>
          <w:tab w:leader="none" w:pos="140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Tax Credit is attributable to that Tax Payment; and</w:t>
      </w:r>
    </w:p>
    <w:p>
      <w:pPr>
        <w:spacing w:after="0" w:line="225"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Lender has obtained, utilised and retained that Tax Credit,</w:t>
      </w:r>
    </w:p>
    <w:p>
      <w:pPr>
        <w:spacing w:after="0" w:line="225" w:lineRule="exact"/>
        <w:rPr>
          <w:sz w:val="20"/>
          <w:szCs w:val="20"/>
          <w:color w:val="auto"/>
        </w:rPr>
      </w:pPr>
    </w:p>
    <w:p>
      <w:pPr>
        <w:ind w:left="660" w:right="340"/>
        <w:spacing w:after="0" w:line="282" w:lineRule="auto"/>
        <w:rPr>
          <w:sz w:val="20"/>
          <w:szCs w:val="20"/>
          <w:color w:val="auto"/>
        </w:rPr>
      </w:pPr>
      <w:r>
        <w:rPr>
          <w:rFonts w:ascii="Times New Roman" w:cs="Times New Roman" w:eastAsia="Times New Roman" w:hAnsi="Times New Roman"/>
          <w:sz w:val="18"/>
          <w:szCs w:val="18"/>
          <w:color w:val="auto"/>
        </w:rPr>
        <w:t>the Lender shall pay an amount to the Obligor which the Lender determines will leave it (after that payment) in the same after-Tax position as it would have been in had the Tax Payment not been required to be made by the Obligor.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9.5</w:t>
      </w:r>
      <w:r>
        <w:rPr>
          <w:sz w:val="20"/>
          <w:szCs w:val="20"/>
          <w:color w:val="auto"/>
        </w:rPr>
        <w:tab/>
      </w:r>
      <w:r>
        <w:rPr>
          <w:rFonts w:ascii="Times New Roman" w:cs="Times New Roman" w:eastAsia="Times New Roman" w:hAnsi="Times New Roman"/>
          <w:sz w:val="17"/>
          <w:szCs w:val="17"/>
          <w:b w:val="1"/>
          <w:bCs w:val="1"/>
          <w:color w:val="auto"/>
        </w:rPr>
        <w:t>Stamp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shall:</w:t>
      </w:r>
    </w:p>
    <w:p>
      <w:pPr>
        <w:spacing w:after="0" w:line="225" w:lineRule="exact"/>
        <w:rPr>
          <w:sz w:val="20"/>
          <w:szCs w:val="20"/>
          <w:color w:val="auto"/>
        </w:rPr>
      </w:pPr>
    </w:p>
    <w:p>
      <w:pPr>
        <w:ind w:left="1400" w:hanging="744"/>
        <w:spacing w:after="0"/>
        <w:tabs>
          <w:tab w:leader="none" w:pos="140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pay all stamp duty, registration and other similar Taxes payable in respect of any Finance Document, and</w:t>
      </w:r>
    </w:p>
    <w:p>
      <w:pPr>
        <w:spacing w:after="0" w:line="225" w:lineRule="exact"/>
        <w:rPr>
          <w:rFonts w:ascii="Times New Roman" w:cs="Times New Roman" w:eastAsia="Times New Roman" w:hAnsi="Times New Roman"/>
          <w:sz w:val="18"/>
          <w:szCs w:val="18"/>
          <w:b w:val="1"/>
          <w:bCs w:val="1"/>
          <w:color w:val="auto"/>
        </w:rPr>
      </w:pPr>
    </w:p>
    <w:p>
      <w:pPr>
        <w:ind w:left="1400" w:right="100" w:hanging="744"/>
        <w:spacing w:after="0" w:line="282" w:lineRule="auto"/>
        <w:tabs>
          <w:tab w:leader="none" w:pos="1422"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within three (3) Business Days of demand, indemnify the Lender against any cost, loss or liability that the Lender incurs in relation to all stamp duty, registration and other similar Taxes payable in respect of any Finance Document.</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9.6</w:t>
      </w:r>
      <w:r>
        <w:rPr>
          <w:sz w:val="20"/>
          <w:szCs w:val="20"/>
          <w:color w:val="auto"/>
        </w:rPr>
        <w:tab/>
      </w:r>
      <w:r>
        <w:rPr>
          <w:rFonts w:ascii="Times New Roman" w:cs="Times New Roman" w:eastAsia="Times New Roman" w:hAnsi="Times New Roman"/>
          <w:sz w:val="17"/>
          <w:szCs w:val="17"/>
          <w:b w:val="1"/>
          <w:bCs w:val="1"/>
          <w:color w:val="auto"/>
        </w:rPr>
        <w:t>Indirect tax</w:t>
      </w:r>
    </w:p>
    <w:p>
      <w:pPr>
        <w:spacing w:after="0" w:line="229" w:lineRule="exact"/>
        <w:rPr>
          <w:sz w:val="20"/>
          <w:szCs w:val="20"/>
          <w:color w:val="auto"/>
        </w:rPr>
      </w:pPr>
    </w:p>
    <w:p>
      <w:pPr>
        <w:jc w:val="both"/>
        <w:ind w:left="1400" w:hanging="744"/>
        <w:spacing w:after="0" w:line="261" w:lineRule="auto"/>
        <w:tabs>
          <w:tab w:leader="none" w:pos="1412" w:val="left"/>
        </w:tabs>
        <w:numPr>
          <w:ilvl w:val="1"/>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consideration expressed to be payable under a Finance Document by any Obligor to the Lender shall be deemed to be exclusive of any Indirect Tax. If any Indirect Tax is chargeable on any supply made by the Lender to any Obligor in connection with a Finance Document, that Obligor shall pay to the Lender (in addition to and at the same time as paying the consideration) an amount equal to the amount of the Indirect Tax.</w:t>
      </w:r>
    </w:p>
    <w:p>
      <w:pPr>
        <w:spacing w:after="0" w:line="180" w:lineRule="exact"/>
        <w:rPr>
          <w:rFonts w:ascii="Times New Roman" w:cs="Times New Roman" w:eastAsia="Times New Roman" w:hAnsi="Times New Roman"/>
          <w:sz w:val="18"/>
          <w:szCs w:val="18"/>
          <w:b w:val="1"/>
          <w:bCs w:val="1"/>
          <w:color w:val="auto"/>
        </w:rPr>
      </w:pPr>
    </w:p>
    <w:p>
      <w:pPr>
        <w:ind w:left="1400" w:right="240" w:hanging="744"/>
        <w:spacing w:after="0" w:line="266" w:lineRule="auto"/>
        <w:tabs>
          <w:tab w:leader="none" w:pos="1422" w:val="left"/>
        </w:tabs>
        <w:numPr>
          <w:ilvl w:val="1"/>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Where a Finance Document requires any Obligor to reimburse the Lender for any costs or expenses, that Obligor shall also at the same time pay and indemnify the Lender against all Indirect Tax incurred by the Lender in respect of the costs or expenses to the extent the Lender reasonably determines that it is not entitled to credit or repayment in respect of the Indirect Tax.</w:t>
      </w:r>
    </w:p>
    <w:p>
      <w:pPr>
        <w:spacing w:after="0" w:line="172"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INCREASED COSTS</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7"/>
          <w:szCs w:val="17"/>
          <w:b w:val="1"/>
          <w:bCs w:val="1"/>
          <w:color w:val="auto"/>
        </w:rPr>
        <w:t>Increased costs</w:t>
      </w:r>
    </w:p>
    <w:p>
      <w:pPr>
        <w:spacing w:after="0" w:line="227" w:lineRule="exact"/>
        <w:rPr>
          <w:sz w:val="20"/>
          <w:szCs w:val="20"/>
          <w:color w:val="auto"/>
        </w:rPr>
      </w:pPr>
    </w:p>
    <w:p>
      <w:pPr>
        <w:jc w:val="both"/>
        <w:ind w:left="1400" w:right="100" w:hanging="744"/>
        <w:spacing w:after="0" w:line="267" w:lineRule="auto"/>
        <w:tabs>
          <w:tab w:leader="none" w:pos="1412"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Clause 10.3 (</w:t>
      </w:r>
      <w:r>
        <w:rPr>
          <w:rFonts w:ascii="Times New Roman" w:cs="Times New Roman" w:eastAsia="Times New Roman" w:hAnsi="Times New Roman"/>
          <w:sz w:val="18"/>
          <w:szCs w:val="18"/>
          <w:i w:val="1"/>
          <w:iCs w:val="1"/>
          <w:color w:val="auto"/>
        </w:rPr>
        <w:t>Exceptions</w:t>
      </w:r>
      <w:r>
        <w:rPr>
          <w:rFonts w:ascii="Times New Roman" w:cs="Times New Roman" w:eastAsia="Times New Roman" w:hAnsi="Times New Roman"/>
          <w:sz w:val="18"/>
          <w:szCs w:val="18"/>
          <w:color w:val="auto"/>
        </w:rPr>
        <w:t>) the Borrower shall, within three (3) Business Days of a demand by the Lender, pay to the Lender the amount of any Increased Costs incurred by the Lender as a result of (A) any Fund Raising, (B) the introduction of or any change in (or in the interpretation, administration or application of) any law or regulation after the Execution Date and the compliance thereof.</w:t>
      </w:r>
    </w:p>
    <w:p>
      <w:pPr>
        <w:spacing w:after="0" w:line="171"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this Agreement “</w:t>
      </w:r>
      <w:r>
        <w:rPr>
          <w:rFonts w:ascii="Times New Roman" w:cs="Times New Roman" w:eastAsia="Times New Roman" w:hAnsi="Times New Roman"/>
          <w:sz w:val="18"/>
          <w:szCs w:val="18"/>
          <w:b w:val="1"/>
          <w:bCs w:val="1"/>
          <w:color w:val="auto"/>
        </w:rPr>
        <w:t>Increased Costs</w:t>
      </w:r>
      <w:r>
        <w:rPr>
          <w:rFonts w:ascii="Times New Roman" w:cs="Times New Roman" w:eastAsia="Times New Roman" w:hAnsi="Times New Roman"/>
          <w:sz w:val="18"/>
          <w:szCs w:val="18"/>
          <w:color w:val="auto"/>
        </w:rPr>
        <w:t>” means:</w:t>
      </w:r>
    </w:p>
    <w:p>
      <w:pPr>
        <w:spacing w:after="0" w:line="229" w:lineRule="exact"/>
        <w:rPr>
          <w:rFonts w:ascii="Times New Roman" w:cs="Times New Roman" w:eastAsia="Times New Roman" w:hAnsi="Times New Roman"/>
          <w:sz w:val="18"/>
          <w:szCs w:val="18"/>
          <w:b w:val="1"/>
          <w:bCs w:val="1"/>
          <w:color w:val="auto"/>
        </w:rPr>
      </w:pPr>
    </w:p>
    <w:p>
      <w:pPr>
        <w:ind w:left="2120" w:right="240" w:hanging="728"/>
        <w:spacing w:after="0" w:line="282" w:lineRule="auto"/>
        <w:tabs>
          <w:tab w:leader="none" w:pos="2148"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rate of return from the Facility or on the Lender’s (or its Affiliate’s) overall capital (including as a result of any reduction in the rate of return on capital brought about by more capital being required to be allocated by the Lender);</w:t>
      </w:r>
    </w:p>
    <w:p>
      <w:pPr>
        <w:spacing w:after="0" w:line="161" w:lineRule="exact"/>
        <w:rPr>
          <w:rFonts w:ascii="Times New Roman" w:cs="Times New Roman" w:eastAsia="Times New Roman" w:hAnsi="Times New Roman"/>
          <w:sz w:val="18"/>
          <w:szCs w:val="18"/>
          <w:color w:val="auto"/>
        </w:rPr>
      </w:pPr>
    </w:p>
    <w:p>
      <w:pPr>
        <w:ind w:left="2160" w:hanging="768"/>
        <w:spacing w:after="0"/>
        <w:tabs>
          <w:tab w:leader="none" w:pos="216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or increased cost as a result of, among others, any Fund Raising; or</w:t>
      </w:r>
    </w:p>
    <w:p>
      <w:pPr>
        <w:spacing w:after="0" w:line="225" w:lineRule="exact"/>
        <w:rPr>
          <w:rFonts w:ascii="Times New Roman" w:cs="Times New Roman" w:eastAsia="Times New Roman" w:hAnsi="Times New Roman"/>
          <w:sz w:val="18"/>
          <w:szCs w:val="18"/>
          <w:color w:val="auto"/>
        </w:rPr>
      </w:pPr>
    </w:p>
    <w:p>
      <w:pPr>
        <w:ind w:left="2160" w:hanging="768"/>
        <w:spacing w:after="0"/>
        <w:tabs>
          <w:tab w:leader="none" w:pos="216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of any amount due and payable under any Finance Document,</w:t>
      </w:r>
    </w:p>
    <w:p>
      <w:pPr>
        <w:spacing w:after="0" w:line="225" w:lineRule="exact"/>
        <w:rPr>
          <w:sz w:val="20"/>
          <w:szCs w:val="20"/>
          <w:color w:val="auto"/>
        </w:rPr>
      </w:pPr>
    </w:p>
    <w:p>
      <w:pPr>
        <w:ind w:left="1420" w:right="140"/>
        <w:spacing w:after="0" w:line="282" w:lineRule="auto"/>
        <w:rPr>
          <w:sz w:val="20"/>
          <w:szCs w:val="20"/>
          <w:color w:val="auto"/>
        </w:rPr>
      </w:pPr>
      <w:r>
        <w:rPr>
          <w:rFonts w:ascii="Times New Roman" w:cs="Times New Roman" w:eastAsia="Times New Roman" w:hAnsi="Times New Roman"/>
          <w:sz w:val="18"/>
          <w:szCs w:val="18"/>
          <w:color w:val="auto"/>
        </w:rPr>
        <w:t>which is incurred or suffered by the Lender or any of its Affiliates to the extent that it is attributable to the Lender having entered into or funding or performing its obligations under any Finance Document.</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8"/>
          <w:szCs w:val="18"/>
          <w:b w:val="1"/>
          <w:bCs w:val="1"/>
          <w:color w:val="auto"/>
        </w:rPr>
        <w:t>Increased cost claims</w:t>
      </w:r>
    </w:p>
    <w:p>
      <w:pPr>
        <w:spacing w:after="0" w:line="227" w:lineRule="exact"/>
        <w:rPr>
          <w:sz w:val="20"/>
          <w:szCs w:val="20"/>
          <w:color w:val="auto"/>
        </w:rPr>
      </w:pPr>
    </w:p>
    <w:p>
      <w:pPr>
        <w:ind w:left="1400" w:right="40" w:hanging="744"/>
        <w:spacing w:after="0" w:line="284" w:lineRule="auto"/>
        <w:tabs>
          <w:tab w:leader="none" w:pos="1412"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Lender intends to make a claim pursuant to Clause 10.1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it shall notify the Borrower of the event giving rise to the claim.</w:t>
      </w:r>
    </w:p>
    <w:p>
      <w:pPr>
        <w:spacing w:after="0" w:line="160" w:lineRule="exact"/>
        <w:rPr>
          <w:rFonts w:ascii="Times New Roman" w:cs="Times New Roman" w:eastAsia="Times New Roman" w:hAnsi="Times New Roman"/>
          <w:sz w:val="18"/>
          <w:szCs w:val="18"/>
          <w:b w:val="1"/>
          <w:bCs w:val="1"/>
          <w:color w:val="auto"/>
        </w:rPr>
      </w:pPr>
    </w:p>
    <w:p>
      <w:pPr>
        <w:ind w:left="1400" w:right="360" w:hanging="744"/>
        <w:spacing w:after="0" w:line="282" w:lineRule="auto"/>
        <w:tabs>
          <w:tab w:leader="none" w:pos="1422"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Lender shall, as soon as practicable after a demand by the Borrower, provide a certificate confirming the amount of its Increased Costs.</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7"/>
          <w:szCs w:val="17"/>
          <w:b w:val="1"/>
          <w:bCs w:val="1"/>
          <w:color w:val="auto"/>
        </w:rPr>
        <w:t>Exceptions</w:t>
      </w:r>
    </w:p>
    <w:p>
      <w:pPr>
        <w:spacing w:after="0" w:line="227" w:lineRule="exact"/>
        <w:rPr>
          <w:sz w:val="20"/>
          <w:szCs w:val="20"/>
          <w:color w:val="auto"/>
        </w:rPr>
      </w:pPr>
    </w:p>
    <w:p>
      <w:pPr>
        <w:ind w:left="1400" w:hanging="744"/>
        <w:spacing w:after="0"/>
        <w:tabs>
          <w:tab w:leader="none" w:pos="1400"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Clause 10.1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does not apply to the extent any Increased Cost is:</w:t>
      </w:r>
    </w:p>
    <w:p>
      <w:pPr>
        <w:spacing w:after="0" w:line="227" w:lineRule="exact"/>
        <w:rPr>
          <w:rFonts w:ascii="Times New Roman" w:cs="Times New Roman" w:eastAsia="Times New Roman" w:hAnsi="Times New Roman"/>
          <w:sz w:val="18"/>
          <w:szCs w:val="18"/>
          <w:b w:val="1"/>
          <w:bCs w:val="1"/>
          <w:color w:val="auto"/>
        </w:rPr>
      </w:pPr>
    </w:p>
    <w:p>
      <w:pPr>
        <w:ind w:left="2140" w:hanging="758"/>
        <w:spacing w:after="0"/>
        <w:tabs>
          <w:tab w:leader="none" w:pos="214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to a Tax Deduction required by law to be made by an Obligor; or</w:t>
      </w:r>
    </w:p>
    <w:p>
      <w:pPr>
        <w:sectPr>
          <w:pgSz w:w="11900" w:h="16838" w:orient="portrait"/>
          <w:cols w:equalWidth="0" w:num="1">
            <w:col w:w="11360"/>
          </w:cols>
          <w:pgMar w:left="240" w:top="337" w:right="299" w:bottom="0" w:gutter="0" w:footer="0" w:header="0"/>
        </w:sectPr>
      </w:pPr>
    </w:p>
    <w:bookmarkStart w:id="147" w:name="page148"/>
    <w:bookmarkEnd w:id="147"/>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120" w:right="40" w:hanging="738"/>
        <w:spacing w:after="0" w:line="284" w:lineRule="auto"/>
        <w:tabs>
          <w:tab w:leader="none" w:pos="2147" w:val="left"/>
        </w:tabs>
        <w:numPr>
          <w:ilvl w:val="2"/>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compensated for by Clause 9.3 (</w:t>
      </w: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 (or would have been compensated for under Clause 9.3 (</w:t>
      </w: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 but was not so compensated solely because the exclusion in sub-clause (a) applied).</w:t>
      </w:r>
    </w:p>
    <w:p>
      <w:pPr>
        <w:spacing w:after="0" w:line="158"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1"/>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this Clause 10.3, a reference to a “Tax Deduction” has the same meaning given to the term in Clause 9.1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b w:val="1"/>
          <w:bCs w:val="1"/>
          <w:color w:val="auto"/>
        </w:rPr>
      </w:pPr>
    </w:p>
    <w:p>
      <w:pPr>
        <w:ind w:left="640" w:hanging="632"/>
        <w:spacing w:after="0"/>
        <w:tabs>
          <w:tab w:leader="none" w:pos="640"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MITIGATION BY THE LENDER</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11.1</w:t>
      </w:r>
      <w:r>
        <w:rPr>
          <w:sz w:val="20"/>
          <w:szCs w:val="20"/>
          <w:color w:val="auto"/>
        </w:rPr>
        <w:tab/>
      </w:r>
      <w:r>
        <w:rPr>
          <w:rFonts w:ascii="Times New Roman" w:cs="Times New Roman" w:eastAsia="Times New Roman" w:hAnsi="Times New Roman"/>
          <w:sz w:val="17"/>
          <w:szCs w:val="17"/>
          <w:b w:val="1"/>
          <w:bCs w:val="1"/>
          <w:color w:val="auto"/>
        </w:rPr>
        <w:t>Mitigation</w:t>
      </w:r>
    </w:p>
    <w:p>
      <w:pPr>
        <w:spacing w:after="0" w:line="229" w:lineRule="exact"/>
        <w:rPr>
          <w:sz w:val="20"/>
          <w:szCs w:val="20"/>
          <w:color w:val="auto"/>
        </w:rPr>
      </w:pPr>
    </w:p>
    <w:p>
      <w:pPr>
        <w:ind w:left="1400" w:right="60" w:hanging="744"/>
        <w:spacing w:after="0" w:line="258" w:lineRule="auto"/>
        <w:tabs>
          <w:tab w:leader="none" w:pos="1410" w:val="left"/>
        </w:tabs>
        <w:numPr>
          <w:ilvl w:val="0"/>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Lender shall, in consultation with the Borrower, take all reasonable steps to mitigate any circumstances which arise and which would result in any amount becoming payable under or pursuant to, or cancelled pursuant to, any of Clause 8.1 (</w:t>
      </w:r>
      <w:r>
        <w:rPr>
          <w:rFonts w:ascii="Times New Roman" w:cs="Times New Roman" w:eastAsia="Times New Roman" w:hAnsi="Times New Roman"/>
          <w:sz w:val="18"/>
          <w:szCs w:val="18"/>
          <w:i w:val="1"/>
          <w:iCs w:val="1"/>
          <w:color w:val="auto"/>
        </w:rPr>
        <w:t>Illegality and Mandatory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Prepayment</w:t>
      </w:r>
      <w:r>
        <w:rPr>
          <w:rFonts w:ascii="Times New Roman" w:cs="Times New Roman" w:eastAsia="Times New Roman" w:hAnsi="Times New Roman"/>
          <w:sz w:val="18"/>
          <w:szCs w:val="18"/>
          <w:color w:val="auto"/>
        </w:rPr>
        <w:t>), Clause 9 (</w:t>
      </w:r>
      <w:r>
        <w:rPr>
          <w:rFonts w:ascii="Times New Roman" w:cs="Times New Roman" w:eastAsia="Times New Roman" w:hAnsi="Times New Roman"/>
          <w:sz w:val="18"/>
          <w:szCs w:val="18"/>
          <w:i w:val="1"/>
          <w:iCs w:val="1"/>
          <w:color w:val="auto"/>
        </w:rPr>
        <w:t>Tax gross-up and indemnities</w:t>
      </w:r>
      <w:r>
        <w:rPr>
          <w:rFonts w:ascii="Times New Roman" w:cs="Times New Roman" w:eastAsia="Times New Roman" w:hAnsi="Times New Roman"/>
          <w:sz w:val="18"/>
          <w:szCs w:val="18"/>
          <w:color w:val="auto"/>
        </w:rPr>
        <w:t>) or Clause 10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including transferring its rights and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Finance Documents to another Affiliate or Facility Office in relation to any circumstances which arise following the Execution Date.</w:t>
      </w:r>
    </w:p>
    <w:p>
      <w:pPr>
        <w:spacing w:after="0" w:line="183"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Sub-clause (a) above does not in any way limit the obligations of any Obligor under the Finance Documents.</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11.2</w:t>
      </w:r>
      <w:r>
        <w:rPr>
          <w:sz w:val="20"/>
          <w:szCs w:val="20"/>
          <w:color w:val="auto"/>
        </w:rPr>
        <w:tab/>
      </w:r>
      <w:r>
        <w:rPr>
          <w:rFonts w:ascii="Times New Roman" w:cs="Times New Roman" w:eastAsia="Times New Roman" w:hAnsi="Times New Roman"/>
          <w:sz w:val="17"/>
          <w:szCs w:val="17"/>
          <w:b w:val="1"/>
          <w:bCs w:val="1"/>
          <w:color w:val="auto"/>
        </w:rPr>
        <w:t>Limitation of liability</w:t>
      </w:r>
    </w:p>
    <w:p>
      <w:pPr>
        <w:spacing w:after="0" w:line="229" w:lineRule="exact"/>
        <w:rPr>
          <w:sz w:val="20"/>
          <w:szCs w:val="20"/>
          <w:color w:val="auto"/>
        </w:rPr>
      </w:pPr>
    </w:p>
    <w:p>
      <w:pPr>
        <w:ind w:left="1400" w:right="60" w:hanging="744"/>
        <w:spacing w:after="0" w:line="282" w:lineRule="auto"/>
        <w:tabs>
          <w:tab w:leader="none" w:pos="1410"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Borrower shall promptly indemnify the Lender for all costs and expenses incurred by the Lender as a result of steps taken by it under Clause 11.1 (</w:t>
      </w:r>
      <w:r>
        <w:rPr>
          <w:rFonts w:ascii="Times New Roman" w:cs="Times New Roman" w:eastAsia="Times New Roman" w:hAnsi="Times New Roman"/>
          <w:sz w:val="18"/>
          <w:szCs w:val="18"/>
          <w:i w:val="1"/>
          <w:iCs w:val="1"/>
          <w:color w:val="auto"/>
        </w:rPr>
        <w:t>Mitigation</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b w:val="1"/>
          <w:bCs w:val="1"/>
          <w:color w:val="auto"/>
        </w:rPr>
      </w:pPr>
    </w:p>
    <w:p>
      <w:pPr>
        <w:ind w:left="1400" w:hanging="744"/>
        <w:spacing w:after="0" w:line="284" w:lineRule="auto"/>
        <w:tabs>
          <w:tab w:leader="none" w:pos="1420"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Lender is not obliged to take any steps under Clause 11.1 (</w:t>
      </w:r>
      <w:r>
        <w:rPr>
          <w:rFonts w:ascii="Times New Roman" w:cs="Times New Roman" w:eastAsia="Times New Roman" w:hAnsi="Times New Roman"/>
          <w:sz w:val="18"/>
          <w:szCs w:val="18"/>
          <w:i w:val="1"/>
          <w:iCs w:val="1"/>
          <w:color w:val="auto"/>
        </w:rPr>
        <w:t>Mitigation</w:t>
      </w:r>
      <w:r>
        <w:rPr>
          <w:rFonts w:ascii="Times New Roman" w:cs="Times New Roman" w:eastAsia="Times New Roman" w:hAnsi="Times New Roman"/>
          <w:sz w:val="18"/>
          <w:szCs w:val="18"/>
          <w:color w:val="auto"/>
        </w:rPr>
        <w:t>) if, in the opinion of the Lender, to do so might be prejudicial to it.</w:t>
      </w:r>
    </w:p>
    <w:p>
      <w:pPr>
        <w:spacing w:after="0" w:line="1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11.3</w:t>
      </w:r>
      <w:r>
        <w:rPr>
          <w:sz w:val="20"/>
          <w:szCs w:val="20"/>
          <w:color w:val="auto"/>
        </w:rPr>
        <w:tab/>
      </w:r>
      <w:r>
        <w:rPr>
          <w:rFonts w:ascii="Times New Roman" w:cs="Times New Roman" w:eastAsia="Times New Roman" w:hAnsi="Times New Roman"/>
          <w:sz w:val="17"/>
          <w:szCs w:val="17"/>
          <w:b w:val="1"/>
          <w:bCs w:val="1"/>
          <w:color w:val="auto"/>
        </w:rPr>
        <w:t>Conduct of business by the Lender</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 provision of this Agreement will:</w:t>
      </w:r>
    </w:p>
    <w:p>
      <w:pPr>
        <w:spacing w:after="0" w:line="225" w:lineRule="exact"/>
        <w:rPr>
          <w:sz w:val="20"/>
          <w:szCs w:val="20"/>
          <w:color w:val="auto"/>
        </w:rPr>
      </w:pPr>
    </w:p>
    <w:p>
      <w:pPr>
        <w:ind w:left="1400" w:hanging="744"/>
        <w:spacing w:after="0"/>
        <w:tabs>
          <w:tab w:leader="none" w:pos="1400" w:val="left"/>
        </w:tabs>
        <w:numPr>
          <w:ilvl w:val="1"/>
          <w:numId w:val="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interfere with the right of the Lender to arrange its affairs (tax or otherwise) in whatever manner it thinks fit;</w:t>
      </w:r>
    </w:p>
    <w:p>
      <w:pPr>
        <w:spacing w:after="0" w:line="225" w:lineRule="exact"/>
        <w:rPr>
          <w:rFonts w:ascii="Times New Roman" w:cs="Times New Roman" w:eastAsia="Times New Roman" w:hAnsi="Times New Roman"/>
          <w:sz w:val="18"/>
          <w:szCs w:val="18"/>
          <w:b w:val="1"/>
          <w:bCs w:val="1"/>
          <w:color w:val="auto"/>
        </w:rPr>
      </w:pPr>
    </w:p>
    <w:p>
      <w:pPr>
        <w:ind w:left="1400" w:right="200" w:hanging="744"/>
        <w:spacing w:after="0" w:line="282" w:lineRule="auto"/>
        <w:tabs>
          <w:tab w:leader="none" w:pos="1420" w:val="left"/>
        </w:tabs>
        <w:numPr>
          <w:ilvl w:val="1"/>
          <w:numId w:val="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oblige the Lender to investigate or claim any credit, relief, remission or repayment available to it or the extent, order and manner of any claim; or</w:t>
      </w:r>
    </w:p>
    <w:p>
      <w:pPr>
        <w:spacing w:after="0" w:line="161" w:lineRule="exact"/>
        <w:rPr>
          <w:rFonts w:ascii="Times New Roman" w:cs="Times New Roman" w:eastAsia="Times New Roman" w:hAnsi="Times New Roman"/>
          <w:sz w:val="18"/>
          <w:szCs w:val="18"/>
          <w:b w:val="1"/>
          <w:bCs w:val="1"/>
          <w:color w:val="auto"/>
        </w:rPr>
      </w:pPr>
    </w:p>
    <w:p>
      <w:pPr>
        <w:ind w:left="1400" w:right="80" w:hanging="744"/>
        <w:spacing w:after="0" w:line="282" w:lineRule="auto"/>
        <w:tabs>
          <w:tab w:leader="none" w:pos="1413" w:val="left"/>
        </w:tabs>
        <w:numPr>
          <w:ilvl w:val="1"/>
          <w:numId w:val="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oblige the Lender to disclose any information relating to its affairs (tax, foreign exchange or otherwise) or any computations in respect of Tax.</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INDEMNITIES</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12.1</w:t>
      </w:r>
      <w:r>
        <w:rPr>
          <w:sz w:val="20"/>
          <w:szCs w:val="20"/>
          <w:color w:val="auto"/>
        </w:rPr>
        <w:tab/>
      </w:r>
      <w:r>
        <w:rPr>
          <w:rFonts w:ascii="Times New Roman" w:cs="Times New Roman" w:eastAsia="Times New Roman" w:hAnsi="Times New Roman"/>
          <w:sz w:val="17"/>
          <w:szCs w:val="17"/>
          <w:b w:val="1"/>
          <w:bCs w:val="1"/>
          <w:color w:val="auto"/>
        </w:rPr>
        <w:t>Currency indemnity</w:t>
      </w:r>
    </w:p>
    <w:p>
      <w:pPr>
        <w:spacing w:after="0" w:line="225" w:lineRule="exact"/>
        <w:rPr>
          <w:sz w:val="20"/>
          <w:szCs w:val="20"/>
          <w:color w:val="auto"/>
        </w:rPr>
      </w:pPr>
    </w:p>
    <w:p>
      <w:pPr>
        <w:ind w:left="1400" w:right="100" w:hanging="744"/>
        <w:spacing w:after="0" w:line="268" w:lineRule="auto"/>
        <w:tabs>
          <w:tab w:leader="none" w:pos="1410" w:val="left"/>
        </w:tabs>
        <w:numPr>
          <w:ilvl w:val="0"/>
          <w:numId w:val="2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sum due from an Obligor under the Finance Documents (a “</w:t>
      </w:r>
      <w:r>
        <w:rPr>
          <w:rFonts w:ascii="Times New Roman" w:cs="Times New Roman" w:eastAsia="Times New Roman" w:hAnsi="Times New Roman"/>
          <w:sz w:val="18"/>
          <w:szCs w:val="18"/>
          <w:b w:val="1"/>
          <w:bCs w:val="1"/>
          <w:color w:val="auto"/>
        </w:rPr>
        <w:t>Sum</w:t>
      </w:r>
      <w:r>
        <w:rPr>
          <w:rFonts w:ascii="Times New Roman" w:cs="Times New Roman" w:eastAsia="Times New Roman" w:hAnsi="Times New Roman"/>
          <w:sz w:val="18"/>
          <w:szCs w:val="18"/>
          <w:color w:val="auto"/>
        </w:rPr>
        <w:t>”), or any order, judgment or award given or made in relation to a Sum, has to be converted from the currency (the “</w:t>
      </w:r>
      <w:r>
        <w:rPr>
          <w:rFonts w:ascii="Times New Roman" w:cs="Times New Roman" w:eastAsia="Times New Roman" w:hAnsi="Times New Roman"/>
          <w:sz w:val="18"/>
          <w:szCs w:val="18"/>
          <w:b w:val="1"/>
          <w:bCs w:val="1"/>
          <w:color w:val="auto"/>
        </w:rPr>
        <w:t>First Currency</w:t>
      </w:r>
      <w:r>
        <w:rPr>
          <w:rFonts w:ascii="Times New Roman" w:cs="Times New Roman" w:eastAsia="Times New Roman" w:hAnsi="Times New Roman"/>
          <w:sz w:val="18"/>
          <w:szCs w:val="18"/>
          <w:color w:val="auto"/>
        </w:rPr>
        <w:t>”) in which that Sum is payable into another currency (the “</w:t>
      </w: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Currency</w:t>
      </w:r>
      <w:r>
        <w:rPr>
          <w:rFonts w:ascii="Times New Roman" w:cs="Times New Roman" w:eastAsia="Times New Roman" w:hAnsi="Times New Roman"/>
          <w:sz w:val="18"/>
          <w:szCs w:val="18"/>
          <w:color w:val="auto"/>
        </w:rPr>
        <w:t>”) for the purpose of:</w:t>
      </w:r>
    </w:p>
    <w:p>
      <w:pPr>
        <w:spacing w:after="0" w:line="174" w:lineRule="exact"/>
        <w:rPr>
          <w:rFonts w:ascii="Times New Roman" w:cs="Times New Roman" w:eastAsia="Times New Roman" w:hAnsi="Times New Roman"/>
          <w:sz w:val="18"/>
          <w:szCs w:val="18"/>
          <w:b w:val="1"/>
          <w:bCs w:val="1"/>
          <w:color w:val="auto"/>
        </w:rPr>
      </w:pPr>
    </w:p>
    <w:p>
      <w:pPr>
        <w:ind w:left="2140" w:hanging="745"/>
        <w:spacing w:after="0"/>
        <w:tabs>
          <w:tab w:leader="none" w:pos="214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or filing a claim or proof against that Obligor; or</w:t>
      </w:r>
    </w:p>
    <w:p>
      <w:pPr>
        <w:spacing w:after="0" w:line="225" w:lineRule="exact"/>
        <w:rPr>
          <w:rFonts w:ascii="Times New Roman" w:cs="Times New Roman" w:eastAsia="Times New Roman" w:hAnsi="Times New Roman"/>
          <w:sz w:val="18"/>
          <w:szCs w:val="18"/>
          <w:color w:val="auto"/>
        </w:rPr>
      </w:pPr>
    </w:p>
    <w:p>
      <w:pPr>
        <w:ind w:left="2140" w:hanging="745"/>
        <w:spacing w:after="0"/>
        <w:tabs>
          <w:tab w:leader="none" w:pos="214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or enforcing an order, judgment or award in relation to any litigation or arbitration proceedings,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20"/>
        <w:spacing w:after="0" w:line="261" w:lineRule="auto"/>
        <w:rPr>
          <w:sz w:val="20"/>
          <w:szCs w:val="20"/>
          <w:color w:val="auto"/>
        </w:rPr>
      </w:pPr>
      <w:r>
        <w:rPr>
          <w:rFonts w:ascii="Times New Roman" w:cs="Times New Roman" w:eastAsia="Times New Roman" w:hAnsi="Times New Roman"/>
          <w:sz w:val="18"/>
          <w:szCs w:val="18"/>
          <w:color w:val="auto"/>
        </w:rPr>
        <w:t>the Obligor shall, as an independent obligation, within three (3) Business Days of demand, indemnify the Lender to whom that Sum is due against any cost, loss or liability arising out of or as a result of the conversion including any discrepancy between (i) the rate of exchange used to convert that Sum from the First Currency into the Second Currency and (ii) the rate or rates of exchange available to that person at the time of its receipt of that Sum.</w:t>
      </w:r>
    </w:p>
    <w:p>
      <w:pPr>
        <w:spacing w:after="0" w:line="180" w:lineRule="exact"/>
        <w:rPr>
          <w:sz w:val="20"/>
          <w:szCs w:val="20"/>
          <w:color w:val="auto"/>
        </w:rPr>
      </w:pPr>
    </w:p>
    <w:p>
      <w:pPr>
        <w:ind w:left="1400" w:right="100" w:hanging="744"/>
        <w:spacing w:after="0" w:line="282" w:lineRule="auto"/>
        <w:tabs>
          <w:tab w:leader="none" w:pos="1420" w:val="left"/>
        </w:tabs>
        <w:numPr>
          <w:ilvl w:val="0"/>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Obligor waives any right it may have in any jurisdiction to pay any amount under the Finance Documents in a currency or currency unit other than that in which it is expressed to be payable.</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12.2</w:t>
      </w:r>
      <w:r>
        <w:rPr>
          <w:sz w:val="20"/>
          <w:szCs w:val="20"/>
          <w:color w:val="auto"/>
        </w:rPr>
        <w:tab/>
      </w:r>
      <w:r>
        <w:rPr>
          <w:rFonts w:ascii="Times New Roman" w:cs="Times New Roman" w:eastAsia="Times New Roman" w:hAnsi="Times New Roman"/>
          <w:sz w:val="18"/>
          <w:szCs w:val="18"/>
          <w:b w:val="1"/>
          <w:bCs w:val="1"/>
          <w:color w:val="auto"/>
        </w:rPr>
        <w:t>Other indemnities</w:t>
      </w:r>
    </w:p>
    <w:p>
      <w:pPr>
        <w:spacing w:after="0" w:line="229" w:lineRule="exact"/>
        <w:rPr>
          <w:sz w:val="20"/>
          <w:szCs w:val="20"/>
          <w:color w:val="auto"/>
        </w:rPr>
      </w:pPr>
    </w:p>
    <w:p>
      <w:pPr>
        <w:ind w:left="640" w:right="200"/>
        <w:spacing w:after="0" w:line="282" w:lineRule="auto"/>
        <w:rPr>
          <w:sz w:val="20"/>
          <w:szCs w:val="20"/>
          <w:color w:val="auto"/>
        </w:rPr>
      </w:pPr>
      <w:r>
        <w:rPr>
          <w:rFonts w:ascii="Times New Roman" w:cs="Times New Roman" w:eastAsia="Times New Roman" w:hAnsi="Times New Roman"/>
          <w:sz w:val="18"/>
          <w:szCs w:val="18"/>
          <w:color w:val="auto"/>
        </w:rPr>
        <w:t>The Borrower shall, within three (3) Business Days of demand, indemnify the Lender against any cost, loss or liability incurred by the Lender as a result of:</w:t>
      </w:r>
    </w:p>
    <w:p>
      <w:pPr>
        <w:spacing w:after="0" w:line="162" w:lineRule="exact"/>
        <w:rPr>
          <w:sz w:val="20"/>
          <w:szCs w:val="20"/>
          <w:color w:val="auto"/>
        </w:rPr>
      </w:pPr>
    </w:p>
    <w:p>
      <w:pPr>
        <w:ind w:left="1400" w:hanging="744"/>
        <w:spacing w:after="0"/>
        <w:tabs>
          <w:tab w:leader="none" w:pos="1400"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occurrence of any Event of Default;</w:t>
      </w:r>
    </w:p>
    <w:p>
      <w:pPr>
        <w:spacing w:after="0" w:line="225"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information produced or approved by the Borrower being or being alleged to be misleading and/or deceptive in any respect;</w:t>
      </w:r>
    </w:p>
    <w:p>
      <w:pPr>
        <w:spacing w:after="0" w:line="225" w:lineRule="exact"/>
        <w:rPr>
          <w:rFonts w:ascii="Times New Roman" w:cs="Times New Roman" w:eastAsia="Times New Roman" w:hAnsi="Times New Roman"/>
          <w:sz w:val="18"/>
          <w:szCs w:val="18"/>
          <w:b w:val="1"/>
          <w:bCs w:val="1"/>
          <w:color w:val="auto"/>
        </w:rPr>
      </w:pPr>
    </w:p>
    <w:p>
      <w:pPr>
        <w:ind w:left="1400" w:right="680" w:hanging="744"/>
        <w:spacing w:after="0" w:line="282" w:lineRule="auto"/>
        <w:tabs>
          <w:tab w:leader="none" w:pos="1413"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enquiry, investigation, subpoena (or similar order) or litigation with respect to any Obligor or with respect to the transactions contemplated or financed under any of the Finance Documents;</w:t>
      </w:r>
    </w:p>
    <w:p>
      <w:pPr>
        <w:sectPr>
          <w:pgSz w:w="11900" w:h="16933" w:orient="portrait"/>
          <w:cols w:equalWidth="0" w:num="1">
            <w:col w:w="11380"/>
          </w:cols>
          <w:pgMar w:left="240" w:top="121" w:right="279" w:bottom="0" w:gutter="0" w:footer="0" w:header="0"/>
        </w:sectPr>
      </w:pPr>
    </w:p>
    <w:bookmarkStart w:id="148" w:name="page149"/>
    <w:bookmarkEnd w:id="148"/>
    <w:p>
      <w:pPr>
        <w:ind w:left="1420" w:hanging="764"/>
        <w:spacing w:after="0"/>
        <w:tabs>
          <w:tab w:leader="none" w:pos="1420"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failure by an Obligor to pay any amount due under a Finance Document on its due date or in the relevant currency;</w:t>
      </w:r>
    </w:p>
    <w:p>
      <w:pPr>
        <w:spacing w:after="0" w:line="225" w:lineRule="exact"/>
        <w:rPr>
          <w:rFonts w:ascii="Times New Roman" w:cs="Times New Roman" w:eastAsia="Times New Roman" w:hAnsi="Times New Roman"/>
          <w:sz w:val="18"/>
          <w:szCs w:val="18"/>
          <w:b w:val="1"/>
          <w:bCs w:val="1"/>
          <w:color w:val="auto"/>
        </w:rPr>
      </w:pPr>
    </w:p>
    <w:p>
      <w:pPr>
        <w:ind w:left="1400" w:right="180" w:hanging="744"/>
        <w:spacing w:after="0" w:line="266" w:lineRule="auto"/>
        <w:tabs>
          <w:tab w:leader="none" w:pos="1413"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funding, or making arrangements to fund, its participation in a Loan requested by the Borrower in a Utilisation Request but not made by reason of the operation of any one or more of the provisions of this Agreement (other than by reason of default or negligence by the Lender alone);</w:t>
      </w:r>
    </w:p>
    <w:p>
      <w:pPr>
        <w:spacing w:after="0" w:line="176" w:lineRule="exact"/>
        <w:rPr>
          <w:rFonts w:ascii="Times New Roman" w:cs="Times New Roman" w:eastAsia="Times New Roman" w:hAnsi="Times New Roman"/>
          <w:sz w:val="18"/>
          <w:szCs w:val="18"/>
          <w:b w:val="1"/>
          <w:bCs w:val="1"/>
          <w:color w:val="auto"/>
        </w:rPr>
      </w:pPr>
    </w:p>
    <w:p>
      <w:pPr>
        <w:ind w:left="1400" w:hanging="744"/>
        <w:spacing w:after="0"/>
        <w:tabs>
          <w:tab w:leader="none" w:pos="1400"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Loan (or part of a Loan) not being prepaid in accordance with a notice of mandatory prepayment given by the Lender;</w:t>
      </w:r>
    </w:p>
    <w:p>
      <w:pPr>
        <w:spacing w:after="0" w:line="225" w:lineRule="exact"/>
        <w:rPr>
          <w:rFonts w:ascii="Times New Roman" w:cs="Times New Roman" w:eastAsia="Times New Roman" w:hAnsi="Times New Roman"/>
          <w:sz w:val="18"/>
          <w:szCs w:val="18"/>
          <w:b w:val="1"/>
          <w:bCs w:val="1"/>
          <w:color w:val="auto"/>
        </w:rPr>
      </w:pPr>
    </w:p>
    <w:p>
      <w:pPr>
        <w:ind w:left="1400" w:hanging="744"/>
        <w:spacing w:after="0"/>
        <w:tabs>
          <w:tab w:leader="none" w:pos="1400"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investigating any event which it reasonably believes is a Default; or</w:t>
      </w:r>
    </w:p>
    <w:p>
      <w:pPr>
        <w:spacing w:after="0" w:line="221"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(h)</w:t>
      </w:r>
      <w:r>
        <w:rPr>
          <w:sz w:val="20"/>
          <w:szCs w:val="20"/>
          <w:color w:val="auto"/>
        </w:rPr>
        <w:tab/>
      </w:r>
      <w:r>
        <w:rPr>
          <w:rFonts w:ascii="Times New Roman" w:cs="Times New Roman" w:eastAsia="Times New Roman" w:hAnsi="Times New Roman"/>
          <w:sz w:val="18"/>
          <w:szCs w:val="18"/>
          <w:color w:val="auto"/>
        </w:rPr>
        <w:t>acting or relying on any notice, request or instruction which it reasonably  believes to be genuine, correct and appropriately authorised.</w:t>
      </w:r>
    </w:p>
    <w:p>
      <w:pPr>
        <w:spacing w:after="0" w:line="225" w:lineRule="exact"/>
        <w:rPr>
          <w:sz w:val="20"/>
          <w:szCs w:val="20"/>
          <w:color w:val="auto"/>
        </w:rPr>
      </w:pPr>
    </w:p>
    <w:p>
      <w:pPr>
        <w:ind w:right="8300" w:firstLine="8"/>
        <w:spacing w:after="0" w:line="503" w:lineRule="auto"/>
        <w:tabs>
          <w:tab w:leader="none" w:pos="644" w:val="left"/>
        </w:tabs>
        <w:numPr>
          <w:ilvl w:val="0"/>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COSTS, EXPENSES AND FEE 13.1 Fund Raising costs</w:t>
      </w:r>
    </w:p>
    <w:p>
      <w:pPr>
        <w:spacing w:after="0" w:line="1" w:lineRule="exact"/>
        <w:rPr>
          <w:sz w:val="20"/>
          <w:szCs w:val="20"/>
          <w:color w:val="auto"/>
        </w:rPr>
      </w:pPr>
    </w:p>
    <w:p>
      <w:pPr>
        <w:ind w:left="660" w:right="120"/>
        <w:spacing w:after="0" w:line="258" w:lineRule="auto"/>
        <w:rPr>
          <w:sz w:val="20"/>
          <w:szCs w:val="20"/>
          <w:color w:val="auto"/>
        </w:rPr>
      </w:pPr>
      <w:r>
        <w:rPr>
          <w:rFonts w:ascii="Times New Roman" w:cs="Times New Roman" w:eastAsia="Times New Roman" w:hAnsi="Times New Roman"/>
          <w:sz w:val="18"/>
          <w:szCs w:val="18"/>
          <w:color w:val="auto"/>
        </w:rPr>
        <w:t>The Borrower shall, within three (3) Business Days of demand, pay to the Lender the amount of all reasonable costs and expenses (including legal fees) incurred by the Lender in connection with any Fund Raising (which, for the avoidance of doubt, shall include but not limit to fees and charges of any bank or other financial institution with which the Lender enters into “foreign loan with domestic security” arrangement for the purpose of deploying funds offshore in order to advance the Facility to the Borrower) irrespective of whether such costs and expenses are incurred prior to or after the Execution Date or the Utilisation Date.</w:t>
      </w:r>
    </w:p>
    <w:p>
      <w:pPr>
        <w:spacing w:after="0" w:line="184" w:lineRule="exact"/>
        <w:rPr>
          <w:sz w:val="20"/>
          <w:szCs w:val="20"/>
          <w:color w:val="auto"/>
        </w:rPr>
      </w:pPr>
    </w:p>
    <w:p>
      <w:pPr>
        <w:ind w:left="660" w:right="140"/>
        <w:spacing w:after="0" w:line="261" w:lineRule="auto"/>
        <w:rPr>
          <w:sz w:val="20"/>
          <w:szCs w:val="20"/>
          <w:color w:val="auto"/>
        </w:rPr>
      </w:pPr>
      <w:r>
        <w:rPr>
          <w:rFonts w:ascii="Times New Roman" w:cs="Times New Roman" w:eastAsia="Times New Roman" w:hAnsi="Times New Roman"/>
          <w:sz w:val="18"/>
          <w:szCs w:val="18"/>
          <w:color w:val="auto"/>
        </w:rPr>
        <w:t>For the avoidance of doubt, if the Lender has entered into a “foreign loan with domestic security” arrangement before the Execution Date or the Utilisation Date for the purpose of deploying funds offshore in order to advance the Facility to the Borrower, the amount of costs and expenses that the Borrower shall pay to the Lender pursuant to the first paragraph of this Section 13.1 shall include, among others, all reasonable costs and expenses (including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60"/>
        <w:spacing w:after="0" w:line="282" w:lineRule="auto"/>
        <w:rPr>
          <w:sz w:val="20"/>
          <w:szCs w:val="20"/>
          <w:color w:val="auto"/>
        </w:rPr>
      </w:pPr>
      <w:r>
        <w:rPr>
          <w:rFonts w:ascii="Times New Roman" w:cs="Times New Roman" w:eastAsia="Times New Roman" w:hAnsi="Times New Roman"/>
          <w:sz w:val="18"/>
          <w:szCs w:val="18"/>
          <w:color w:val="auto"/>
        </w:rPr>
        <w:t>legal fees) incurred by the Lender in connection with such “foreign loan with domestic security” arrangement before the Execution Date or the Utilisation Date.</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13.2</w:t>
      </w:r>
      <w:r>
        <w:rPr>
          <w:sz w:val="20"/>
          <w:szCs w:val="20"/>
          <w:color w:val="auto"/>
        </w:rPr>
        <w:tab/>
      </w:r>
      <w:r>
        <w:rPr>
          <w:rFonts w:ascii="Times New Roman" w:cs="Times New Roman" w:eastAsia="Times New Roman" w:hAnsi="Times New Roman"/>
          <w:sz w:val="18"/>
          <w:szCs w:val="18"/>
          <w:b w:val="1"/>
          <w:bCs w:val="1"/>
          <w:color w:val="auto"/>
        </w:rPr>
        <w:t>Amendment costs</w:t>
      </w:r>
    </w:p>
    <w:p>
      <w:pPr>
        <w:spacing w:after="0" w:line="229"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If an Obligor requests an amendment, waiver or consent, the Borrower shall, within three (3) Business Days of demand, reimburse the Lender for the amount of all costs and expenses (including legal fees) incurred by the Lender in responding to, evaluating, negotiating or complying with that request or requirement.</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13.3</w:t>
      </w:r>
      <w:r>
        <w:rPr>
          <w:sz w:val="20"/>
          <w:szCs w:val="20"/>
          <w:color w:val="auto"/>
        </w:rPr>
        <w:tab/>
      </w:r>
      <w:r>
        <w:rPr>
          <w:rFonts w:ascii="Times New Roman" w:cs="Times New Roman" w:eastAsia="Times New Roman" w:hAnsi="Times New Roman"/>
          <w:sz w:val="18"/>
          <w:szCs w:val="18"/>
          <w:b w:val="1"/>
          <w:bCs w:val="1"/>
          <w:color w:val="auto"/>
        </w:rPr>
        <w:t>Legal fees and enforcement costs</w:t>
      </w:r>
    </w:p>
    <w:p>
      <w:pPr>
        <w:spacing w:after="0" w:line="229" w:lineRule="exact"/>
        <w:rPr>
          <w:sz w:val="20"/>
          <w:szCs w:val="20"/>
          <w:color w:val="auto"/>
        </w:rPr>
      </w:pPr>
    </w:p>
    <w:p>
      <w:pPr>
        <w:ind w:left="660" w:right="40"/>
        <w:spacing w:after="0" w:line="266" w:lineRule="auto"/>
        <w:rPr>
          <w:sz w:val="20"/>
          <w:szCs w:val="20"/>
          <w:color w:val="auto"/>
        </w:rPr>
      </w:pPr>
      <w:r>
        <w:rPr>
          <w:rFonts w:ascii="Times New Roman" w:cs="Times New Roman" w:eastAsia="Times New Roman" w:hAnsi="Times New Roman"/>
          <w:sz w:val="18"/>
          <w:szCs w:val="18"/>
          <w:color w:val="auto"/>
        </w:rPr>
        <w:t>The Borrower shall, within three (3) Business Days of demand, pay to the Lender the amount of all legal fees incurred by the Lender in connection with the preparation, negotiation and execution of the Finance Documents and the amount of all reasonable costs and expenses (including legal fees) incurred by the Lender in connection with the enforcement of, or the preservation of any rights under, any Finance Document.</w:t>
      </w:r>
    </w:p>
    <w:p>
      <w:pPr>
        <w:spacing w:after="0" w:line="172" w:lineRule="exact"/>
        <w:rPr>
          <w:sz w:val="20"/>
          <w:szCs w:val="20"/>
          <w:color w:val="auto"/>
        </w:rPr>
      </w:pPr>
    </w:p>
    <w:p>
      <w:pPr>
        <w:ind w:left="660" w:hanging="652"/>
        <w:spacing w:after="0"/>
        <w:tabs>
          <w:tab w:leader="none" w:pos="660"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Obligors hereby, joint and severally, make the representations and warranties set out in this Clause 14 to the Lender.</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14.1</w:t>
      </w:r>
      <w:r>
        <w:rPr>
          <w:sz w:val="20"/>
          <w:szCs w:val="20"/>
          <w:color w:val="auto"/>
        </w:rPr>
        <w:tab/>
      </w:r>
      <w:r>
        <w:rPr>
          <w:rFonts w:ascii="Times New Roman" w:cs="Times New Roman" w:eastAsia="Times New Roman" w:hAnsi="Times New Roman"/>
          <w:sz w:val="17"/>
          <w:szCs w:val="17"/>
          <w:b w:val="1"/>
          <w:bCs w:val="1"/>
          <w:color w:val="auto"/>
        </w:rPr>
        <w:t>Status</w:t>
      </w:r>
    </w:p>
    <w:p>
      <w:pPr>
        <w:spacing w:after="0" w:line="229" w:lineRule="exact"/>
        <w:rPr>
          <w:sz w:val="20"/>
          <w:szCs w:val="20"/>
          <w:color w:val="auto"/>
        </w:rPr>
      </w:pPr>
    </w:p>
    <w:p>
      <w:pPr>
        <w:ind w:left="1400" w:right="60" w:hanging="744"/>
        <w:spacing w:after="0" w:line="282" w:lineRule="auto"/>
        <w:tabs>
          <w:tab w:leader="none" w:pos="1410" w:val="left"/>
        </w:tabs>
        <w:numPr>
          <w:ilvl w:val="0"/>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the Obligors is a corporation, duly incorporated and validly existing and (where applicable) in good standing under the laws of its jurisdiction of incorporation.</w:t>
      </w:r>
    </w:p>
    <w:p>
      <w:pPr>
        <w:spacing w:after="0" w:line="161"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the Obligors and their Subsidiaries has the capacity and power to own its assets and carry on its business as it is being conducted.</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14.2</w:t>
      </w:r>
      <w:r>
        <w:rPr>
          <w:sz w:val="20"/>
          <w:szCs w:val="20"/>
          <w:color w:val="auto"/>
        </w:rPr>
        <w:tab/>
      </w:r>
      <w:r>
        <w:rPr>
          <w:rFonts w:ascii="Times New Roman" w:cs="Times New Roman" w:eastAsia="Times New Roman" w:hAnsi="Times New Roman"/>
          <w:sz w:val="18"/>
          <w:szCs w:val="18"/>
          <w:b w:val="1"/>
          <w:bCs w:val="1"/>
          <w:color w:val="auto"/>
        </w:rPr>
        <w:t>Binding obligations</w:t>
      </w:r>
    </w:p>
    <w:p>
      <w:pPr>
        <w:spacing w:after="0" w:line="229"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The obligations expressed to be assumed by each of the Obligors in each Finance Document are, subject to any general principles of law limiting its obligations including the Legal Reservations, legal, valid, binding and enforceable obligations.</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14.3</w:t>
      </w:r>
      <w:r>
        <w:rPr>
          <w:sz w:val="20"/>
          <w:szCs w:val="20"/>
          <w:color w:val="auto"/>
        </w:rPr>
        <w:tab/>
      </w:r>
      <w:r>
        <w:rPr>
          <w:rFonts w:ascii="Times New Roman" w:cs="Times New Roman" w:eastAsia="Times New Roman" w:hAnsi="Times New Roman"/>
          <w:sz w:val="18"/>
          <w:szCs w:val="18"/>
          <w:b w:val="1"/>
          <w:bCs w:val="1"/>
          <w:color w:val="auto"/>
        </w:rPr>
        <w:t>Non-conflict with other obligations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entry into and performance by each of the Obligors of, and the transactions contemplated by, the Finance Documents do not and will not conflict with:</w:t>
      </w:r>
    </w:p>
    <w:p>
      <w:pPr>
        <w:spacing w:after="0" w:line="162" w:lineRule="exact"/>
        <w:rPr>
          <w:sz w:val="20"/>
          <w:szCs w:val="20"/>
          <w:color w:val="auto"/>
        </w:rPr>
      </w:pPr>
    </w:p>
    <w:p>
      <w:pPr>
        <w:ind w:left="1400" w:hanging="744"/>
        <w:spacing w:after="0"/>
        <w:tabs>
          <w:tab w:leader="none" w:pos="1400"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law or regulation applicable to any of the Obligors;</w:t>
      </w:r>
    </w:p>
    <w:p>
      <w:pPr>
        <w:spacing w:after="0" w:line="225"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constitutional documents of any of the Obligors; or</w:t>
      </w:r>
    </w:p>
    <w:p>
      <w:pPr>
        <w:spacing w:after="0" w:line="225" w:lineRule="exact"/>
        <w:rPr>
          <w:rFonts w:ascii="Times New Roman" w:cs="Times New Roman" w:eastAsia="Times New Roman" w:hAnsi="Times New Roman"/>
          <w:sz w:val="18"/>
          <w:szCs w:val="18"/>
          <w:b w:val="1"/>
          <w:bCs w:val="1"/>
          <w:color w:val="auto"/>
        </w:rPr>
      </w:pPr>
    </w:p>
    <w:p>
      <w:pPr>
        <w:ind w:left="1400" w:hanging="744"/>
        <w:spacing w:after="0"/>
        <w:tabs>
          <w:tab w:leader="none" w:pos="1400"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agreement or instrument binding upon any of the Obligors or any of its assets.</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14.4</w:t>
      </w:r>
      <w:r>
        <w:rPr>
          <w:sz w:val="20"/>
          <w:szCs w:val="20"/>
          <w:color w:val="auto"/>
        </w:rPr>
        <w:tab/>
      </w:r>
      <w:r>
        <w:rPr>
          <w:rFonts w:ascii="Times New Roman" w:cs="Times New Roman" w:eastAsia="Times New Roman" w:hAnsi="Times New Roman"/>
          <w:sz w:val="18"/>
          <w:szCs w:val="18"/>
          <w:b w:val="1"/>
          <w:bCs w:val="1"/>
          <w:color w:val="auto"/>
        </w:rPr>
        <w:t>Power and authority</w:t>
      </w:r>
    </w:p>
    <w:p>
      <w:pPr>
        <w:sectPr>
          <w:pgSz w:w="11900" w:h="16838" w:orient="portrait"/>
          <w:cols w:equalWidth="0" w:num="1">
            <w:col w:w="11400"/>
          </w:cols>
          <w:pgMar w:left="240" w:top="337" w:right="259" w:bottom="0" w:gutter="0" w:footer="0" w:header="0"/>
        </w:sectPr>
      </w:pPr>
    </w:p>
    <w:bookmarkStart w:id="149" w:name="page150"/>
    <w:bookmarkEnd w:id="149"/>
    <w:p>
      <w:pPr>
        <w:spacing w:after="0" w:line="28" w:lineRule="exact"/>
        <w:rPr>
          <w:sz w:val="20"/>
          <w:szCs w:val="20"/>
          <w:color w:val="auto"/>
        </w:rPr>
      </w:pPr>
    </w:p>
    <w:p>
      <w:pPr>
        <w:ind w:left="660" w:right="540"/>
        <w:spacing w:after="0" w:line="266" w:lineRule="auto"/>
        <w:rPr>
          <w:sz w:val="20"/>
          <w:szCs w:val="20"/>
          <w:color w:val="auto"/>
        </w:rPr>
      </w:pPr>
      <w:r>
        <w:rPr>
          <w:rFonts w:ascii="Times New Roman" w:cs="Times New Roman" w:eastAsia="Times New Roman" w:hAnsi="Times New Roman"/>
          <w:sz w:val="18"/>
          <w:szCs w:val="18"/>
          <w:color w:val="auto"/>
        </w:rPr>
        <w:t>Each of the Obligors has the capacity, corporate power and authority to enter into, perform and deliver, and has taken all necessary action to authorise its entry into, performance and delivery of, the Finance Documents to which it is a party and the transactions contemplated by those Finance Documents.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14.5</w:t>
      </w:r>
      <w:r>
        <w:rPr>
          <w:sz w:val="20"/>
          <w:szCs w:val="20"/>
          <w:color w:val="auto"/>
        </w:rPr>
        <w:tab/>
      </w:r>
      <w:r>
        <w:rPr>
          <w:rFonts w:ascii="Times New Roman" w:cs="Times New Roman" w:eastAsia="Times New Roman" w:hAnsi="Times New Roman"/>
          <w:sz w:val="17"/>
          <w:szCs w:val="17"/>
          <w:b w:val="1"/>
          <w:bCs w:val="1"/>
          <w:color w:val="auto"/>
        </w:rPr>
        <w:t>Validity and admissibility in evidence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Legal Reservations, all Authorisations required or desirable:</w:t>
      </w:r>
    </w:p>
    <w:p>
      <w:pPr>
        <w:spacing w:after="0" w:line="225" w:lineRule="exact"/>
        <w:rPr>
          <w:sz w:val="20"/>
          <w:szCs w:val="20"/>
          <w:color w:val="auto"/>
        </w:rPr>
      </w:pPr>
    </w:p>
    <w:p>
      <w:pPr>
        <w:ind w:left="1400" w:hanging="744"/>
        <w:spacing w:after="0" w:line="282" w:lineRule="auto"/>
        <w:tabs>
          <w:tab w:leader="none" w:pos="1410"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enable each of the Obligors lawfully to enter into, exercise its rights and comply with its obligations in the Finance Documents to which it is a party,</w:t>
      </w:r>
    </w:p>
    <w:p>
      <w:pPr>
        <w:spacing w:after="0" w:line="161"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make the Finance Documents to which it is a party admissible in evidence in its jurisdiction of incorporation, and</w:t>
      </w:r>
    </w:p>
    <w:p>
      <w:pPr>
        <w:spacing w:after="0" w:line="225" w:lineRule="exact"/>
        <w:rPr>
          <w:rFonts w:ascii="Times New Roman" w:cs="Times New Roman" w:eastAsia="Times New Roman" w:hAnsi="Times New Roman"/>
          <w:sz w:val="18"/>
          <w:szCs w:val="18"/>
          <w:b w:val="1"/>
          <w:bCs w:val="1"/>
          <w:color w:val="auto"/>
        </w:rPr>
      </w:pPr>
    </w:p>
    <w:p>
      <w:pPr>
        <w:ind w:left="1400" w:hanging="744"/>
        <w:spacing w:after="0"/>
        <w:tabs>
          <w:tab w:leader="none" w:pos="1400"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it to carry on its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have been obtained or effected and are in full force and effect.</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14.6</w:t>
      </w:r>
      <w:r>
        <w:rPr>
          <w:sz w:val="20"/>
          <w:szCs w:val="20"/>
          <w:color w:val="auto"/>
        </w:rPr>
        <w:tab/>
      </w:r>
      <w:r>
        <w:rPr>
          <w:rFonts w:ascii="Times New Roman" w:cs="Times New Roman" w:eastAsia="Times New Roman" w:hAnsi="Times New Roman"/>
          <w:sz w:val="18"/>
          <w:szCs w:val="18"/>
          <w:b w:val="1"/>
          <w:bCs w:val="1"/>
          <w:color w:val="auto"/>
        </w:rPr>
        <w:t>Governing law and enforcement</w:t>
      </w:r>
    </w:p>
    <w:p>
      <w:pPr>
        <w:spacing w:after="0" w:line="229" w:lineRule="exact"/>
        <w:rPr>
          <w:sz w:val="20"/>
          <w:szCs w:val="20"/>
          <w:color w:val="auto"/>
        </w:rPr>
      </w:pPr>
    </w:p>
    <w:p>
      <w:pPr>
        <w:ind w:left="1400" w:right="300" w:hanging="744"/>
        <w:spacing w:after="0" w:line="282" w:lineRule="auto"/>
        <w:tabs>
          <w:tab w:leader="none" w:pos="1410" w:val="left"/>
        </w:tabs>
        <w:numPr>
          <w:ilvl w:val="0"/>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choice of law specified as the governing law of each Finance Document will, subject to the Legal Reservations, be recognised and enforced in the jurisdiction of incorporation of each of the Obligors.</w:t>
      </w:r>
    </w:p>
    <w:p>
      <w:pPr>
        <w:spacing w:after="0" w:line="161" w:lineRule="exact"/>
        <w:rPr>
          <w:rFonts w:ascii="Times New Roman" w:cs="Times New Roman" w:eastAsia="Times New Roman" w:hAnsi="Times New Roman"/>
          <w:sz w:val="18"/>
          <w:szCs w:val="18"/>
          <w:b w:val="1"/>
          <w:bCs w:val="1"/>
          <w:color w:val="auto"/>
        </w:rPr>
      </w:pPr>
    </w:p>
    <w:p>
      <w:pPr>
        <w:ind w:left="1400" w:right="680" w:hanging="744"/>
        <w:spacing w:after="0" w:line="282" w:lineRule="auto"/>
        <w:tabs>
          <w:tab w:leader="none" w:pos="1420" w:val="left"/>
        </w:tabs>
        <w:numPr>
          <w:ilvl w:val="0"/>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monetary judgment or arbitration award obtained in Hong Kong in relation to a Finance Document will, subject to the Legal Reservations, be recognised and enforced in the jurisdiction of incorporation of each of the Obligors.</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14.7</w:t>
      </w:r>
      <w:r>
        <w:rPr>
          <w:sz w:val="20"/>
          <w:szCs w:val="20"/>
          <w:color w:val="auto"/>
        </w:rPr>
        <w:tab/>
      </w:r>
      <w:r>
        <w:rPr>
          <w:rFonts w:ascii="Times New Roman" w:cs="Times New Roman" w:eastAsia="Times New Roman" w:hAnsi="Times New Roman"/>
          <w:sz w:val="17"/>
          <w:szCs w:val="17"/>
          <w:b w:val="1"/>
          <w:bCs w:val="1"/>
          <w:color w:val="auto"/>
        </w:rPr>
        <w:t>Deduction of Tax</w:t>
      </w:r>
    </w:p>
    <w:p>
      <w:pPr>
        <w:spacing w:after="0" w:line="229" w:lineRule="exact"/>
        <w:rPr>
          <w:sz w:val="20"/>
          <w:szCs w:val="20"/>
          <w:color w:val="auto"/>
        </w:rPr>
      </w:pPr>
    </w:p>
    <w:p>
      <w:pPr>
        <w:ind w:left="660" w:right="60"/>
        <w:spacing w:after="0" w:line="282" w:lineRule="auto"/>
        <w:rPr>
          <w:sz w:val="20"/>
          <w:szCs w:val="20"/>
          <w:color w:val="auto"/>
        </w:rPr>
      </w:pPr>
      <w:r>
        <w:rPr>
          <w:rFonts w:ascii="Times New Roman" w:cs="Times New Roman" w:eastAsia="Times New Roman" w:hAnsi="Times New Roman"/>
          <w:sz w:val="18"/>
          <w:szCs w:val="18"/>
          <w:color w:val="auto"/>
        </w:rPr>
        <w:t>It is not required under the law currently applicable where each of the Obligors is incorporated or at the address specified in this Agreement to make any deduction for or on account of Tax from any payment it may make under any Finance Document.</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14.8</w:t>
      </w:r>
      <w:r>
        <w:rPr>
          <w:sz w:val="20"/>
          <w:szCs w:val="20"/>
          <w:color w:val="auto"/>
        </w:rPr>
        <w:tab/>
      </w:r>
      <w:r>
        <w:rPr>
          <w:rFonts w:ascii="Times New Roman" w:cs="Times New Roman" w:eastAsia="Times New Roman" w:hAnsi="Times New Roman"/>
          <w:sz w:val="17"/>
          <w:szCs w:val="17"/>
          <w:b w:val="1"/>
          <w:bCs w:val="1"/>
          <w:color w:val="auto"/>
        </w:rPr>
        <w:t>No filing or stamp taxes or announcement</w:t>
      </w:r>
    </w:p>
    <w:p>
      <w:pPr>
        <w:spacing w:after="0" w:line="229" w:lineRule="exact"/>
        <w:rPr>
          <w:sz w:val="20"/>
          <w:szCs w:val="20"/>
          <w:color w:val="auto"/>
        </w:rPr>
      </w:pPr>
    </w:p>
    <w:p>
      <w:pPr>
        <w:ind w:left="660" w:right="360"/>
        <w:spacing w:after="0" w:line="266" w:lineRule="auto"/>
        <w:rPr>
          <w:sz w:val="20"/>
          <w:szCs w:val="20"/>
          <w:color w:val="auto"/>
        </w:rPr>
      </w:pPr>
      <w:r>
        <w:rPr>
          <w:rFonts w:ascii="Times New Roman" w:cs="Times New Roman" w:eastAsia="Times New Roman" w:hAnsi="Times New Roman"/>
          <w:sz w:val="18"/>
          <w:szCs w:val="18"/>
          <w:color w:val="auto"/>
        </w:rPr>
        <w:t>Under the law of the jurisdiction of incorporation of each of the Obligors, it is not necessary that the Finance Documents be filed, recorded or enrolled with any court or other authority in that jurisdiction or that any stamp, registration or similar tax be paid on or in relation to the Finance Documents or the transactions contemplated by the Finance Documents, or that any public announcement be made.</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14.9</w:t>
      </w:r>
      <w:r>
        <w:rPr>
          <w:sz w:val="20"/>
          <w:szCs w:val="20"/>
          <w:color w:val="auto"/>
        </w:rPr>
        <w:tab/>
      </w:r>
      <w:r>
        <w:rPr>
          <w:rFonts w:ascii="Times New Roman" w:cs="Times New Roman" w:eastAsia="Times New Roman" w:hAnsi="Times New Roman"/>
          <w:sz w:val="18"/>
          <w:szCs w:val="18"/>
          <w:b w:val="1"/>
          <w:bCs w:val="1"/>
          <w:color w:val="auto"/>
        </w:rPr>
        <w:t>No default</w:t>
      </w:r>
    </w:p>
    <w:p>
      <w:pPr>
        <w:spacing w:after="0" w:line="229" w:lineRule="exact"/>
        <w:rPr>
          <w:sz w:val="20"/>
          <w:szCs w:val="20"/>
          <w:color w:val="auto"/>
        </w:rPr>
      </w:pPr>
    </w:p>
    <w:p>
      <w:pPr>
        <w:ind w:left="1400" w:hanging="744"/>
        <w:spacing w:after="0"/>
        <w:tabs>
          <w:tab w:leader="none" w:pos="1400" w:val="left"/>
        </w:tabs>
        <w:numPr>
          <w:ilvl w:val="0"/>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NoEvent of Default is continuing or might reasonably be expected to result from the making of any Utilisation.</w:t>
      </w:r>
    </w:p>
    <w:p>
      <w:pPr>
        <w:spacing w:after="0" w:line="225" w:lineRule="exact"/>
        <w:rPr>
          <w:rFonts w:ascii="Times New Roman" w:cs="Times New Roman" w:eastAsia="Times New Roman" w:hAnsi="Times New Roman"/>
          <w:sz w:val="18"/>
          <w:szCs w:val="18"/>
          <w:b w:val="1"/>
          <w:bCs w:val="1"/>
          <w:color w:val="auto"/>
        </w:rPr>
      </w:pPr>
    </w:p>
    <w:p>
      <w:pPr>
        <w:jc w:val="both"/>
        <w:ind w:left="1400" w:right="260" w:hanging="744"/>
        <w:spacing w:after="0" w:line="266" w:lineRule="auto"/>
        <w:tabs>
          <w:tab w:leader="none" w:pos="1420" w:val="left"/>
        </w:tabs>
        <w:numPr>
          <w:ilvl w:val="0"/>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other event or circumstance is outstanding which constitutes a default under any other agreement or instrument which is binding on any of the Obligors or to which any of the Obligors’ assets are subject which would reasonably be expected to have a Material Adverse Effect.</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14.10</w:t>
      </w:r>
      <w:r>
        <w:rPr>
          <w:sz w:val="20"/>
          <w:szCs w:val="20"/>
          <w:color w:val="auto"/>
        </w:rPr>
        <w:tab/>
      </w:r>
      <w:r>
        <w:rPr>
          <w:rFonts w:ascii="Times New Roman" w:cs="Times New Roman" w:eastAsia="Times New Roman" w:hAnsi="Times New Roman"/>
          <w:sz w:val="17"/>
          <w:szCs w:val="17"/>
          <w:b w:val="1"/>
          <w:bCs w:val="1"/>
          <w:color w:val="auto"/>
        </w:rPr>
        <w:t>No misleading information</w:t>
      </w:r>
    </w:p>
    <w:p>
      <w:pPr>
        <w:spacing w:after="0" w:line="229" w:lineRule="exact"/>
        <w:rPr>
          <w:sz w:val="20"/>
          <w:szCs w:val="20"/>
          <w:color w:val="auto"/>
        </w:rPr>
      </w:pPr>
    </w:p>
    <w:p>
      <w:pPr>
        <w:ind w:left="660" w:right="300"/>
        <w:spacing w:after="0" w:line="282" w:lineRule="auto"/>
        <w:rPr>
          <w:sz w:val="20"/>
          <w:szCs w:val="20"/>
          <w:color w:val="auto"/>
        </w:rPr>
      </w:pPr>
      <w:r>
        <w:rPr>
          <w:rFonts w:ascii="Times New Roman" w:cs="Times New Roman" w:eastAsia="Times New Roman" w:hAnsi="Times New Roman"/>
          <w:sz w:val="18"/>
          <w:szCs w:val="18"/>
          <w:color w:val="auto"/>
        </w:rPr>
        <w:t>All written information supplied by any of the Obligors or on its behalf is true, complete and accurate in all material respects as at the date it was given and is not misleading in any material respect.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14.11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1400" w:right="400" w:hanging="744"/>
        <w:spacing w:after="0" w:line="282" w:lineRule="auto"/>
        <w:tabs>
          <w:tab w:leader="none" w:pos="1410" w:val="left"/>
        </w:tabs>
        <w:numPr>
          <w:ilvl w:val="0"/>
          <w:numId w:val="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Original Financial Statements give a true and fair view of the financial condition and operations of the Group during the relevant financial period save to the extent expressly disclosed in such Original Financial Statements.</w:t>
      </w:r>
    </w:p>
    <w:p>
      <w:pPr>
        <w:spacing w:after="0" w:line="161"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has been no Material Adverse Effect since the date of the Original Financial Statements.</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14.12</w:t>
      </w:r>
      <w:r>
        <w:rPr>
          <w:sz w:val="20"/>
          <w:szCs w:val="20"/>
          <w:color w:val="auto"/>
        </w:rPr>
        <w:tab/>
      </w:r>
      <w:r>
        <w:rPr>
          <w:rFonts w:ascii="Times New Roman" w:cs="Times New Roman" w:eastAsia="Times New Roman" w:hAnsi="Times New Roman"/>
          <w:sz w:val="17"/>
          <w:szCs w:val="17"/>
          <w:b w:val="1"/>
          <w:bCs w:val="1"/>
          <w:color w:val="auto"/>
        </w:rPr>
        <w:t>Pari passu ranking</w:t>
      </w:r>
    </w:p>
    <w:p>
      <w:pPr>
        <w:spacing w:after="0" w:line="229" w:lineRule="exact"/>
        <w:rPr>
          <w:sz w:val="20"/>
          <w:szCs w:val="20"/>
          <w:color w:val="auto"/>
        </w:rPr>
      </w:pPr>
    </w:p>
    <w:p>
      <w:pPr>
        <w:ind w:left="660" w:right="320"/>
        <w:spacing w:after="0" w:line="282" w:lineRule="auto"/>
        <w:rPr>
          <w:sz w:val="20"/>
          <w:szCs w:val="20"/>
          <w:color w:val="auto"/>
        </w:rPr>
      </w:pPr>
      <w:r>
        <w:rPr>
          <w:rFonts w:ascii="Times New Roman" w:cs="Times New Roman" w:eastAsia="Times New Roman" w:hAnsi="Times New Roman"/>
          <w:sz w:val="18"/>
          <w:szCs w:val="18"/>
          <w:color w:val="auto"/>
        </w:rPr>
        <w:t>Each of the Obligors’ payment obligations under the Finance Documents rank at least pari passu with the claims of all of its other unsecured and unsubordinated creditors, except for obligations mandatorily preferred by law applying to companies generally.</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14.13</w:t>
      </w:r>
      <w:r>
        <w:rPr>
          <w:sz w:val="20"/>
          <w:szCs w:val="20"/>
          <w:color w:val="auto"/>
        </w:rPr>
        <w:tab/>
      </w:r>
      <w:r>
        <w:rPr>
          <w:rFonts w:ascii="Times New Roman" w:cs="Times New Roman" w:eastAsia="Times New Roman" w:hAnsi="Times New Roman"/>
          <w:sz w:val="17"/>
          <w:szCs w:val="17"/>
          <w:b w:val="1"/>
          <w:bCs w:val="1"/>
          <w:color w:val="auto"/>
        </w:rPr>
        <w:t>No proceedings pending or threatened</w:t>
      </w:r>
    </w:p>
    <w:p>
      <w:pPr>
        <w:spacing w:after="0" w:line="229" w:lineRule="exact"/>
        <w:rPr>
          <w:sz w:val="20"/>
          <w:szCs w:val="20"/>
          <w:color w:val="auto"/>
        </w:rPr>
      </w:pPr>
    </w:p>
    <w:p>
      <w:pPr>
        <w:ind w:left="660" w:right="20"/>
        <w:spacing w:after="0" w:line="266" w:lineRule="auto"/>
        <w:rPr>
          <w:sz w:val="20"/>
          <w:szCs w:val="20"/>
          <w:color w:val="auto"/>
        </w:rPr>
      </w:pPr>
      <w:r>
        <w:rPr>
          <w:rFonts w:ascii="Times New Roman" w:cs="Times New Roman" w:eastAsia="Times New Roman" w:hAnsi="Times New Roman"/>
          <w:sz w:val="18"/>
          <w:szCs w:val="18"/>
          <w:color w:val="auto"/>
        </w:rPr>
        <w:t>No litigation, arbitration or administrative proceedings of or before any court, arbitral body or agency which, if adversely determined, might reasonably be expected to have a Material Adverse Effect, (to the best of the Obligors’ knowledge and belief) have been started or threatened against any of the Obligors or any of their Subsidiaries.</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14.14</w:t>
      </w:r>
      <w:r>
        <w:rPr>
          <w:sz w:val="20"/>
          <w:szCs w:val="20"/>
          <w:color w:val="auto"/>
        </w:rPr>
        <w:tab/>
      </w:r>
      <w:r>
        <w:rPr>
          <w:rFonts w:ascii="Times New Roman" w:cs="Times New Roman" w:eastAsia="Times New Roman" w:hAnsi="Times New Roman"/>
          <w:sz w:val="17"/>
          <w:szCs w:val="17"/>
          <w:b w:val="1"/>
          <w:bCs w:val="1"/>
          <w:color w:val="auto"/>
        </w:rPr>
        <w:t>Authorised Signatures</w:t>
      </w:r>
    </w:p>
    <w:p>
      <w:pPr>
        <w:sectPr>
          <w:pgSz w:w="11900" w:h="16866" w:orient="portrait"/>
          <w:cols w:equalWidth="0" w:num="1">
            <w:col w:w="11400"/>
          </w:cols>
          <w:pgMar w:left="240" w:top="121" w:right="259" w:bottom="0" w:gutter="0" w:footer="0" w:header="0"/>
        </w:sectPr>
      </w:pPr>
    </w:p>
    <w:bookmarkStart w:id="150" w:name="page151"/>
    <w:bookmarkEnd w:id="150"/>
    <w:p>
      <w:pPr>
        <w:ind w:left="660"/>
        <w:spacing w:after="0" w:line="267" w:lineRule="auto"/>
        <w:rPr>
          <w:sz w:val="20"/>
          <w:szCs w:val="20"/>
          <w:color w:val="auto"/>
        </w:rPr>
      </w:pPr>
      <w:r>
        <w:rPr>
          <w:rFonts w:ascii="Times New Roman" w:cs="Times New Roman" w:eastAsia="Times New Roman" w:hAnsi="Times New Roman"/>
          <w:sz w:val="18"/>
          <w:szCs w:val="18"/>
          <w:color w:val="auto"/>
        </w:rPr>
        <w:t>Any person specified as the authorised signatory of an Obligor under Schedule 1 (</w:t>
      </w:r>
      <w:r>
        <w:rPr>
          <w:rFonts w:ascii="Times New Roman" w:cs="Times New Roman" w:eastAsia="Times New Roman" w:hAnsi="Times New Roman"/>
          <w:sz w:val="18"/>
          <w:szCs w:val="18"/>
          <w:i w:val="1"/>
          <w:iCs w:val="1"/>
          <w:color w:val="auto"/>
        </w:rPr>
        <w:t>Conditions precedent</w:t>
      </w:r>
      <w:r>
        <w:rPr>
          <w:rFonts w:ascii="Times New Roman" w:cs="Times New Roman" w:eastAsia="Times New Roman" w:hAnsi="Times New Roman"/>
          <w:sz w:val="18"/>
          <w:szCs w:val="18"/>
          <w:color w:val="auto"/>
        </w:rPr>
        <w:t>), as such schedule may be updated, or Clause 15.1 (</w:t>
      </w:r>
      <w:r>
        <w:rPr>
          <w:rFonts w:ascii="Times New Roman" w:cs="Times New Roman" w:eastAsia="Times New Roman" w:hAnsi="Times New Roman"/>
          <w:sz w:val="18"/>
          <w:szCs w:val="18"/>
          <w:i w:val="1"/>
          <w:iCs w:val="1"/>
          <w:color w:val="auto"/>
        </w:rPr>
        <w:t>Information: miscellaneous</w:t>
      </w:r>
      <w:r>
        <w:rPr>
          <w:rFonts w:ascii="Times New Roman" w:cs="Times New Roman" w:eastAsia="Times New Roman" w:hAnsi="Times New Roman"/>
          <w:sz w:val="18"/>
          <w:szCs w:val="18"/>
          <w:color w:val="auto"/>
        </w:rPr>
        <w:t>) is authorised to sign Utilisation Requests (in the case of the Borrower only) and other notices on such Obligor’s behalf.</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14.15</w:t>
        <w:tab/>
        <w:t>No immunity</w:t>
      </w:r>
    </w:p>
    <w:p>
      <w:pPr>
        <w:spacing w:after="0" w:line="229" w:lineRule="exact"/>
        <w:rPr>
          <w:sz w:val="20"/>
          <w:szCs w:val="20"/>
          <w:color w:val="auto"/>
        </w:rPr>
      </w:pPr>
    </w:p>
    <w:p>
      <w:pPr>
        <w:ind w:left="660" w:right="360"/>
        <w:spacing w:after="0" w:line="261" w:lineRule="auto"/>
        <w:rPr>
          <w:sz w:val="20"/>
          <w:szCs w:val="20"/>
          <w:color w:val="auto"/>
        </w:rPr>
      </w:pPr>
      <w:r>
        <w:rPr>
          <w:rFonts w:ascii="Times New Roman" w:cs="Times New Roman" w:eastAsia="Times New Roman" w:hAnsi="Times New Roman"/>
          <w:sz w:val="18"/>
          <w:szCs w:val="18"/>
          <w:color w:val="auto"/>
        </w:rPr>
        <w:t>Each of the Obligors is generally subject to civil and commercial law and to set-off, suit, judgment and execution with respect to their respective obligations under this Agreement and neither the Obligors nor any of their assets has or is entitled to any immunity or privilege, whether characterised as sovereign immunity or otherwise from any set-off, suit, legal action, proceeding, judgment, execution, attachment or other legal process.</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14.16</w:t>
      </w:r>
      <w:r>
        <w:rPr>
          <w:sz w:val="20"/>
          <w:szCs w:val="20"/>
          <w:color w:val="auto"/>
        </w:rPr>
        <w:tab/>
      </w:r>
      <w:r>
        <w:rPr>
          <w:rFonts w:ascii="Times New Roman" w:cs="Times New Roman" w:eastAsia="Times New Roman" w:hAnsi="Times New Roman"/>
          <w:sz w:val="17"/>
          <w:szCs w:val="17"/>
          <w:b w:val="1"/>
          <w:bCs w:val="1"/>
          <w:color w:val="auto"/>
        </w:rPr>
        <w:t>No omissions</w:t>
      </w:r>
    </w:p>
    <w:p>
      <w:pPr>
        <w:spacing w:after="0" w:line="227" w:lineRule="exact"/>
        <w:rPr>
          <w:sz w:val="20"/>
          <w:szCs w:val="20"/>
          <w:color w:val="auto"/>
        </w:rPr>
      </w:pPr>
    </w:p>
    <w:p>
      <w:pPr>
        <w:ind w:left="660" w:right="440"/>
        <w:spacing w:after="0" w:line="284" w:lineRule="auto"/>
        <w:rPr>
          <w:sz w:val="20"/>
          <w:szCs w:val="20"/>
          <w:color w:val="auto"/>
        </w:rPr>
      </w:pPr>
      <w:r>
        <w:rPr>
          <w:rFonts w:ascii="Times New Roman" w:cs="Times New Roman" w:eastAsia="Times New Roman" w:hAnsi="Times New Roman"/>
          <w:sz w:val="18"/>
          <w:szCs w:val="18"/>
          <w:color w:val="auto"/>
        </w:rPr>
        <w:t>None of the representations and warranties set out in Clauses 14.1 (</w:t>
      </w:r>
      <w:r>
        <w:rPr>
          <w:rFonts w:ascii="Times New Roman" w:cs="Times New Roman" w:eastAsia="Times New Roman" w:hAnsi="Times New Roman"/>
          <w:sz w:val="18"/>
          <w:szCs w:val="18"/>
          <w:i w:val="1"/>
          <w:iCs w:val="1"/>
          <w:color w:val="auto"/>
        </w:rPr>
        <w:t>Status</w:t>
      </w:r>
      <w:r>
        <w:rPr>
          <w:rFonts w:ascii="Times New Roman" w:cs="Times New Roman" w:eastAsia="Times New Roman" w:hAnsi="Times New Roman"/>
          <w:sz w:val="18"/>
          <w:szCs w:val="18"/>
          <w:color w:val="auto"/>
        </w:rPr>
        <w:t>) to 15.16 (</w:t>
      </w:r>
      <w:r>
        <w:rPr>
          <w:rFonts w:ascii="Times New Roman" w:cs="Times New Roman" w:eastAsia="Times New Roman" w:hAnsi="Times New Roman"/>
          <w:sz w:val="18"/>
          <w:szCs w:val="18"/>
          <w:i w:val="1"/>
          <w:iCs w:val="1"/>
          <w:color w:val="auto"/>
        </w:rPr>
        <w:t>No immunity</w:t>
      </w:r>
      <w:r>
        <w:rPr>
          <w:rFonts w:ascii="Times New Roman" w:cs="Times New Roman" w:eastAsia="Times New Roman" w:hAnsi="Times New Roman"/>
          <w:sz w:val="18"/>
          <w:szCs w:val="18"/>
          <w:color w:val="auto"/>
        </w:rPr>
        <w:t>) (both clauses included) omits any matter the omission of which makes any of such representation and warranty misleading.</w:t>
      </w:r>
    </w:p>
    <w:p>
      <w:pPr>
        <w:spacing w:after="0" w:line="1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14.17</w:t>
        <w:tab/>
        <w:t>Repetition</w:t>
      </w:r>
    </w:p>
    <w:p>
      <w:pPr>
        <w:spacing w:after="0" w:line="227" w:lineRule="exact"/>
        <w:rPr>
          <w:sz w:val="20"/>
          <w:szCs w:val="20"/>
          <w:color w:val="auto"/>
        </w:rPr>
      </w:pPr>
    </w:p>
    <w:p>
      <w:pPr>
        <w:ind w:left="660" w:right="500"/>
        <w:spacing w:after="0" w:line="284" w:lineRule="auto"/>
        <w:rPr>
          <w:sz w:val="20"/>
          <w:szCs w:val="20"/>
          <w:color w:val="auto"/>
        </w:rPr>
      </w:pPr>
      <w:r>
        <w:rPr>
          <w:rFonts w:ascii="Times New Roman" w:cs="Times New Roman" w:eastAsia="Times New Roman" w:hAnsi="Times New Roman"/>
          <w:sz w:val="18"/>
          <w:szCs w:val="18"/>
          <w:color w:val="auto"/>
        </w:rPr>
        <w:t>The representations set out in Clauses14.1 (</w:t>
      </w:r>
      <w:r>
        <w:rPr>
          <w:rFonts w:ascii="Times New Roman" w:cs="Times New Roman" w:eastAsia="Times New Roman" w:hAnsi="Times New Roman"/>
          <w:sz w:val="18"/>
          <w:szCs w:val="18"/>
          <w:i w:val="1"/>
          <w:iCs w:val="1"/>
          <w:color w:val="auto"/>
        </w:rPr>
        <w:t>Status</w:t>
      </w:r>
      <w:r>
        <w:rPr>
          <w:rFonts w:ascii="Times New Roman" w:cs="Times New Roman" w:eastAsia="Times New Roman" w:hAnsi="Times New Roman"/>
          <w:sz w:val="18"/>
          <w:szCs w:val="18"/>
          <w:color w:val="auto"/>
        </w:rPr>
        <w:t>) to 15.17 (</w:t>
      </w:r>
      <w:r>
        <w:rPr>
          <w:rFonts w:ascii="Times New Roman" w:cs="Times New Roman" w:eastAsia="Times New Roman" w:hAnsi="Times New Roman"/>
          <w:sz w:val="18"/>
          <w:szCs w:val="18"/>
          <w:i w:val="1"/>
          <w:iCs w:val="1"/>
          <w:color w:val="auto"/>
        </w:rPr>
        <w:t>No omissions</w:t>
      </w:r>
      <w:r>
        <w:rPr>
          <w:rFonts w:ascii="Times New Roman" w:cs="Times New Roman" w:eastAsia="Times New Roman" w:hAnsi="Times New Roman"/>
          <w:sz w:val="18"/>
          <w:szCs w:val="18"/>
          <w:color w:val="auto"/>
        </w:rPr>
        <w:t>) (both clauses included) are deemed to be made by each Obligor by reference to the facts and circumstances then existing on the first day of each month during the Loan Period.</w:t>
      </w:r>
    </w:p>
    <w:p>
      <w:pPr>
        <w:spacing w:after="0" w:line="156" w:lineRule="exact"/>
        <w:rPr>
          <w:sz w:val="20"/>
          <w:szCs w:val="20"/>
          <w:color w:val="auto"/>
        </w:rPr>
      </w:pPr>
    </w:p>
    <w:p>
      <w:pPr>
        <w:ind w:left="660" w:hanging="652"/>
        <w:spacing w:after="0"/>
        <w:tabs>
          <w:tab w:leader="none" w:pos="660"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INFORMATION UNDERTAKINGS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undertakings in this Clause15 shall remain in force during the Loan Period.</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15.1</w:t>
      </w:r>
      <w:r>
        <w:rPr>
          <w:sz w:val="20"/>
          <w:szCs w:val="20"/>
          <w:color w:val="auto"/>
        </w:rPr>
        <w:tab/>
      </w:r>
      <w:r>
        <w:rPr>
          <w:rFonts w:ascii="Times New Roman" w:cs="Times New Roman" w:eastAsia="Times New Roman" w:hAnsi="Times New Roman"/>
          <w:sz w:val="18"/>
          <w:szCs w:val="18"/>
          <w:b w:val="1"/>
          <w:bCs w:val="1"/>
          <w:color w:val="auto"/>
        </w:rPr>
        <w:t>Information: miscellaneous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Obligor shall deliver to the Lender: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0" w:right="260" w:hanging="744"/>
        <w:spacing w:after="0" w:line="266" w:lineRule="auto"/>
        <w:tabs>
          <w:tab w:leader="none" w:pos="1410" w:val="left"/>
        </w:tabs>
        <w:numPr>
          <w:ilvl w:val="0"/>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promptly upon becoming aware of them, the details of any litigation, arbitration or administrative proceedings which are current, threatened or pending against any member of the Group or any Obligor which if adversely determined would reasonably be expected to have a Material Adverse Effect;</w:t>
      </w:r>
    </w:p>
    <w:p>
      <w:pPr>
        <w:spacing w:after="0" w:line="176" w:lineRule="exact"/>
        <w:rPr>
          <w:rFonts w:ascii="Times New Roman" w:cs="Times New Roman" w:eastAsia="Times New Roman" w:hAnsi="Times New Roman"/>
          <w:sz w:val="18"/>
          <w:szCs w:val="18"/>
          <w:b w:val="1"/>
          <w:bCs w:val="1"/>
          <w:color w:val="auto"/>
        </w:rPr>
      </w:pPr>
    </w:p>
    <w:p>
      <w:pPr>
        <w:ind w:left="1400" w:right="100" w:hanging="744"/>
        <w:spacing w:after="0" w:line="282" w:lineRule="auto"/>
        <w:tabs>
          <w:tab w:leader="none" w:pos="1420" w:val="left"/>
        </w:tabs>
        <w:numPr>
          <w:ilvl w:val="0"/>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promptly, such further information regarding the financial condition, business and operations of any member of the Group or any Obligor as the Lender may reasonably request; and</w:t>
      </w:r>
    </w:p>
    <w:p>
      <w:pPr>
        <w:spacing w:after="0" w:line="161" w:lineRule="exact"/>
        <w:rPr>
          <w:rFonts w:ascii="Times New Roman" w:cs="Times New Roman" w:eastAsia="Times New Roman" w:hAnsi="Times New Roman"/>
          <w:sz w:val="18"/>
          <w:szCs w:val="18"/>
          <w:b w:val="1"/>
          <w:bCs w:val="1"/>
          <w:color w:val="auto"/>
        </w:rPr>
      </w:pPr>
    </w:p>
    <w:p>
      <w:pPr>
        <w:ind w:left="1400" w:right="620" w:hanging="744"/>
        <w:spacing w:after="0" w:line="282" w:lineRule="auto"/>
        <w:tabs>
          <w:tab w:leader="none" w:pos="1413" w:val="left"/>
        </w:tabs>
        <w:numPr>
          <w:ilvl w:val="0"/>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promptly, notice of any change in authorised signatories of any Obligor signed by a director or company secretary of such Obligor accompanied by specimen signatures of any new authorised signatories.</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15.2</w:t>
      </w:r>
      <w:r>
        <w:rPr>
          <w:sz w:val="20"/>
          <w:szCs w:val="20"/>
          <w:color w:val="auto"/>
        </w:rPr>
        <w:tab/>
      </w:r>
      <w:r>
        <w:rPr>
          <w:rFonts w:ascii="Times New Roman" w:cs="Times New Roman" w:eastAsia="Times New Roman" w:hAnsi="Times New Roman"/>
          <w:sz w:val="18"/>
          <w:szCs w:val="18"/>
          <w:b w:val="1"/>
          <w:bCs w:val="1"/>
          <w:color w:val="auto"/>
        </w:rPr>
        <w:t>Notification of default</w:t>
      </w:r>
    </w:p>
    <w:p>
      <w:pPr>
        <w:spacing w:after="0" w:line="229" w:lineRule="exact"/>
        <w:rPr>
          <w:sz w:val="20"/>
          <w:szCs w:val="20"/>
          <w:color w:val="auto"/>
        </w:rPr>
      </w:pPr>
    </w:p>
    <w:p>
      <w:pPr>
        <w:ind w:left="1400" w:right="100" w:hanging="744"/>
        <w:spacing w:after="0" w:line="282" w:lineRule="auto"/>
        <w:tabs>
          <w:tab w:leader="none" w:pos="1410" w:val="left"/>
        </w:tabs>
        <w:numPr>
          <w:ilvl w:val="1"/>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Obligor shall notify the Lender of any Default (and the steps, if any, being taken to remedy it) promptly upon becoming aware of its occurrence.</w:t>
      </w:r>
    </w:p>
    <w:p>
      <w:pPr>
        <w:spacing w:after="0" w:line="161" w:lineRule="exact"/>
        <w:rPr>
          <w:rFonts w:ascii="Times New Roman" w:cs="Times New Roman" w:eastAsia="Times New Roman" w:hAnsi="Times New Roman"/>
          <w:sz w:val="18"/>
          <w:szCs w:val="18"/>
          <w:b w:val="1"/>
          <w:bCs w:val="1"/>
          <w:color w:val="auto"/>
        </w:rPr>
      </w:pPr>
    </w:p>
    <w:p>
      <w:pPr>
        <w:ind w:left="1400" w:right="140" w:hanging="744"/>
        <w:spacing w:after="0" w:line="266" w:lineRule="auto"/>
        <w:tabs>
          <w:tab w:leader="none" w:pos="1420" w:val="left"/>
        </w:tabs>
        <w:numPr>
          <w:ilvl w:val="1"/>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Promptly upon a request by the Lender if it believes (acting in good faith) that a Default may have occurred and is continuing, the Borrower shall deliver to the Lender a certificate signed by a director or authorised officer certifying that no Default is continuing (or if a Default is continuing, specifying the Default and the steps, if any, being taken to remedy it).</w:t>
      </w:r>
    </w:p>
    <w:p>
      <w:pPr>
        <w:spacing w:after="0" w:line="172"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UNDERTAKINGS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undertakings in this Clause 16 shall remain in force during the Loan Period.</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16.1</w:t>
      </w:r>
      <w:r>
        <w:rPr>
          <w:sz w:val="20"/>
          <w:szCs w:val="20"/>
          <w:color w:val="auto"/>
        </w:rPr>
        <w:tab/>
      </w:r>
      <w:r>
        <w:rPr>
          <w:rFonts w:ascii="Times New Roman" w:cs="Times New Roman" w:eastAsia="Times New Roman" w:hAnsi="Times New Roman"/>
          <w:sz w:val="17"/>
          <w:szCs w:val="17"/>
          <w:b w:val="1"/>
          <w:bCs w:val="1"/>
          <w:color w:val="auto"/>
        </w:rPr>
        <w:t>Authorisations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Obligor shall promptly:</w:t>
      </w:r>
    </w:p>
    <w:p>
      <w:pPr>
        <w:spacing w:after="0" w:line="225" w:lineRule="exact"/>
        <w:rPr>
          <w:sz w:val="20"/>
          <w:szCs w:val="20"/>
          <w:color w:val="auto"/>
        </w:rPr>
      </w:pPr>
    </w:p>
    <w:p>
      <w:pPr>
        <w:ind w:left="1400" w:hanging="744"/>
        <w:spacing w:after="0"/>
        <w:tabs>
          <w:tab w:leader="none" w:pos="1400" w:val="left"/>
        </w:tabs>
        <w:numPr>
          <w:ilvl w:val="0"/>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obtain, comply with and do all that is necessary to maintain in full force and effect; and</w:t>
      </w:r>
    </w:p>
    <w:p>
      <w:pPr>
        <w:spacing w:after="0" w:line="225"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supply certified copies to the Lender of,</w:t>
      </w:r>
    </w:p>
    <w:p>
      <w:pPr>
        <w:spacing w:after="0" w:line="225" w:lineRule="exact"/>
        <w:rPr>
          <w:sz w:val="20"/>
          <w:szCs w:val="20"/>
          <w:color w:val="auto"/>
        </w:rPr>
      </w:pPr>
    </w:p>
    <w:p>
      <w:pPr>
        <w:ind w:left="640" w:right="160"/>
        <w:spacing w:after="0" w:line="282" w:lineRule="auto"/>
        <w:rPr>
          <w:sz w:val="20"/>
          <w:szCs w:val="20"/>
          <w:color w:val="auto"/>
        </w:rPr>
      </w:pPr>
      <w:r>
        <w:rPr>
          <w:rFonts w:ascii="Times New Roman" w:cs="Times New Roman" w:eastAsia="Times New Roman" w:hAnsi="Times New Roman"/>
          <w:sz w:val="18"/>
          <w:szCs w:val="18"/>
          <w:color w:val="auto"/>
        </w:rPr>
        <w:t>any Authorisation required to enable it to perform its obligations under the Finance Documents and to ensure the legality, validity, enforceability or admissibility in evidence in its jurisdiction of incorporation of any Finance Document.</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16.2</w:t>
      </w:r>
      <w:r>
        <w:rPr>
          <w:sz w:val="20"/>
          <w:szCs w:val="20"/>
          <w:color w:val="auto"/>
        </w:rPr>
        <w:tab/>
      </w:r>
      <w:r>
        <w:rPr>
          <w:rFonts w:ascii="Times New Roman" w:cs="Times New Roman" w:eastAsia="Times New Roman" w:hAnsi="Times New Roman"/>
          <w:sz w:val="18"/>
          <w:szCs w:val="18"/>
          <w:b w:val="1"/>
          <w:bCs w:val="1"/>
          <w:color w:val="auto"/>
        </w:rPr>
        <w:t>Compliance with laws</w:t>
      </w:r>
    </w:p>
    <w:p>
      <w:pPr>
        <w:spacing w:after="0" w:line="229"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Each Obligor shall comply in all respects with all laws, regulations and listing rules to which it may be subject, if failure so to comply would materially impair its ability to perform its obligations under the Finance Documents. Each Obligor shall ensure that the Loan and the use of the Loan is legal under all applicable laws.</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16.3</w:t>
      </w:r>
      <w:r>
        <w:rPr>
          <w:sz w:val="20"/>
          <w:szCs w:val="20"/>
          <w:color w:val="auto"/>
        </w:rPr>
        <w:tab/>
      </w:r>
      <w:r>
        <w:rPr>
          <w:rFonts w:ascii="Times New Roman" w:cs="Times New Roman" w:eastAsia="Times New Roman" w:hAnsi="Times New Roman"/>
          <w:sz w:val="17"/>
          <w:szCs w:val="17"/>
          <w:b w:val="1"/>
          <w:bCs w:val="1"/>
          <w:color w:val="auto"/>
        </w:rPr>
        <w:t>Pari passu ranking</w:t>
      </w:r>
    </w:p>
    <w:p>
      <w:pPr>
        <w:sectPr>
          <w:pgSz w:w="11900" w:h="16838" w:orient="portrait"/>
          <w:cols w:equalWidth="0" w:num="1">
            <w:col w:w="11420"/>
          </w:cols>
          <w:pgMar w:left="240" w:top="335" w:right="239" w:bottom="0" w:gutter="0" w:footer="0" w:header="0"/>
        </w:sectPr>
      </w:pPr>
    </w:p>
    <w:bookmarkStart w:id="151" w:name="page152"/>
    <w:bookmarkEnd w:id="151"/>
    <w:p>
      <w:pPr>
        <w:ind w:left="660" w:right="20"/>
        <w:spacing w:after="0" w:line="266" w:lineRule="auto"/>
        <w:rPr>
          <w:sz w:val="20"/>
          <w:szCs w:val="20"/>
          <w:color w:val="auto"/>
        </w:rPr>
      </w:pPr>
      <w:r>
        <w:rPr>
          <w:rFonts w:ascii="Times New Roman" w:cs="Times New Roman" w:eastAsia="Times New Roman" w:hAnsi="Times New Roman"/>
          <w:sz w:val="18"/>
          <w:szCs w:val="18"/>
          <w:color w:val="auto"/>
        </w:rPr>
        <w:t>Each Obligor shall ensure that the payment obligations of the Obligors under the Finance Documents rank and continue to rank at least pari passu with the claims of all of its other unsecured and unsubordinated creditors, except for obligations mandatorily preferred by law applying to companies generally.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16.4</w:t>
      </w:r>
      <w:r>
        <w:rPr>
          <w:sz w:val="20"/>
          <w:szCs w:val="20"/>
          <w:color w:val="auto"/>
        </w:rPr>
        <w:tab/>
      </w:r>
      <w:r>
        <w:rPr>
          <w:rFonts w:ascii="Times New Roman" w:cs="Times New Roman" w:eastAsia="Times New Roman" w:hAnsi="Times New Roman"/>
          <w:sz w:val="17"/>
          <w:szCs w:val="17"/>
          <w:b w:val="1"/>
          <w:bCs w:val="1"/>
          <w:color w:val="auto"/>
        </w:rPr>
        <w:t>Disposals</w:t>
      </w:r>
    </w:p>
    <w:p>
      <w:pPr>
        <w:spacing w:after="0" w:line="229"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Each Obligor shall not, and shall procure each member of the Group not to, enter into a single transaction or a series of transactions (whether related or not) and whether voluntary or involuntary to dispose of any of their respective assets ofvalue exceeding US$2,500,000 (each as determined by the Lender as at the date of the disposal) without prior written consent from the Lender (which may be withheld or given with or without conditions in the Lender’s sole discretion).</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16.5</w:t>
      </w:r>
      <w:r>
        <w:rPr>
          <w:sz w:val="20"/>
          <w:szCs w:val="20"/>
          <w:color w:val="auto"/>
        </w:rPr>
        <w:tab/>
      </w:r>
      <w:r>
        <w:rPr>
          <w:rFonts w:ascii="Times New Roman" w:cs="Times New Roman" w:eastAsia="Times New Roman" w:hAnsi="Times New Roman"/>
          <w:sz w:val="18"/>
          <w:szCs w:val="18"/>
          <w:b w:val="1"/>
          <w:bCs w:val="1"/>
          <w:color w:val="auto"/>
        </w:rPr>
        <w:t>Merger</w:t>
      </w:r>
    </w:p>
    <w:p>
      <w:pPr>
        <w:spacing w:after="0" w:line="229" w:lineRule="exact"/>
        <w:rPr>
          <w:sz w:val="20"/>
          <w:szCs w:val="20"/>
          <w:color w:val="auto"/>
        </w:rPr>
      </w:pPr>
    </w:p>
    <w:p>
      <w:pPr>
        <w:ind w:left="660" w:right="960"/>
        <w:spacing w:after="0" w:line="282" w:lineRule="auto"/>
        <w:rPr>
          <w:sz w:val="20"/>
          <w:szCs w:val="20"/>
          <w:color w:val="auto"/>
        </w:rPr>
      </w:pPr>
      <w:r>
        <w:rPr>
          <w:rFonts w:ascii="Times New Roman" w:cs="Times New Roman" w:eastAsia="Times New Roman" w:hAnsi="Times New Roman"/>
          <w:sz w:val="18"/>
          <w:szCs w:val="18"/>
          <w:color w:val="auto"/>
        </w:rPr>
        <w:t>Each Obligor shall not, and shall procure each member of the Group not to, enter into any amalgamation, demerger, merger or corporate reconstruction without the prior written consent of the Lender.</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16.6</w:t>
      </w:r>
      <w:r>
        <w:rPr>
          <w:sz w:val="20"/>
          <w:szCs w:val="20"/>
          <w:color w:val="auto"/>
        </w:rPr>
        <w:tab/>
      </w:r>
      <w:r>
        <w:rPr>
          <w:rFonts w:ascii="Times New Roman" w:cs="Times New Roman" w:eastAsia="Times New Roman" w:hAnsi="Times New Roman"/>
          <w:sz w:val="18"/>
          <w:szCs w:val="18"/>
          <w:b w:val="1"/>
          <w:bCs w:val="1"/>
          <w:color w:val="auto"/>
        </w:rPr>
        <w:t>Redemption of shares</w:t>
      </w:r>
    </w:p>
    <w:p>
      <w:pPr>
        <w:spacing w:after="0" w:line="229"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Each Obligor shall not, and shall procure each member of the Group not to, purchase or redeem any of its issued share capital or make a distribution of assets or other capital distribution to its shareholders without the prior written consent of the Lender.</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16.7</w:t>
      </w:r>
      <w:r>
        <w:rPr>
          <w:sz w:val="20"/>
          <w:szCs w:val="20"/>
          <w:color w:val="auto"/>
        </w:rPr>
        <w:tab/>
      </w:r>
      <w:r>
        <w:rPr>
          <w:rFonts w:ascii="Times New Roman" w:cs="Times New Roman" w:eastAsia="Times New Roman" w:hAnsi="Times New Roman"/>
          <w:sz w:val="18"/>
          <w:szCs w:val="18"/>
          <w:b w:val="1"/>
          <w:bCs w:val="1"/>
          <w:color w:val="auto"/>
        </w:rPr>
        <w:t>Dividend distribution</w:t>
      </w:r>
    </w:p>
    <w:p>
      <w:pPr>
        <w:spacing w:after="0" w:line="229"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Each Obligor shall not, and shall procure each member of the Group not to, declare or pay any dividend or make any other income distribution to its shareholders without the prior written consent of the Lender.</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16.8</w:t>
      </w:r>
      <w:r>
        <w:rPr>
          <w:sz w:val="20"/>
          <w:szCs w:val="20"/>
          <w:color w:val="auto"/>
        </w:rPr>
        <w:tab/>
      </w:r>
      <w:r>
        <w:rPr>
          <w:rFonts w:ascii="Times New Roman" w:cs="Times New Roman" w:eastAsia="Times New Roman" w:hAnsi="Times New Roman"/>
          <w:sz w:val="18"/>
          <w:szCs w:val="18"/>
          <w:b w:val="1"/>
          <w:bCs w:val="1"/>
          <w:color w:val="auto"/>
        </w:rPr>
        <w:t>Change of business</w:t>
      </w:r>
    </w:p>
    <w:p>
      <w:pPr>
        <w:spacing w:after="0" w:line="229" w:lineRule="exact"/>
        <w:rPr>
          <w:sz w:val="20"/>
          <w:szCs w:val="20"/>
          <w:color w:val="auto"/>
        </w:rPr>
      </w:pPr>
    </w:p>
    <w:p>
      <w:pPr>
        <w:ind w:left="660" w:right="400"/>
        <w:spacing w:after="0" w:line="282" w:lineRule="auto"/>
        <w:rPr>
          <w:sz w:val="20"/>
          <w:szCs w:val="20"/>
          <w:color w:val="auto"/>
        </w:rPr>
      </w:pPr>
      <w:r>
        <w:rPr>
          <w:rFonts w:ascii="Times New Roman" w:cs="Times New Roman" w:eastAsia="Times New Roman" w:hAnsi="Times New Roman"/>
          <w:sz w:val="18"/>
          <w:szCs w:val="18"/>
          <w:color w:val="auto"/>
        </w:rPr>
        <w:t>Each Obligor shall not, and shall procure each member of the Group not to, make any substantial change to the general nature of theirrespective business from that carried on at the Execution Date without the prior written consent of the Lender.</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16.9</w:t>
      </w:r>
      <w:r>
        <w:rPr>
          <w:sz w:val="20"/>
          <w:szCs w:val="20"/>
          <w:color w:val="auto"/>
        </w:rPr>
        <w:tab/>
      </w:r>
      <w:r>
        <w:rPr>
          <w:rFonts w:ascii="Times New Roman" w:cs="Times New Roman" w:eastAsia="Times New Roman" w:hAnsi="Times New Roman"/>
          <w:sz w:val="18"/>
          <w:szCs w:val="18"/>
          <w:b w:val="1"/>
          <w:bCs w:val="1"/>
          <w:color w:val="auto"/>
        </w:rPr>
        <w:t>Acquisitions</w:t>
      </w:r>
    </w:p>
    <w:p>
      <w:pPr>
        <w:spacing w:after="0" w:line="229" w:lineRule="exact"/>
        <w:rPr>
          <w:sz w:val="20"/>
          <w:szCs w:val="20"/>
          <w:color w:val="auto"/>
        </w:rPr>
      </w:pPr>
    </w:p>
    <w:p>
      <w:pPr>
        <w:ind w:left="660" w:right="520"/>
        <w:spacing w:after="0" w:line="282" w:lineRule="auto"/>
        <w:rPr>
          <w:sz w:val="20"/>
          <w:szCs w:val="20"/>
          <w:color w:val="auto"/>
        </w:rPr>
      </w:pPr>
      <w:r>
        <w:rPr>
          <w:rFonts w:ascii="Times New Roman" w:cs="Times New Roman" w:eastAsia="Times New Roman" w:hAnsi="Times New Roman"/>
          <w:sz w:val="18"/>
          <w:szCs w:val="18"/>
          <w:color w:val="auto"/>
        </w:rPr>
        <w:t>Each Obligor shall not, and shall procure each member of the Group not to, acquire any company, business, assets or undertaking or make any investment without the prior written consent of the Lender.</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16.10</w:t>
      </w:r>
      <w:r>
        <w:rPr>
          <w:sz w:val="20"/>
          <w:szCs w:val="20"/>
          <w:color w:val="auto"/>
        </w:rPr>
        <w:tab/>
      </w:r>
      <w:r>
        <w:rPr>
          <w:rFonts w:ascii="Times New Roman" w:cs="Times New Roman" w:eastAsia="Times New Roman" w:hAnsi="Times New Roman"/>
          <w:sz w:val="17"/>
          <w:szCs w:val="17"/>
          <w:b w:val="1"/>
          <w:bCs w:val="1"/>
          <w:color w:val="auto"/>
        </w:rPr>
        <w:t>Loans and Guarantees</w:t>
      </w:r>
    </w:p>
    <w:p>
      <w:pPr>
        <w:spacing w:after="0" w:line="229"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Without the prior written consent of the Lender, each Obligor shall not, and shall procure each member of the Group not to, make any loans, grant any credit (save in the ordinary course of business) or give any guarantee or indemnity (except as required under any of the Finance Documents) to or for the benefit of any person or otherwise voluntarily assume any liability, whether actual or contingent, in respect of any obligation of any person, save and except where such making of loans and giving of guarantees or indemnities are in the ordinary course of business of the relevant member of the Group.</w:t>
      </w:r>
    </w:p>
    <w:p>
      <w:pPr>
        <w:spacing w:after="0" w:line="18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16.11</w:t>
      </w:r>
      <w:r>
        <w:rPr>
          <w:sz w:val="20"/>
          <w:szCs w:val="20"/>
          <w:color w:val="auto"/>
        </w:rPr>
        <w:tab/>
      </w:r>
      <w:r>
        <w:rPr>
          <w:rFonts w:ascii="Times New Roman" w:cs="Times New Roman" w:eastAsia="Times New Roman" w:hAnsi="Times New Roman"/>
          <w:sz w:val="17"/>
          <w:szCs w:val="17"/>
          <w:b w:val="1"/>
          <w:bCs w:val="1"/>
          <w:color w:val="auto"/>
        </w:rPr>
        <w:t>Use of Proceeds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shall not use any proceeds of the Loan for any purpose other than that set forth in Clause 3.1 (</w:t>
      </w:r>
      <w:r>
        <w:rPr>
          <w:rFonts w:ascii="Times New Roman" w:cs="Times New Roman" w:eastAsia="Times New Roman" w:hAnsi="Times New Roman"/>
          <w:sz w:val="18"/>
          <w:szCs w:val="18"/>
          <w:i w:val="1"/>
          <w:iCs w:val="1"/>
          <w:color w:val="auto"/>
        </w:rPr>
        <w:t>Purpose</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16.12</w:t>
      </w:r>
      <w:r>
        <w:rPr>
          <w:sz w:val="20"/>
          <w:szCs w:val="20"/>
          <w:color w:val="auto"/>
        </w:rPr>
        <w:tab/>
      </w:r>
      <w:r>
        <w:rPr>
          <w:rFonts w:ascii="Times New Roman" w:cs="Times New Roman" w:eastAsia="Times New Roman" w:hAnsi="Times New Roman"/>
          <w:sz w:val="17"/>
          <w:szCs w:val="17"/>
          <w:b w:val="1"/>
          <w:bCs w:val="1"/>
          <w:color w:val="auto"/>
        </w:rPr>
        <w:t>Fundamental changes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Without the prior written consent of the Lender, each Obligor shall not, and shall procure each member of the Group not to, change: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0" w:hanging="744"/>
        <w:spacing w:after="0"/>
        <w:tabs>
          <w:tab w:leader="none" w:pos="1400" w:val="left"/>
        </w:tabs>
        <w:numPr>
          <w:ilvl w:val="0"/>
          <w:numId w:val="2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its constitutional documents in any manner which would be inconsistent with the provisions of any Finance Document; or</w:t>
      </w:r>
    </w:p>
    <w:p>
      <w:pPr>
        <w:spacing w:after="0" w:line="225"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2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its financial year.</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16.13</w:t>
      </w:r>
      <w:r>
        <w:rPr>
          <w:sz w:val="20"/>
          <w:szCs w:val="20"/>
          <w:color w:val="auto"/>
        </w:rPr>
        <w:tab/>
      </w:r>
      <w:r>
        <w:rPr>
          <w:rFonts w:ascii="Times New Roman" w:cs="Times New Roman" w:eastAsia="Times New Roman" w:hAnsi="Times New Roman"/>
          <w:sz w:val="17"/>
          <w:szCs w:val="17"/>
          <w:b w:val="1"/>
          <w:bCs w:val="1"/>
          <w:color w:val="auto"/>
        </w:rPr>
        <w:t>Amendments, waivers, etc. of material agreements</w:t>
      </w:r>
    </w:p>
    <w:p>
      <w:pPr>
        <w:spacing w:after="0" w:line="229" w:lineRule="exact"/>
        <w:rPr>
          <w:sz w:val="20"/>
          <w:szCs w:val="20"/>
          <w:color w:val="auto"/>
        </w:rPr>
      </w:pPr>
    </w:p>
    <w:p>
      <w:pPr>
        <w:ind w:left="660" w:right="260"/>
        <w:spacing w:after="0" w:line="282" w:lineRule="auto"/>
        <w:rPr>
          <w:sz w:val="20"/>
          <w:szCs w:val="20"/>
          <w:color w:val="auto"/>
        </w:rPr>
      </w:pPr>
      <w:r>
        <w:rPr>
          <w:rFonts w:ascii="Times New Roman" w:cs="Times New Roman" w:eastAsia="Times New Roman" w:hAnsi="Times New Roman"/>
          <w:sz w:val="18"/>
          <w:szCs w:val="18"/>
          <w:color w:val="auto"/>
        </w:rPr>
        <w:t>Each Obligor shall not, and shall procure each member of the Group not to, terminate, amend or grant any waiver with respect to any provision of any material agreement or other instrument evidencing or relating to Financial Indebtedness without the prior written consent of the Lender.</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16.14</w:t>
      </w:r>
      <w:r>
        <w:rPr>
          <w:sz w:val="20"/>
          <w:szCs w:val="20"/>
          <w:color w:val="auto"/>
        </w:rPr>
        <w:tab/>
      </w:r>
      <w:r>
        <w:rPr>
          <w:rFonts w:ascii="Times New Roman" w:cs="Times New Roman" w:eastAsia="Times New Roman" w:hAnsi="Times New Roman"/>
          <w:sz w:val="17"/>
          <w:szCs w:val="17"/>
          <w:b w:val="1"/>
          <w:bCs w:val="1"/>
          <w:color w:val="auto"/>
        </w:rPr>
        <w:t>Borrowing or raising of credit</w:t>
      </w:r>
    </w:p>
    <w:p>
      <w:pPr>
        <w:spacing w:after="0" w:line="229" w:lineRule="exact"/>
        <w:rPr>
          <w:sz w:val="20"/>
          <w:szCs w:val="20"/>
          <w:color w:val="auto"/>
        </w:rPr>
      </w:pPr>
    </w:p>
    <w:p>
      <w:pPr>
        <w:ind w:left="660" w:right="40"/>
        <w:spacing w:after="0" w:line="289" w:lineRule="auto"/>
        <w:rPr>
          <w:sz w:val="20"/>
          <w:szCs w:val="20"/>
          <w:color w:val="auto"/>
        </w:rPr>
      </w:pPr>
      <w:r>
        <w:rPr>
          <w:rFonts w:ascii="Times New Roman" w:cs="Times New Roman" w:eastAsia="Times New Roman" w:hAnsi="Times New Roman"/>
          <w:sz w:val="17"/>
          <w:szCs w:val="17"/>
          <w:color w:val="auto"/>
        </w:rPr>
        <w:t>Each Obligor shall not, and shall procure each member of the Group not to, borrow or raise credit or Financial Indebtedness or incur any other indebtedness or permit to subsist any financial facilities with any bank, financial institution or other party without prior written consent of the Lender, except from the Lender pursuant to this Agreement, save and except where such borrowing and raising of credit are in the ordinary course of</w:t>
      </w:r>
    </w:p>
    <w:p>
      <w:pPr>
        <w:sectPr>
          <w:pgSz w:w="11900" w:h="16838" w:orient="portrait"/>
          <w:cols w:equalWidth="0" w:num="1">
            <w:col w:w="11420"/>
          </w:cols>
          <w:pgMar w:left="240" w:top="121" w:right="239" w:bottom="0" w:gutter="0" w:footer="0" w:header="0"/>
        </w:sectPr>
      </w:pPr>
    </w:p>
    <w:bookmarkStart w:id="152" w:name="page153"/>
    <w:bookmarkEnd w:id="152"/>
    <w:p>
      <w:pPr>
        <w:spacing w:after="0" w:line="51" w:lineRule="exact"/>
        <w:rPr>
          <w:sz w:val="20"/>
          <w:szCs w:val="20"/>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business of the relevant member of the Group, in which event the Borrower shall give a prior written notification of such proposed borrowing and raising of credit to the Lender.</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16.15</w:t>
        <w:tab/>
        <w:t>Negative pledge</w:t>
      </w:r>
    </w:p>
    <w:p>
      <w:pPr>
        <w:spacing w:after="0" w:line="229" w:lineRule="exact"/>
        <w:rPr>
          <w:sz w:val="20"/>
          <w:szCs w:val="20"/>
          <w:color w:val="auto"/>
        </w:rPr>
      </w:pPr>
    </w:p>
    <w:p>
      <w:pPr>
        <w:ind w:left="1300" w:hanging="644"/>
        <w:spacing w:after="0" w:line="258" w:lineRule="auto"/>
        <w:tabs>
          <w:tab w:leader="none" w:pos="1307" w:val="left"/>
        </w:tabs>
        <w:numPr>
          <w:ilvl w:val="0"/>
          <w:numId w:val="2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Obligor shall not, and shall procure each member of the Group not to, create or permit to subsist any Security over any of the Group’s assets to secure any Financial Indebtedness of the Obligors or any Subsidiary thereof (or any guarantees or indemnity in respect thereof) without, in any such case, making effective provision whereby the Loan and the obligations under the Finance Documents will be secured either at least equally and ratably with such Financial Indebtedness or by such other Security as shall have been approved by the Lender, for so long as such Financial Indebtedness will be so secured.</w:t>
      </w:r>
    </w:p>
    <w:p>
      <w:pPr>
        <w:spacing w:after="0" w:line="183" w:lineRule="exact"/>
        <w:rPr>
          <w:rFonts w:ascii="Times New Roman" w:cs="Times New Roman" w:eastAsia="Times New Roman" w:hAnsi="Times New Roman"/>
          <w:sz w:val="18"/>
          <w:szCs w:val="18"/>
          <w:b w:val="1"/>
          <w:bCs w:val="1"/>
          <w:color w:val="auto"/>
        </w:rPr>
      </w:pPr>
    </w:p>
    <w:p>
      <w:pPr>
        <w:ind w:left="1380" w:hanging="724"/>
        <w:spacing w:after="0"/>
        <w:tabs>
          <w:tab w:leader="none" w:pos="1380" w:val="left"/>
        </w:tabs>
        <w:numPr>
          <w:ilvl w:val="0"/>
          <w:numId w:val="2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Paragraph (a) above does not apply to any Security listed below:</w:t>
      </w:r>
    </w:p>
    <w:p>
      <w:pPr>
        <w:spacing w:after="0" w:line="225" w:lineRule="exact"/>
        <w:rPr>
          <w:rFonts w:ascii="Times New Roman" w:cs="Times New Roman" w:eastAsia="Times New Roman" w:hAnsi="Times New Roman"/>
          <w:sz w:val="18"/>
          <w:szCs w:val="18"/>
          <w:b w:val="1"/>
          <w:bCs w:val="1"/>
          <w:color w:val="auto"/>
        </w:rPr>
      </w:pPr>
    </w:p>
    <w:p>
      <w:pPr>
        <w:ind w:left="1960" w:right="80" w:hanging="655"/>
        <w:spacing w:after="0" w:line="282" w:lineRule="auto"/>
        <w:tabs>
          <w:tab w:leader="none" w:pos="1981"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arising or already arisen automatically by operation of law, or for taxes, assessments or governmental charges which is promptly discharged or disputed in good faith by appropriate proceedings;</w:t>
      </w:r>
    </w:p>
    <w:p>
      <w:pPr>
        <w:spacing w:after="0" w:line="161" w:lineRule="exact"/>
        <w:rPr>
          <w:rFonts w:ascii="Times New Roman" w:cs="Times New Roman" w:eastAsia="Times New Roman" w:hAnsi="Times New Roman"/>
          <w:sz w:val="18"/>
          <w:szCs w:val="18"/>
          <w:color w:val="auto"/>
        </w:rPr>
      </w:pPr>
    </w:p>
    <w:p>
      <w:pPr>
        <w:ind w:left="1960" w:right="40" w:hanging="655"/>
        <w:spacing w:after="0" w:line="282" w:lineRule="auto"/>
        <w:tabs>
          <w:tab w:leader="none" w:pos="1991"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existing on any property or asset prior to the acquisition thereof by an Obligor or any Subsidiary thereof arising after such acquisition pursuant to contractual commitments entered into prior to and not in contemplation of such acquisition;</w:t>
      </w:r>
    </w:p>
    <w:p>
      <w:pPr>
        <w:spacing w:after="0" w:line="161" w:lineRule="exact"/>
        <w:rPr>
          <w:rFonts w:ascii="Times New Roman" w:cs="Times New Roman" w:eastAsia="Times New Roman" w:hAnsi="Times New Roman"/>
          <w:sz w:val="18"/>
          <w:szCs w:val="18"/>
          <w:color w:val="auto"/>
        </w:rPr>
      </w:pPr>
    </w:p>
    <w:p>
      <w:pPr>
        <w:ind w:left="1960" w:right="540" w:hanging="655"/>
        <w:spacing w:after="0" w:line="282" w:lineRule="auto"/>
        <w:tabs>
          <w:tab w:leader="none" w:pos="200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management, netting or set-off arrangement or combination of accounts arising in favour of any bank or financial institution as a result of the day-to-day operation of banking arrangements;</w:t>
      </w:r>
    </w:p>
    <w:p>
      <w:pPr>
        <w:spacing w:after="0" w:line="161" w:lineRule="exact"/>
        <w:rPr>
          <w:rFonts w:ascii="Times New Roman" w:cs="Times New Roman" w:eastAsia="Times New Roman" w:hAnsi="Times New Roman"/>
          <w:sz w:val="18"/>
          <w:szCs w:val="18"/>
          <w:color w:val="auto"/>
        </w:rPr>
      </w:pPr>
    </w:p>
    <w:p>
      <w:pPr>
        <w:ind w:left="1960" w:right="80" w:hanging="655"/>
        <w:spacing w:after="0" w:line="313" w:lineRule="auto"/>
        <w:tabs>
          <w:tab w:leader="none" w:pos="1977" w:val="left"/>
        </w:tabs>
        <w:numPr>
          <w:ilvl w:val="1"/>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Security arising under any retention of title, title transfer, hire purchase or conditional sale arrangement or arrangements having similar effect in respect of goods supplied to any Obligor or any Subsidiary thereof in the ordinary course of business; and</w:t>
      </w:r>
    </w:p>
    <w:p>
      <w:pPr>
        <w:spacing w:after="0" w:line="138" w:lineRule="exact"/>
        <w:rPr>
          <w:rFonts w:ascii="Times New Roman" w:cs="Times New Roman" w:eastAsia="Times New Roman" w:hAnsi="Times New Roman"/>
          <w:sz w:val="17"/>
          <w:szCs w:val="17"/>
          <w:color w:val="auto"/>
        </w:rPr>
      </w:pPr>
    </w:p>
    <w:p>
      <w:pPr>
        <w:ind w:left="1960" w:right="560" w:hanging="655"/>
        <w:spacing w:after="0" w:line="282" w:lineRule="auto"/>
        <w:tabs>
          <w:tab w:leader="none" w:pos="1967"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easement, right-of-way, zoning and similar restriction and other similar charge or encumbrance not interfering with the ordinary course of business of an Obligor or any of its Subsidiaries.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2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EVENTS OF DEFAULT</w:t>
      </w:r>
    </w:p>
    <w:p>
      <w:pPr>
        <w:spacing w:after="0" w:line="22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the events or circumstances set out in the following sub-clauses of this Clause 17 (other than 18.14 (</w:t>
      </w:r>
      <w:r>
        <w:rPr>
          <w:rFonts w:ascii="Times New Roman" w:cs="Times New Roman" w:eastAsia="Times New Roman" w:hAnsi="Times New Roman"/>
          <w:sz w:val="18"/>
          <w:szCs w:val="18"/>
          <w:i w:val="1"/>
          <w:iCs w:val="1"/>
          <w:color w:val="auto"/>
        </w:rPr>
        <w:t>Acceleration</w:t>
      </w:r>
      <w:r>
        <w:rPr>
          <w:rFonts w:ascii="Times New Roman" w:cs="Times New Roman" w:eastAsia="Times New Roman" w:hAnsi="Times New Roman"/>
          <w:sz w:val="18"/>
          <w:szCs w:val="18"/>
          <w:color w:val="auto"/>
        </w:rPr>
        <w:t>)) is an Event of Default.</w:t>
      </w:r>
    </w:p>
    <w:p>
      <w:pPr>
        <w:spacing w:after="0" w:line="22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17.1</w:t>
      </w:r>
      <w:r>
        <w:rPr>
          <w:sz w:val="20"/>
          <w:szCs w:val="20"/>
          <w:color w:val="auto"/>
        </w:rPr>
        <w:tab/>
      </w:r>
      <w:r>
        <w:rPr>
          <w:rFonts w:ascii="Times New Roman" w:cs="Times New Roman" w:eastAsia="Times New Roman" w:hAnsi="Times New Roman"/>
          <w:sz w:val="18"/>
          <w:szCs w:val="18"/>
          <w:b w:val="1"/>
          <w:bCs w:val="1"/>
          <w:color w:val="auto"/>
        </w:rPr>
        <w:t>Non-payment</w:t>
      </w:r>
    </w:p>
    <w:p>
      <w:pPr>
        <w:spacing w:after="0" w:line="229" w:lineRule="exact"/>
        <w:rPr>
          <w:sz w:val="20"/>
          <w:szCs w:val="20"/>
          <w:color w:val="auto"/>
        </w:rPr>
      </w:pPr>
    </w:p>
    <w:p>
      <w:pPr>
        <w:ind w:left="660" w:right="460"/>
        <w:spacing w:after="0" w:line="282" w:lineRule="auto"/>
        <w:rPr>
          <w:sz w:val="20"/>
          <w:szCs w:val="20"/>
          <w:color w:val="auto"/>
        </w:rPr>
      </w:pPr>
      <w:r>
        <w:rPr>
          <w:rFonts w:ascii="Times New Roman" w:cs="Times New Roman" w:eastAsia="Times New Roman" w:hAnsi="Times New Roman"/>
          <w:sz w:val="18"/>
          <w:szCs w:val="18"/>
          <w:color w:val="auto"/>
        </w:rPr>
        <w:t>The Borrower does not pay on the due date any amount payable pursuant to a Finance Document at the place and in the currency in which it is expressed to be payable unless:</w:t>
      </w:r>
    </w:p>
    <w:p>
      <w:pPr>
        <w:spacing w:after="0" w:line="162" w:lineRule="exact"/>
        <w:rPr>
          <w:sz w:val="20"/>
          <w:szCs w:val="20"/>
          <w:color w:val="auto"/>
        </w:rPr>
      </w:pPr>
    </w:p>
    <w:p>
      <w:pPr>
        <w:ind w:left="1400" w:hanging="744"/>
        <w:spacing w:after="0"/>
        <w:tabs>
          <w:tab w:leader="none" w:pos="1400"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its failure to pay is caused by administrative or technical error, the Lender, or the force majeure; and</w:t>
      </w:r>
    </w:p>
    <w:p>
      <w:pPr>
        <w:spacing w:after="0" w:line="225"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payment is made within three (3) Business Days of its due date.</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17.2</w:t>
      </w:r>
      <w:r>
        <w:rPr>
          <w:sz w:val="20"/>
          <w:szCs w:val="20"/>
          <w:color w:val="auto"/>
        </w:rPr>
        <w:tab/>
      </w:r>
      <w:r>
        <w:rPr>
          <w:rFonts w:ascii="Times New Roman" w:cs="Times New Roman" w:eastAsia="Times New Roman" w:hAnsi="Times New Roman"/>
          <w:sz w:val="18"/>
          <w:szCs w:val="18"/>
          <w:b w:val="1"/>
          <w:bCs w:val="1"/>
          <w:color w:val="auto"/>
        </w:rPr>
        <w:t>Other obligations</w:t>
      </w:r>
    </w:p>
    <w:p>
      <w:pPr>
        <w:spacing w:after="0" w:line="227" w:lineRule="exact"/>
        <w:rPr>
          <w:sz w:val="20"/>
          <w:szCs w:val="20"/>
          <w:color w:val="auto"/>
        </w:rPr>
      </w:pPr>
    </w:p>
    <w:p>
      <w:pPr>
        <w:ind w:left="1400" w:hanging="744"/>
        <w:spacing w:after="0"/>
        <w:tabs>
          <w:tab w:leader="none" w:pos="1400" w:val="left"/>
        </w:tabs>
        <w:numPr>
          <w:ilvl w:val="0"/>
          <w:numId w:val="2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Obligor does not comply with any provision of the Finance Documents (other than those referred to in Clause 17.1 (</w:t>
      </w:r>
      <w:r>
        <w:rPr>
          <w:rFonts w:ascii="Times New Roman" w:cs="Times New Roman" w:eastAsia="Times New Roman" w:hAnsi="Times New Roman"/>
          <w:sz w:val="18"/>
          <w:szCs w:val="18"/>
          <w:i w:val="1"/>
          <w:iCs w:val="1"/>
          <w:color w:val="auto"/>
        </w:rPr>
        <w:t>Non-payment</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b w:val="1"/>
          <w:bCs w:val="1"/>
          <w:color w:val="auto"/>
        </w:rPr>
      </w:pPr>
    </w:p>
    <w:p>
      <w:pPr>
        <w:ind w:left="1400" w:right="320" w:hanging="744"/>
        <w:spacing w:after="0" w:line="313" w:lineRule="auto"/>
        <w:tabs>
          <w:tab w:leader="none" w:pos="1420" w:val="left"/>
        </w:tabs>
        <w:numPr>
          <w:ilvl w:val="0"/>
          <w:numId w:val="2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 Event of Default under sub-clause (a) above will occur if the failure to comply is capable of remedy, and is remedied within ten (10) Business Days of the earlier of the Lender giving notice to the Borrower or any Obligor becoming aware of the failure to comply.</w:t>
      </w:r>
    </w:p>
    <w:p>
      <w:pPr>
        <w:spacing w:after="0" w:line="138" w:lineRule="exact"/>
        <w:rPr>
          <w:rFonts w:ascii="Times New Roman" w:cs="Times New Roman" w:eastAsia="Times New Roman" w:hAnsi="Times New Roman"/>
          <w:sz w:val="17"/>
          <w:szCs w:val="17"/>
          <w:b w:val="1"/>
          <w:bCs w:val="1"/>
          <w:color w:val="auto"/>
        </w:rPr>
      </w:pPr>
    </w:p>
    <w:p>
      <w:pPr>
        <w:ind w:left="1400" w:right="380" w:hanging="744"/>
        <w:spacing w:after="0" w:line="266" w:lineRule="auto"/>
        <w:tabs>
          <w:tab w:leader="none" w:pos="1413" w:val="left"/>
        </w:tabs>
        <w:numPr>
          <w:ilvl w:val="0"/>
          <w:numId w:val="2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Borrower fails to repay the Loan and all outstanding amounts with respect to the Loan on the Final Maturity Date, then without prejudice to any of the rights of the Lender under this Agreement and its exercise of such rights, the Parties shall enter into amicable negotiations with each other in good faith with a view to resolving the matter.</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17.3</w:t>
      </w:r>
      <w:r>
        <w:rPr>
          <w:sz w:val="20"/>
          <w:szCs w:val="20"/>
          <w:color w:val="auto"/>
        </w:rPr>
        <w:tab/>
      </w:r>
      <w:r>
        <w:rPr>
          <w:rFonts w:ascii="Times New Roman" w:cs="Times New Roman" w:eastAsia="Times New Roman" w:hAnsi="Times New Roman"/>
          <w:sz w:val="18"/>
          <w:szCs w:val="18"/>
          <w:b w:val="1"/>
          <w:bCs w:val="1"/>
          <w:color w:val="auto"/>
        </w:rPr>
        <w:t>Misrepresentation</w:t>
      </w:r>
    </w:p>
    <w:p>
      <w:pPr>
        <w:spacing w:after="0" w:line="229" w:lineRule="exact"/>
        <w:rPr>
          <w:sz w:val="20"/>
          <w:szCs w:val="20"/>
          <w:color w:val="auto"/>
        </w:rPr>
      </w:pPr>
    </w:p>
    <w:p>
      <w:pPr>
        <w:ind w:left="1400" w:right="20" w:hanging="744"/>
        <w:spacing w:after="0" w:line="266" w:lineRule="auto"/>
        <w:tabs>
          <w:tab w:leader="none" w:pos="1410" w:val="left"/>
        </w:tabs>
        <w:numPr>
          <w:ilvl w:val="0"/>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representation or statement made or deemed to be made by an Obligor in the Finance Documents or any other document delivered by or on behalf of any Obligor under or in connection with any Finance Document is or proves to have been incorrect or misleading in any material respect when made or deemed to be made by reference to the facts and circumstances then existing.</w:t>
      </w:r>
    </w:p>
    <w:p>
      <w:pPr>
        <w:spacing w:after="0" w:line="176"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Event of Default will occur under paragraph (a) above if the misrepresentation is capable of remedy and is remedied within ten</w:t>
      </w:r>
    </w:p>
    <w:p>
      <w:pPr>
        <w:spacing w:after="0" w:line="27" w:lineRule="exact"/>
        <w:rPr>
          <w:rFonts w:ascii="Times New Roman" w:cs="Times New Roman" w:eastAsia="Times New Roman" w:hAnsi="Times New Roman"/>
          <w:sz w:val="18"/>
          <w:szCs w:val="18"/>
          <w:b w:val="1"/>
          <w:bCs w:val="1"/>
          <w:color w:val="auto"/>
        </w:rPr>
      </w:pPr>
    </w:p>
    <w:p>
      <w:pPr>
        <w:ind w:left="1400" w:right="140" w:hanging="4"/>
        <w:spacing w:after="0" w:line="261" w:lineRule="auto"/>
        <w:tabs>
          <w:tab w:leader="none" w:pos="1745"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the earlier of (i) the Lender giving notice to the Borrower of such misrepresentation and (ii) any Obligor becoming aware of the misrepresentation.</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17.4</w:t>
      </w:r>
      <w:r>
        <w:rPr>
          <w:sz w:val="20"/>
          <w:szCs w:val="20"/>
          <w:color w:val="auto"/>
        </w:rPr>
        <w:tab/>
      </w:r>
      <w:r>
        <w:rPr>
          <w:rFonts w:ascii="Times New Roman" w:cs="Times New Roman" w:eastAsia="Times New Roman" w:hAnsi="Times New Roman"/>
          <w:sz w:val="17"/>
          <w:szCs w:val="17"/>
          <w:b w:val="1"/>
          <w:bCs w:val="1"/>
          <w:color w:val="auto"/>
        </w:rPr>
        <w:t>Cross default</w:t>
      </w:r>
    </w:p>
    <w:p>
      <w:pPr>
        <w:spacing w:after="0" w:line="229" w:lineRule="exact"/>
        <w:rPr>
          <w:sz w:val="20"/>
          <w:szCs w:val="20"/>
          <w:color w:val="auto"/>
        </w:rPr>
      </w:pPr>
    </w:p>
    <w:p>
      <w:pPr>
        <w:ind w:left="1400" w:right="160" w:hanging="744"/>
        <w:spacing w:after="0" w:line="282" w:lineRule="auto"/>
        <w:tabs>
          <w:tab w:leader="none" w:pos="1410" w:val="left"/>
        </w:tabs>
        <w:numPr>
          <w:ilvl w:val="0"/>
          <w:numId w:val="2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Financial Indebtedness of any member of the Group or any Obligor is not paid when due nor within any originally applicable grace period.</w:t>
      </w:r>
    </w:p>
    <w:p>
      <w:pPr>
        <w:spacing w:after="0" w:line="161" w:lineRule="exact"/>
        <w:rPr>
          <w:rFonts w:ascii="Times New Roman" w:cs="Times New Roman" w:eastAsia="Times New Roman" w:hAnsi="Times New Roman"/>
          <w:sz w:val="18"/>
          <w:szCs w:val="18"/>
          <w:b w:val="1"/>
          <w:bCs w:val="1"/>
          <w:color w:val="auto"/>
        </w:rPr>
      </w:pPr>
    </w:p>
    <w:p>
      <w:pPr>
        <w:ind w:left="1400" w:right="120" w:hanging="744"/>
        <w:spacing w:after="0" w:line="282" w:lineRule="auto"/>
        <w:tabs>
          <w:tab w:leader="none" w:pos="1420" w:val="left"/>
        </w:tabs>
        <w:numPr>
          <w:ilvl w:val="0"/>
          <w:numId w:val="2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Financial Indebtedness of any member of the Group or any Obligor is declared to be or otherwise becomes due and payable prior to its specified maturity as a result of an event of default (however described).</w:t>
      </w:r>
    </w:p>
    <w:p>
      <w:pPr>
        <w:spacing w:after="0" w:line="161" w:lineRule="exact"/>
        <w:rPr>
          <w:rFonts w:ascii="Times New Roman" w:cs="Times New Roman" w:eastAsia="Times New Roman" w:hAnsi="Times New Roman"/>
          <w:sz w:val="18"/>
          <w:szCs w:val="18"/>
          <w:b w:val="1"/>
          <w:bCs w:val="1"/>
          <w:color w:val="auto"/>
        </w:rPr>
      </w:pPr>
    </w:p>
    <w:p>
      <w:pPr>
        <w:ind w:left="1400" w:right="320" w:hanging="744"/>
        <w:spacing w:after="0" w:line="313" w:lineRule="auto"/>
        <w:tabs>
          <w:tab w:leader="none" w:pos="1413" w:val="left"/>
        </w:tabs>
        <w:numPr>
          <w:ilvl w:val="0"/>
          <w:numId w:val="2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 Event of Default will occur under this Clause 17.4 if the aggregate amount of Financial Indebtedness or commitment for Financial Indebtedness falling within sub-clause (a) to (b) (inclusive) above is less than US$500,000(or its equivalent in any other currency or</w:t>
      </w:r>
    </w:p>
    <w:p>
      <w:pPr>
        <w:sectPr>
          <w:pgSz w:w="11900" w:h="16889" w:orient="portrait"/>
          <w:cols w:equalWidth="0" w:num="1">
            <w:col w:w="11380"/>
          </w:cols>
          <w:pgMar w:left="240" w:top="121" w:right="279" w:bottom="0" w:gutter="0" w:footer="0" w:header="0"/>
        </w:sectPr>
      </w:pPr>
    </w:p>
    <w:bookmarkStart w:id="153" w:name="page154"/>
    <w:bookmarkEnd w:id="153"/>
    <w:p>
      <w:pPr>
        <w:ind w:left="1400"/>
        <w:spacing w:after="0"/>
        <w:rPr>
          <w:sz w:val="20"/>
          <w:szCs w:val="20"/>
          <w:color w:val="auto"/>
        </w:rPr>
      </w:pPr>
      <w:r>
        <w:rPr>
          <w:rFonts w:ascii="Times New Roman" w:cs="Times New Roman" w:eastAsia="Times New Roman" w:hAnsi="Times New Roman"/>
          <w:sz w:val="18"/>
          <w:szCs w:val="18"/>
          <w:color w:val="auto"/>
        </w:rPr>
        <w:t>currencies).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17.5</w:t>
      </w:r>
      <w:r>
        <w:rPr>
          <w:sz w:val="20"/>
          <w:szCs w:val="20"/>
          <w:color w:val="auto"/>
        </w:rPr>
        <w:tab/>
      </w:r>
      <w:r>
        <w:rPr>
          <w:rFonts w:ascii="Times New Roman" w:cs="Times New Roman" w:eastAsia="Times New Roman" w:hAnsi="Times New Roman"/>
          <w:sz w:val="17"/>
          <w:szCs w:val="17"/>
          <w:b w:val="1"/>
          <w:bCs w:val="1"/>
          <w:color w:val="auto"/>
        </w:rPr>
        <w:t>Insolvency</w:t>
      </w:r>
    </w:p>
    <w:p>
      <w:pPr>
        <w:spacing w:after="0" w:line="229" w:lineRule="exact"/>
        <w:rPr>
          <w:sz w:val="20"/>
          <w:szCs w:val="20"/>
          <w:color w:val="auto"/>
        </w:rPr>
      </w:pPr>
    </w:p>
    <w:p>
      <w:pPr>
        <w:jc w:val="both"/>
        <w:ind w:left="1400" w:right="280" w:hanging="744"/>
        <w:spacing w:after="0" w:line="266" w:lineRule="auto"/>
        <w:tabs>
          <w:tab w:leader="none" w:pos="1410" w:val="left"/>
        </w:tabs>
        <w:numPr>
          <w:ilvl w:val="0"/>
          <w:numId w:val="2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member of the Group or any Obligor is or is presumed or deemed to be unable or admits inability to pay its debts as they fall due, suspends making payments on any of its debts or, by reason of actual or anticipated financial difficulties, commences negotiations with one or more of its creditors with a view to rescheduling any of its indebtedness.</w:t>
      </w:r>
    </w:p>
    <w:p>
      <w:pPr>
        <w:spacing w:after="0" w:line="176"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2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moratorium is declared in respect of any indebtedness of any member of the Group or any Obligor.</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17.6</w:t>
      </w:r>
      <w:r>
        <w:rPr>
          <w:sz w:val="20"/>
          <w:szCs w:val="20"/>
          <w:color w:val="auto"/>
        </w:rPr>
        <w:tab/>
      </w:r>
      <w:r>
        <w:rPr>
          <w:rFonts w:ascii="Times New Roman" w:cs="Times New Roman" w:eastAsia="Times New Roman" w:hAnsi="Times New Roman"/>
          <w:sz w:val="17"/>
          <w:szCs w:val="17"/>
          <w:b w:val="1"/>
          <w:bCs w:val="1"/>
          <w:color w:val="auto"/>
        </w:rPr>
        <w:t>Insolvency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corporate action, legal proceedings or other procedure or step is taken in relation to:</w:t>
      </w:r>
    </w:p>
    <w:p>
      <w:pPr>
        <w:spacing w:after="0" w:line="225" w:lineRule="exact"/>
        <w:rPr>
          <w:sz w:val="20"/>
          <w:szCs w:val="20"/>
          <w:color w:val="auto"/>
        </w:rPr>
      </w:pPr>
    </w:p>
    <w:p>
      <w:pPr>
        <w:ind w:left="1400" w:right="80" w:hanging="744"/>
        <w:spacing w:after="0" w:line="266" w:lineRule="auto"/>
        <w:tabs>
          <w:tab w:leader="none" w:pos="1410"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suspension of payments, a moratorium of any indebtedness, winding-up, dissolution, administration, provisional supervision or reorganisation (by way of voluntary arrangement, scheme of arrangement or otherwise) of any Obligor or any member of the Group other than a solvent liquidation or reorganisation of any member of the Group which is not an Obligor;</w:t>
      </w:r>
    </w:p>
    <w:p>
      <w:pPr>
        <w:spacing w:after="0" w:line="176" w:lineRule="exact"/>
        <w:rPr>
          <w:rFonts w:ascii="Times New Roman" w:cs="Times New Roman" w:eastAsia="Times New Roman" w:hAnsi="Times New Roman"/>
          <w:sz w:val="18"/>
          <w:szCs w:val="18"/>
          <w:b w:val="1"/>
          <w:bCs w:val="1"/>
          <w:color w:val="auto"/>
        </w:rPr>
      </w:pPr>
    </w:p>
    <w:p>
      <w:pPr>
        <w:ind w:left="1400" w:right="100" w:hanging="744"/>
        <w:spacing w:after="0" w:line="282" w:lineRule="auto"/>
        <w:tabs>
          <w:tab w:leader="none" w:pos="1420"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composition or arrangement with any creditor of any Obligor or any member of the Group, or an assignment for the benefit of creditors generally of any Obligor or any member of the Group or a class of such creditors;</w:t>
      </w:r>
    </w:p>
    <w:p>
      <w:pPr>
        <w:spacing w:after="0" w:line="161" w:lineRule="exact"/>
        <w:rPr>
          <w:rFonts w:ascii="Times New Roman" w:cs="Times New Roman" w:eastAsia="Times New Roman" w:hAnsi="Times New Roman"/>
          <w:sz w:val="18"/>
          <w:szCs w:val="18"/>
          <w:b w:val="1"/>
          <w:bCs w:val="1"/>
          <w:color w:val="auto"/>
        </w:rPr>
      </w:pPr>
    </w:p>
    <w:p>
      <w:pPr>
        <w:jc w:val="both"/>
        <w:ind w:left="1400" w:hanging="744"/>
        <w:spacing w:after="0" w:line="266" w:lineRule="auto"/>
        <w:tabs>
          <w:tab w:leader="none" w:pos="1413"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appointment of a liquidator (other than in respect of a solvent liquidation of a member of the Group which is not an Obligor), receiver, administrator, administrative receiver, compulsory manager, provisional supervisor or other similar officer in respect of any Obligor or any member of the Group or any of its assets;</w:t>
      </w:r>
    </w:p>
    <w:p>
      <w:pPr>
        <w:spacing w:after="0" w:line="176"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enforcement of any Security over any assets of any Obligor or any member of the Group; or</w:t>
      </w:r>
    </w:p>
    <w:p>
      <w:pPr>
        <w:spacing w:after="0" w:line="225" w:lineRule="exact"/>
        <w:rPr>
          <w:rFonts w:ascii="Times New Roman" w:cs="Times New Roman" w:eastAsia="Times New Roman" w:hAnsi="Times New Roman"/>
          <w:sz w:val="18"/>
          <w:szCs w:val="18"/>
          <w:b w:val="1"/>
          <w:bCs w:val="1"/>
          <w:color w:val="auto"/>
        </w:rPr>
      </w:pPr>
    </w:p>
    <w:p>
      <w:pPr>
        <w:ind w:left="1400" w:hanging="744"/>
        <w:spacing w:after="0"/>
        <w:tabs>
          <w:tab w:leader="none" w:pos="1400"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analogous procedure or step is taken in any jurisdiction.</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17.7</w:t>
      </w:r>
      <w:r>
        <w:rPr>
          <w:sz w:val="20"/>
          <w:szCs w:val="20"/>
          <w:color w:val="auto"/>
        </w:rPr>
        <w:tab/>
      </w:r>
      <w:r>
        <w:rPr>
          <w:rFonts w:ascii="Times New Roman" w:cs="Times New Roman" w:eastAsia="Times New Roman" w:hAnsi="Times New Roman"/>
          <w:sz w:val="18"/>
          <w:szCs w:val="18"/>
          <w:b w:val="1"/>
          <w:bCs w:val="1"/>
          <w:color w:val="auto"/>
        </w:rPr>
        <w:t>Creditors’ process</w:t>
      </w:r>
    </w:p>
    <w:p>
      <w:pPr>
        <w:spacing w:after="0" w:line="229" w:lineRule="exact"/>
        <w:rPr>
          <w:sz w:val="20"/>
          <w:szCs w:val="20"/>
          <w:color w:val="auto"/>
        </w:rPr>
      </w:pPr>
    </w:p>
    <w:p>
      <w:pPr>
        <w:ind w:left="640" w:right="280"/>
        <w:spacing w:after="0" w:line="282" w:lineRule="auto"/>
        <w:rPr>
          <w:sz w:val="20"/>
          <w:szCs w:val="20"/>
          <w:color w:val="auto"/>
        </w:rPr>
      </w:pPr>
      <w:r>
        <w:rPr>
          <w:rFonts w:ascii="Times New Roman" w:cs="Times New Roman" w:eastAsia="Times New Roman" w:hAnsi="Times New Roman"/>
          <w:sz w:val="18"/>
          <w:szCs w:val="18"/>
          <w:color w:val="auto"/>
        </w:rPr>
        <w:t>Any expropriation, attachment, sequestration, distress or execution affects any asset or assets of a member of the Group or any Obligor and is not discharged, stayed or dismissed within thirty (30) days from the date of the relevant order.</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17.8</w:t>
      </w:r>
      <w:r>
        <w:rPr>
          <w:sz w:val="20"/>
          <w:szCs w:val="20"/>
          <w:color w:val="auto"/>
        </w:rPr>
        <w:tab/>
      </w:r>
      <w:r>
        <w:rPr>
          <w:rFonts w:ascii="Times New Roman" w:cs="Times New Roman" w:eastAsia="Times New Roman" w:hAnsi="Times New Roman"/>
          <w:sz w:val="18"/>
          <w:szCs w:val="18"/>
          <w:b w:val="1"/>
          <w:bCs w:val="1"/>
          <w:color w:val="auto"/>
        </w:rPr>
        <w:t>Unlawfulness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It is or becomes unlawful for an Obligor to perform any of its obligations under the Finance Documents.</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17.9</w:t>
      </w:r>
      <w:r>
        <w:rPr>
          <w:sz w:val="20"/>
          <w:szCs w:val="20"/>
          <w:color w:val="auto"/>
        </w:rPr>
        <w:tab/>
      </w:r>
      <w:r>
        <w:rPr>
          <w:rFonts w:ascii="Times New Roman" w:cs="Times New Roman" w:eastAsia="Times New Roman" w:hAnsi="Times New Roman"/>
          <w:sz w:val="18"/>
          <w:szCs w:val="18"/>
          <w:b w:val="1"/>
          <w:bCs w:val="1"/>
          <w:color w:val="auto"/>
        </w:rPr>
        <w:t>Repudiation</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An Obligor repudiates a Finance Document or evidences an intention to repudiate a Finance Document.</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17.10</w:t>
      </w:r>
      <w:r>
        <w:rPr>
          <w:sz w:val="20"/>
          <w:szCs w:val="20"/>
          <w:color w:val="auto"/>
        </w:rPr>
        <w:tab/>
      </w:r>
      <w:r>
        <w:rPr>
          <w:rFonts w:ascii="Times New Roman" w:cs="Times New Roman" w:eastAsia="Times New Roman" w:hAnsi="Times New Roman"/>
          <w:sz w:val="17"/>
          <w:szCs w:val="17"/>
          <w:b w:val="1"/>
          <w:bCs w:val="1"/>
          <w:color w:val="auto"/>
        </w:rPr>
        <w:t>Moratorium on External Indebtedness</w:t>
      </w:r>
    </w:p>
    <w:p>
      <w:pPr>
        <w:spacing w:after="0" w:line="229" w:lineRule="exact"/>
        <w:rPr>
          <w:sz w:val="20"/>
          <w:szCs w:val="20"/>
          <w:color w:val="auto"/>
        </w:rPr>
      </w:pPr>
    </w:p>
    <w:p>
      <w:pPr>
        <w:ind w:left="640" w:right="80"/>
        <w:spacing w:after="0" w:line="282" w:lineRule="auto"/>
        <w:rPr>
          <w:sz w:val="20"/>
          <w:szCs w:val="20"/>
          <w:color w:val="auto"/>
        </w:rPr>
      </w:pPr>
      <w:r>
        <w:rPr>
          <w:rFonts w:ascii="Times New Roman" w:cs="Times New Roman" w:eastAsia="Times New Roman" w:hAnsi="Times New Roman"/>
          <w:sz w:val="18"/>
          <w:szCs w:val="18"/>
          <w:color w:val="auto"/>
        </w:rPr>
        <w:t>The government of the PRC, USA or Hong Kong, central bank (or equivalent) of the PRC, USA or Hong Kong or any Governmental Agency of the PRC, USA or Hong Kong declares a moratorium, standstill or similar suspension of payments in respect of its external indebtedness.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17.11</w:t>
      </w:r>
      <w:r>
        <w:rPr>
          <w:sz w:val="20"/>
          <w:szCs w:val="20"/>
          <w:color w:val="auto"/>
        </w:rPr>
        <w:tab/>
      </w:r>
      <w:r>
        <w:rPr>
          <w:rFonts w:ascii="Times New Roman" w:cs="Times New Roman" w:eastAsia="Times New Roman" w:hAnsi="Times New Roman"/>
          <w:sz w:val="17"/>
          <w:szCs w:val="17"/>
          <w:b w:val="1"/>
          <w:bCs w:val="1"/>
          <w:color w:val="auto"/>
        </w:rPr>
        <w:t>Cessation of business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Any Obligor suspends or ceases to carry on all or a material part of its business or of the business of the Group taken as a whole.</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17.12</w:t>
      </w:r>
      <w:r>
        <w:rPr>
          <w:sz w:val="20"/>
          <w:szCs w:val="20"/>
          <w:color w:val="auto"/>
        </w:rPr>
        <w:tab/>
      </w:r>
      <w:r>
        <w:rPr>
          <w:rFonts w:ascii="Times New Roman" w:cs="Times New Roman" w:eastAsia="Times New Roman" w:hAnsi="Times New Roman"/>
          <w:sz w:val="17"/>
          <w:szCs w:val="17"/>
          <w:b w:val="1"/>
          <w:bCs w:val="1"/>
          <w:color w:val="auto"/>
        </w:rPr>
        <w:t>Money Laundering, Anti-corruption, financing of Terrorism</w:t>
      </w:r>
    </w:p>
    <w:p>
      <w:pPr>
        <w:spacing w:after="0" w:line="229" w:lineRule="exact"/>
        <w:rPr>
          <w:sz w:val="20"/>
          <w:szCs w:val="20"/>
          <w:color w:val="auto"/>
        </w:rPr>
      </w:pPr>
    </w:p>
    <w:p>
      <w:pPr>
        <w:ind w:left="1400" w:right="200" w:hanging="744"/>
        <w:spacing w:after="0" w:line="282" w:lineRule="auto"/>
        <w:tabs>
          <w:tab w:leader="none" w:pos="1410"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Obligor engages in Corrupt Practices, Fraudulent Practices, Collusive Practices or Coercive Practices, including in connection with the procurement or execution of any contract for goods or services.</w:t>
      </w:r>
    </w:p>
    <w:p>
      <w:pPr>
        <w:spacing w:after="0" w:line="161"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Obligor engages in Money Laundering or acts in breach of any law relating to Money Laundering.</w:t>
      </w:r>
    </w:p>
    <w:p>
      <w:pPr>
        <w:spacing w:after="0" w:line="225" w:lineRule="exact"/>
        <w:rPr>
          <w:rFonts w:ascii="Times New Roman" w:cs="Times New Roman" w:eastAsia="Times New Roman" w:hAnsi="Times New Roman"/>
          <w:sz w:val="18"/>
          <w:szCs w:val="18"/>
          <w:b w:val="1"/>
          <w:bCs w:val="1"/>
          <w:color w:val="auto"/>
        </w:rPr>
      </w:pPr>
    </w:p>
    <w:p>
      <w:pPr>
        <w:ind w:left="1400" w:hanging="744"/>
        <w:spacing w:after="0"/>
        <w:tabs>
          <w:tab w:leader="none" w:pos="1400"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Obligor engages in the Financing of Terrorism.</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17.13</w:t>
        <w:tab/>
        <w:t>Material Adverse Effect</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Any other event or series of events occurs which has or could reasonably be expected to have a Material Adverse Effect.</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17.14</w:t>
        <w:tab/>
        <w:t>Acceleration</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and at any time after the occurrence of an Event of Default which is continuing the Lender may by notice to the Borrower:</w:t>
      </w:r>
    </w:p>
    <w:p>
      <w:pPr>
        <w:sectPr>
          <w:pgSz w:w="11900" w:h="16838" w:orient="portrait"/>
          <w:cols w:equalWidth="0" w:num="1">
            <w:col w:w="11400"/>
          </w:cols>
          <w:pgMar w:left="240" w:top="122" w:right="259" w:bottom="0" w:gutter="0" w:footer="0" w:header="0"/>
        </w:sectPr>
      </w:pPr>
    </w:p>
    <w:bookmarkStart w:id="154" w:name="page155"/>
    <w:bookmarkEnd w:id="154"/>
    <w:p>
      <w:pPr>
        <w:ind w:left="1400" w:hanging="744"/>
        <w:spacing w:after="0"/>
        <w:tabs>
          <w:tab w:leader="none" w:pos="1400" w:val="left"/>
        </w:tabs>
        <w:numPr>
          <w:ilvl w:val="1"/>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cancel the Available Facility whereupon it shall immediately be cancelled; and/or</w:t>
      </w:r>
    </w:p>
    <w:p>
      <w:pPr>
        <w:spacing w:after="0" w:line="225" w:lineRule="exact"/>
        <w:rPr>
          <w:rFonts w:ascii="Times New Roman" w:cs="Times New Roman" w:eastAsia="Times New Roman" w:hAnsi="Times New Roman"/>
          <w:sz w:val="18"/>
          <w:szCs w:val="18"/>
          <w:b w:val="1"/>
          <w:bCs w:val="1"/>
          <w:color w:val="auto"/>
        </w:rPr>
      </w:pPr>
    </w:p>
    <w:p>
      <w:pPr>
        <w:ind w:left="1400" w:right="520" w:hanging="744"/>
        <w:spacing w:after="0" w:line="313" w:lineRule="auto"/>
        <w:tabs>
          <w:tab w:leader="none" w:pos="1420" w:val="left"/>
        </w:tabs>
        <w:numPr>
          <w:ilvl w:val="1"/>
          <w:numId w:val="2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declare that all or part of the Loan, together with accrued interest, and all other amounts accrued or outstanding under the Finance Documents be immediately due and payable, whereupon they shall become immediately due and payable on demand by the Lender.</w:t>
      </w:r>
    </w:p>
    <w:p>
      <w:pPr>
        <w:spacing w:after="0" w:line="134" w:lineRule="exact"/>
        <w:rPr>
          <w:rFonts w:ascii="Times New Roman" w:cs="Times New Roman" w:eastAsia="Times New Roman" w:hAnsi="Times New Roman"/>
          <w:sz w:val="17"/>
          <w:szCs w:val="17"/>
          <w:b w:val="1"/>
          <w:bCs w:val="1"/>
          <w:color w:val="auto"/>
        </w:rPr>
      </w:pPr>
    </w:p>
    <w:p>
      <w:pPr>
        <w:ind w:left="660" w:hanging="652"/>
        <w:spacing w:after="0"/>
        <w:tabs>
          <w:tab w:leader="none" w:pos="660" w:val="left"/>
        </w:tabs>
        <w:numPr>
          <w:ilvl w:val="0"/>
          <w:numId w:val="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TO THE LENDER</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18.1</w:t>
      </w:r>
      <w:r>
        <w:rPr>
          <w:sz w:val="20"/>
          <w:szCs w:val="20"/>
          <w:color w:val="auto"/>
        </w:rPr>
        <w:tab/>
      </w:r>
      <w:r>
        <w:rPr>
          <w:rFonts w:ascii="Times New Roman" w:cs="Times New Roman" w:eastAsia="Times New Roman" w:hAnsi="Times New Roman"/>
          <w:sz w:val="18"/>
          <w:szCs w:val="18"/>
          <w:b w:val="1"/>
          <w:bCs w:val="1"/>
          <w:color w:val="auto"/>
        </w:rPr>
        <w:t>Assignments and transfers by the Lender</w:t>
      </w:r>
    </w:p>
    <w:p>
      <w:pPr>
        <w:spacing w:after="0" w:line="225" w:lineRule="exact"/>
        <w:rPr>
          <w:sz w:val="20"/>
          <w:szCs w:val="20"/>
          <w:color w:val="auto"/>
        </w:rPr>
      </w:pPr>
    </w:p>
    <w:p>
      <w:pPr>
        <w:ind w:left="1400" w:hanging="744"/>
        <w:spacing w:after="0"/>
        <w:tabs>
          <w:tab w:leader="none" w:pos="1400" w:val="left"/>
        </w:tabs>
        <w:numPr>
          <w:ilvl w:val="0"/>
          <w:numId w:val="2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this Clause 18, a Lender (the “</w:t>
      </w:r>
      <w:r>
        <w:rPr>
          <w:rFonts w:ascii="Times New Roman" w:cs="Times New Roman" w:eastAsia="Times New Roman" w:hAnsi="Times New Roman"/>
          <w:sz w:val="18"/>
          <w:szCs w:val="18"/>
          <w:b w:val="1"/>
          <w:bCs w:val="1"/>
          <w:color w:val="auto"/>
        </w:rPr>
        <w:t>Existing Lender</w:t>
      </w:r>
      <w:r>
        <w:rPr>
          <w:rFonts w:ascii="Times New Roman" w:cs="Times New Roman" w:eastAsia="Times New Roman" w:hAnsi="Times New Roman"/>
          <w:sz w:val="18"/>
          <w:szCs w:val="18"/>
          <w:color w:val="auto"/>
        </w:rPr>
        <w:t>”) may:</w:t>
      </w:r>
    </w:p>
    <w:p>
      <w:pPr>
        <w:spacing w:after="0" w:line="229" w:lineRule="exact"/>
        <w:rPr>
          <w:rFonts w:ascii="Times New Roman" w:cs="Times New Roman" w:eastAsia="Times New Roman" w:hAnsi="Times New Roman"/>
          <w:sz w:val="18"/>
          <w:szCs w:val="18"/>
          <w:b w:val="1"/>
          <w:bCs w:val="1"/>
          <w:color w:val="auto"/>
        </w:rPr>
      </w:pPr>
    </w:p>
    <w:p>
      <w:pPr>
        <w:ind w:left="1620" w:hanging="224"/>
        <w:spacing w:after="0"/>
        <w:tabs>
          <w:tab w:leader="none" w:pos="162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 any of its rights; or</w:t>
      </w:r>
    </w:p>
    <w:p>
      <w:pPr>
        <w:spacing w:after="0" w:line="225" w:lineRule="exact"/>
        <w:rPr>
          <w:rFonts w:ascii="Times New Roman" w:cs="Times New Roman" w:eastAsia="Times New Roman" w:hAnsi="Times New Roman"/>
          <w:sz w:val="18"/>
          <w:szCs w:val="18"/>
          <w:color w:val="auto"/>
        </w:rPr>
      </w:pPr>
    </w:p>
    <w:p>
      <w:pPr>
        <w:ind w:left="1660" w:hanging="264"/>
        <w:spacing w:after="0"/>
        <w:tabs>
          <w:tab w:leader="none" w:pos="166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by novation any of its rights and obligations,</w:t>
      </w:r>
    </w:p>
    <w:p>
      <w:pPr>
        <w:spacing w:after="0" w:line="225" w:lineRule="exact"/>
        <w:rPr>
          <w:sz w:val="20"/>
          <w:szCs w:val="20"/>
          <w:color w:val="auto"/>
        </w:rPr>
      </w:pPr>
    </w:p>
    <w:p>
      <w:pPr>
        <w:ind w:left="1400" w:right="460"/>
        <w:spacing w:after="0" w:line="266" w:lineRule="auto"/>
        <w:rPr>
          <w:sz w:val="20"/>
          <w:szCs w:val="20"/>
          <w:color w:val="auto"/>
        </w:rPr>
      </w:pPr>
      <w:r>
        <w:rPr>
          <w:rFonts w:ascii="Times New Roman" w:cs="Times New Roman" w:eastAsia="Times New Roman" w:hAnsi="Times New Roman"/>
          <w:sz w:val="18"/>
          <w:szCs w:val="18"/>
          <w:color w:val="auto"/>
        </w:rPr>
        <w:t>under the Finance Documents to any bank or financial institution or to a trust, fund or other entity which is regularly engaged in or established for the purpose of making, purchasing or investing in loans, securities or other financial assets or to any other person (the “</w:t>
      </w:r>
      <w:r>
        <w:rPr>
          <w:rFonts w:ascii="Times New Roman" w:cs="Times New Roman" w:eastAsia="Times New Roman" w:hAnsi="Times New Roman"/>
          <w:sz w:val="18"/>
          <w:szCs w:val="18"/>
          <w:b w:val="1"/>
          <w:bCs w:val="1"/>
          <w:color w:val="auto"/>
        </w:rPr>
        <w:t>New Lender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400" w:right="40" w:hanging="744"/>
        <w:spacing w:after="0" w:line="258" w:lineRule="auto"/>
        <w:tabs>
          <w:tab w:leader="none" w:pos="1420"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consent of the Borrower shall be required for any assignment or transfer pursuant to paragraph (a) above, in each case, unless the relevant assignment or transfer is (i) to an Affiliate of the Lender or (ii) made at a time when an Event of Default is occurring. The consent of the Borrower to a transfer or assignment must not be unreasonably withheld or delayed. The Borrower will be deemed to have given its consent five (5) Business Days after the Existing Lender has requested it unless consent is expressly refused by the Borrower within that time.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0" w:right="60" w:hanging="744"/>
        <w:spacing w:after="0" w:line="282" w:lineRule="auto"/>
        <w:tabs>
          <w:tab w:leader="none" w:pos="1413"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assignment will be effective only on receipt by the Existing Lender of written confirmation from the New Lender that the New Lender will assume the same obligations as it would have been under if it was the Existing Lender.</w:t>
      </w:r>
    </w:p>
    <w:p>
      <w:pPr>
        <w:spacing w:after="0" w:line="159"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transfer will be effective only if the procedure set out in Clause 18.3 (</w:t>
      </w:r>
      <w:r>
        <w:rPr>
          <w:rFonts w:ascii="Times New Roman" w:cs="Times New Roman" w:eastAsia="Times New Roman" w:hAnsi="Times New Roman"/>
          <w:sz w:val="18"/>
          <w:szCs w:val="18"/>
          <w:i w:val="1"/>
          <w:iCs w:val="1"/>
          <w:color w:val="auto"/>
        </w:rPr>
        <w:t>Procedure for transfer</w:t>
      </w:r>
      <w:r>
        <w:rPr>
          <w:rFonts w:ascii="Times New Roman" w:cs="Times New Roman" w:eastAsia="Times New Roman" w:hAnsi="Times New Roman"/>
          <w:sz w:val="18"/>
          <w:szCs w:val="18"/>
          <w:color w:val="auto"/>
        </w:rPr>
        <w:t>) is complied with.</w:t>
      </w:r>
    </w:p>
    <w:p>
      <w:pPr>
        <w:spacing w:after="0" w:line="22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18.2</w:t>
      </w:r>
      <w:r>
        <w:rPr>
          <w:sz w:val="20"/>
          <w:szCs w:val="20"/>
          <w:color w:val="auto"/>
        </w:rPr>
        <w:tab/>
      </w:r>
      <w:r>
        <w:rPr>
          <w:rFonts w:ascii="Times New Roman" w:cs="Times New Roman" w:eastAsia="Times New Roman" w:hAnsi="Times New Roman"/>
          <w:sz w:val="18"/>
          <w:szCs w:val="18"/>
          <w:b w:val="1"/>
          <w:bCs w:val="1"/>
          <w:color w:val="auto"/>
        </w:rPr>
        <w:t>Limitation of responsibility of Existing Lender</w:t>
      </w:r>
    </w:p>
    <w:p>
      <w:pPr>
        <w:spacing w:after="0" w:line="229" w:lineRule="exact"/>
        <w:rPr>
          <w:sz w:val="20"/>
          <w:szCs w:val="20"/>
          <w:color w:val="auto"/>
        </w:rPr>
      </w:pPr>
    </w:p>
    <w:p>
      <w:pPr>
        <w:ind w:left="1400" w:right="120" w:hanging="744"/>
        <w:spacing w:after="0" w:line="282" w:lineRule="auto"/>
        <w:tabs>
          <w:tab w:leader="none" w:pos="1410" w:val="left"/>
        </w:tabs>
        <w:numPr>
          <w:ilvl w:val="0"/>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expressly agreed to the contrary, the Existing Lender makes no representation or warranty and assumes no responsibility to a New Lender for:</w:t>
      </w:r>
    </w:p>
    <w:p>
      <w:pPr>
        <w:spacing w:after="0" w:line="161" w:lineRule="exact"/>
        <w:rPr>
          <w:rFonts w:ascii="Times New Roman" w:cs="Times New Roman" w:eastAsia="Times New Roman" w:hAnsi="Times New Roman"/>
          <w:sz w:val="18"/>
          <w:szCs w:val="18"/>
          <w:b w:val="1"/>
          <w:bCs w:val="1"/>
          <w:color w:val="auto"/>
        </w:rPr>
      </w:pPr>
    </w:p>
    <w:p>
      <w:pPr>
        <w:ind w:left="2140" w:hanging="673"/>
        <w:spacing w:after="0"/>
        <w:tabs>
          <w:tab w:leader="none" w:pos="214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legality, validity, effectiveness, adequacy or enforceability of the Finance Documents or any other documents;</w:t>
      </w:r>
    </w:p>
    <w:p>
      <w:pPr>
        <w:spacing w:after="0" w:line="225" w:lineRule="exact"/>
        <w:rPr>
          <w:rFonts w:ascii="Times New Roman" w:cs="Times New Roman" w:eastAsia="Times New Roman" w:hAnsi="Times New Roman"/>
          <w:sz w:val="18"/>
          <w:szCs w:val="18"/>
          <w:color w:val="auto"/>
        </w:rPr>
      </w:pPr>
    </w:p>
    <w:p>
      <w:pPr>
        <w:ind w:left="2140" w:hanging="673"/>
        <w:spacing w:after="0"/>
        <w:tabs>
          <w:tab w:leader="none" w:pos="214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any Obligor;</w:t>
      </w:r>
    </w:p>
    <w:p>
      <w:pPr>
        <w:spacing w:after="0" w:line="225" w:lineRule="exact"/>
        <w:rPr>
          <w:rFonts w:ascii="Times New Roman" w:cs="Times New Roman" w:eastAsia="Times New Roman" w:hAnsi="Times New Roman"/>
          <w:sz w:val="18"/>
          <w:szCs w:val="18"/>
          <w:color w:val="auto"/>
        </w:rPr>
      </w:pPr>
    </w:p>
    <w:p>
      <w:pPr>
        <w:ind w:left="2160" w:hanging="693"/>
        <w:spacing w:after="0"/>
        <w:tabs>
          <w:tab w:leader="none" w:pos="216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observance by any Obligor of its obligations under the Finance Documents or any other documents; or</w:t>
      </w:r>
    </w:p>
    <w:p>
      <w:pPr>
        <w:spacing w:after="0" w:line="225" w:lineRule="exact"/>
        <w:rPr>
          <w:rFonts w:ascii="Times New Roman" w:cs="Times New Roman" w:eastAsia="Times New Roman" w:hAnsi="Times New Roman"/>
          <w:sz w:val="18"/>
          <w:szCs w:val="18"/>
          <w:color w:val="auto"/>
        </w:rPr>
      </w:pPr>
    </w:p>
    <w:p>
      <w:pPr>
        <w:ind w:left="2120" w:right="440" w:hanging="653"/>
        <w:spacing w:after="0" w:line="282" w:lineRule="auto"/>
        <w:tabs>
          <w:tab w:leader="none" w:pos="2137"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any statements (whether written or oral) made in or in connection with any Finance Document or any other document,</w:t>
      </w:r>
    </w:p>
    <w:p>
      <w:pPr>
        <w:spacing w:after="0" w:line="16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and any representations or warranties implied by law are excluded.</w:t>
      </w:r>
    </w:p>
    <w:p>
      <w:pPr>
        <w:spacing w:after="0" w:line="225" w:lineRule="exact"/>
        <w:rPr>
          <w:sz w:val="20"/>
          <w:szCs w:val="20"/>
          <w:color w:val="auto"/>
        </w:rPr>
      </w:pPr>
    </w:p>
    <w:p>
      <w:pPr>
        <w:ind w:left="1420" w:hanging="764"/>
        <w:spacing w:after="0"/>
        <w:tabs>
          <w:tab w:leader="none" w:pos="1420" w:val="left"/>
        </w:tabs>
        <w:numPr>
          <w:ilvl w:val="0"/>
          <w:numId w:val="2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New Lender confirms to the Existing Lender that it:</w:t>
      </w:r>
    </w:p>
    <w:p>
      <w:pPr>
        <w:spacing w:after="0" w:line="225" w:lineRule="exact"/>
        <w:rPr>
          <w:rFonts w:ascii="Times New Roman" w:cs="Times New Roman" w:eastAsia="Times New Roman" w:hAnsi="Times New Roman"/>
          <w:sz w:val="18"/>
          <w:szCs w:val="18"/>
          <w:b w:val="1"/>
          <w:bCs w:val="1"/>
          <w:color w:val="auto"/>
        </w:rPr>
      </w:pPr>
    </w:p>
    <w:p>
      <w:pPr>
        <w:ind w:left="2120" w:right="40" w:hanging="700"/>
        <w:spacing w:after="0" w:line="266" w:lineRule="auto"/>
        <w:tabs>
          <w:tab w:leader="none" w:pos="2135"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made (and shall continue to make) its own independent investigation and assessment of the financial condition and affairs of each Obligor and its related entities in connection with its participation in this Agreement and has not relied exclusively on any information provided to it by the Existing Lender in connection with any Finance Document; and</w:t>
      </w:r>
    </w:p>
    <w:p>
      <w:pPr>
        <w:spacing w:after="0" w:line="176" w:lineRule="exact"/>
        <w:rPr>
          <w:rFonts w:ascii="Times New Roman" w:cs="Times New Roman" w:eastAsia="Times New Roman" w:hAnsi="Times New Roman"/>
          <w:sz w:val="18"/>
          <w:szCs w:val="18"/>
          <w:color w:val="auto"/>
        </w:rPr>
      </w:pPr>
    </w:p>
    <w:p>
      <w:pPr>
        <w:ind w:left="2120" w:right="240" w:hanging="700"/>
        <w:spacing w:after="0" w:line="282" w:lineRule="auto"/>
        <w:tabs>
          <w:tab w:leader="none" w:pos="2145"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continue to make its own independent appraisal of the creditworthiness of each Obligor and its related entities whilst any amount is or may be outstanding under the Finance Documents.</w:t>
      </w:r>
    </w:p>
    <w:p>
      <w:pPr>
        <w:spacing w:after="0" w:line="161"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2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Nothing in any Finance Document obliges the Existing Lender to:</w:t>
      </w:r>
    </w:p>
    <w:p>
      <w:pPr>
        <w:spacing w:after="0" w:line="225" w:lineRule="exact"/>
        <w:rPr>
          <w:rFonts w:ascii="Times New Roman" w:cs="Times New Roman" w:eastAsia="Times New Roman" w:hAnsi="Times New Roman"/>
          <w:sz w:val="18"/>
          <w:szCs w:val="18"/>
          <w:b w:val="1"/>
          <w:bCs w:val="1"/>
          <w:color w:val="auto"/>
        </w:rPr>
      </w:pPr>
    </w:p>
    <w:p>
      <w:pPr>
        <w:ind w:left="2140" w:hanging="720"/>
        <w:spacing w:after="0"/>
        <w:tabs>
          <w:tab w:leader="none" w:pos="214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a re-transfer from a New Lender of any of the rights and obligations assigned or transferred under this Clause 18; or</w:t>
      </w:r>
    </w:p>
    <w:p>
      <w:pPr>
        <w:spacing w:after="0" w:line="225" w:lineRule="exact"/>
        <w:rPr>
          <w:rFonts w:ascii="Times New Roman" w:cs="Times New Roman" w:eastAsia="Times New Roman" w:hAnsi="Times New Roman"/>
          <w:sz w:val="18"/>
          <w:szCs w:val="18"/>
          <w:color w:val="auto"/>
        </w:rPr>
      </w:pPr>
    </w:p>
    <w:p>
      <w:pPr>
        <w:ind w:left="2120" w:right="340" w:hanging="700"/>
        <w:spacing w:after="0" w:line="282" w:lineRule="auto"/>
        <w:tabs>
          <w:tab w:leader="none" w:pos="2145"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any losses directly or indirectly incurred by the New Lender by reason of the non-performance by any Obligor of its obligations under the Finance Documents or otherwise.</w:t>
      </w:r>
    </w:p>
    <w:p>
      <w:pPr>
        <w:spacing w:after="0" w:line="161" w:lineRule="exact"/>
        <w:rPr>
          <w:rFonts w:ascii="Times New Roman" w:cs="Times New Roman" w:eastAsia="Times New Roman" w:hAnsi="Times New Roman"/>
          <w:sz w:val="18"/>
          <w:szCs w:val="18"/>
          <w:color w:val="auto"/>
        </w:rPr>
      </w:pPr>
    </w:p>
    <w:p>
      <w:pPr>
        <w:jc w:val="both"/>
        <w:ind w:left="1400" w:right="120" w:hanging="744"/>
        <w:spacing w:after="0" w:line="266" w:lineRule="auto"/>
        <w:tabs>
          <w:tab w:leader="none" w:pos="1420" w:val="left"/>
        </w:tabs>
        <w:numPr>
          <w:ilvl w:val="0"/>
          <w:numId w:val="2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relation to any assignment or transfer by the Existing Lender under this Clause 18, the relevant New Lender agrees to be bound by any consent, waiver or decision given or made by the Existing Lender in connection with the Finance Documents prior to such assignment or transfer.</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18.3</w:t>
      </w:r>
      <w:r>
        <w:rPr>
          <w:sz w:val="20"/>
          <w:szCs w:val="20"/>
          <w:color w:val="auto"/>
        </w:rPr>
        <w:tab/>
      </w:r>
      <w:r>
        <w:rPr>
          <w:rFonts w:ascii="Times New Roman" w:cs="Times New Roman" w:eastAsia="Times New Roman" w:hAnsi="Times New Roman"/>
          <w:sz w:val="18"/>
          <w:szCs w:val="18"/>
          <w:b w:val="1"/>
          <w:bCs w:val="1"/>
          <w:color w:val="auto"/>
        </w:rPr>
        <w:t>Procedure for transfer</w:t>
      </w:r>
    </w:p>
    <w:p>
      <w:pPr>
        <w:spacing w:after="0" w:line="229" w:lineRule="exact"/>
        <w:rPr>
          <w:sz w:val="20"/>
          <w:szCs w:val="20"/>
          <w:color w:val="auto"/>
        </w:rPr>
      </w:pPr>
    </w:p>
    <w:p>
      <w:pPr>
        <w:ind w:left="1400" w:hanging="744"/>
        <w:spacing w:after="0" w:line="282" w:lineRule="auto"/>
        <w:tabs>
          <w:tab w:leader="none" w:pos="1410"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conditions set out in sub-clauses (c) and (d), a transfer is effected in accordance with sub-clause (b) below when the Existing Lender and the New Lender execute a duly completed Transfer Certificate or any other form of document agreed between them.</w:t>
      </w:r>
    </w:p>
    <w:p>
      <w:pPr>
        <w:sectPr>
          <w:pgSz w:w="11900" w:h="16838" w:orient="portrait"/>
          <w:cols w:equalWidth="0" w:num="1">
            <w:col w:w="11420"/>
          </w:cols>
          <w:pgMar w:left="240" w:top="121" w:right="239" w:bottom="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0" w:gutter="0" w:footer="0" w:header="0"/>
          <w:type w:val="continuous"/>
        </w:sectPr>
      </w:pPr>
    </w:p>
    <w:bookmarkStart w:id="155" w:name="page156"/>
    <w:bookmarkEnd w:id="155"/>
    <w:p>
      <w:pPr>
        <w:ind w:left="1420" w:hanging="764"/>
        <w:spacing w:after="0"/>
        <w:tabs>
          <w:tab w:leader="none" w:pos="1420" w:val="left"/>
        </w:tabs>
        <w:numPr>
          <w:ilvl w:val="0"/>
          <w:numId w:val="2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the Transfer Date:</w:t>
      </w:r>
    </w:p>
    <w:p>
      <w:pPr>
        <w:spacing w:after="0" w:line="225" w:lineRule="exact"/>
        <w:rPr>
          <w:rFonts w:ascii="Times New Roman" w:cs="Times New Roman" w:eastAsia="Times New Roman" w:hAnsi="Times New Roman"/>
          <w:sz w:val="18"/>
          <w:szCs w:val="18"/>
          <w:b w:val="1"/>
          <w:bCs w:val="1"/>
          <w:color w:val="auto"/>
        </w:rPr>
      </w:pPr>
    </w:p>
    <w:p>
      <w:pPr>
        <w:ind w:left="2120" w:right="40" w:hanging="713"/>
        <w:spacing w:after="0" w:line="261" w:lineRule="auto"/>
        <w:tabs>
          <w:tab w:leader="none" w:pos="2136"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in the Transfer Certificate the Existing Lender seeks to transfer by novation its rights and obligations under the Finance Documents each of the Obligors and the Existing Lender shall be released from further obligations towards one another under the Finance Documents and their respective rights against one another shall be cancelled (being the “</w:t>
      </w:r>
      <w:r>
        <w:rPr>
          <w:rFonts w:ascii="Times New Roman" w:cs="Times New Roman" w:eastAsia="Times New Roman" w:hAnsi="Times New Roman"/>
          <w:sz w:val="18"/>
          <w:szCs w:val="18"/>
          <w:b w:val="1"/>
          <w:bCs w:val="1"/>
          <w:color w:val="auto"/>
        </w:rPr>
        <w:t>Discharged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Obligations</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left="2120" w:hanging="713"/>
        <w:spacing w:after="0" w:line="266" w:lineRule="auto"/>
        <w:tabs>
          <w:tab w:leader="none" w:pos="2146"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Obligors and the New Lender shall assume obligations towards one another and/or acquire rights against one another which differ from the Discharged Rights and Obligations only insofar as that Obligor and the New Lender have assumed and/or acquired the same in place of that Obligor and the Existing Lender;</w:t>
      </w:r>
    </w:p>
    <w:p>
      <w:pPr>
        <w:spacing w:after="0" w:line="176" w:lineRule="exact"/>
        <w:rPr>
          <w:rFonts w:ascii="Times New Roman" w:cs="Times New Roman" w:eastAsia="Times New Roman" w:hAnsi="Times New Roman"/>
          <w:sz w:val="18"/>
          <w:szCs w:val="18"/>
          <w:color w:val="auto"/>
        </w:rPr>
      </w:pPr>
    </w:p>
    <w:p>
      <w:pPr>
        <w:ind w:left="2120" w:right="80" w:hanging="713"/>
        <w:spacing w:after="0" w:line="266" w:lineRule="auto"/>
        <w:tabs>
          <w:tab w:leader="none" w:pos="2155"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shall acquire the same rights and assume the same obligations as it would have acquired and assumed had the New Lender been the Existing Lender with the rights and/or obligations acquired or assumed by it as a result of the transfer and to that extent the Existing Lender shall be released from further obligations under this Agreement; and</w:t>
      </w:r>
    </w:p>
    <w:p>
      <w:pPr>
        <w:spacing w:after="0" w:line="176" w:lineRule="exact"/>
        <w:rPr>
          <w:rFonts w:ascii="Times New Roman" w:cs="Times New Roman" w:eastAsia="Times New Roman" w:hAnsi="Times New Roman"/>
          <w:sz w:val="18"/>
          <w:szCs w:val="18"/>
          <w:color w:val="auto"/>
        </w:rPr>
      </w:pPr>
    </w:p>
    <w:p>
      <w:pPr>
        <w:ind w:left="2120" w:hanging="713"/>
        <w:spacing w:after="0"/>
        <w:tabs>
          <w:tab w:leader="none" w:pos="212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shall become a Party as a “Lender”.</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18.4</w:t>
      </w:r>
      <w:r>
        <w:rPr>
          <w:sz w:val="20"/>
          <w:szCs w:val="20"/>
          <w:color w:val="auto"/>
        </w:rPr>
        <w:tab/>
      </w:r>
      <w:r>
        <w:rPr>
          <w:rFonts w:ascii="Times New Roman" w:cs="Times New Roman" w:eastAsia="Times New Roman" w:hAnsi="Times New Roman"/>
          <w:sz w:val="17"/>
          <w:szCs w:val="17"/>
          <w:b w:val="1"/>
          <w:bCs w:val="1"/>
          <w:color w:val="auto"/>
        </w:rPr>
        <w:t>Copy of Transfer Certificate to Borrower</w:t>
      </w:r>
    </w:p>
    <w:p>
      <w:pPr>
        <w:spacing w:after="0" w:line="229" w:lineRule="exact"/>
        <w:rPr>
          <w:sz w:val="20"/>
          <w:szCs w:val="20"/>
          <w:color w:val="auto"/>
        </w:rPr>
      </w:pPr>
    </w:p>
    <w:p>
      <w:pPr>
        <w:ind w:left="640" w:right="700"/>
        <w:spacing w:after="0" w:line="282" w:lineRule="auto"/>
        <w:rPr>
          <w:sz w:val="20"/>
          <w:szCs w:val="20"/>
          <w:color w:val="auto"/>
        </w:rPr>
      </w:pPr>
      <w:r>
        <w:rPr>
          <w:rFonts w:ascii="Times New Roman" w:cs="Times New Roman" w:eastAsia="Times New Roman" w:hAnsi="Times New Roman"/>
          <w:sz w:val="18"/>
          <w:szCs w:val="18"/>
          <w:color w:val="auto"/>
        </w:rPr>
        <w:t>The Lender shall, as soon as reasonably practicable after it has executed a Transfer Certificate, send to the Borrower a copy of that Transfer Certificate.</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18.5</w:t>
      </w:r>
      <w:r>
        <w:rPr>
          <w:sz w:val="20"/>
          <w:szCs w:val="20"/>
          <w:color w:val="auto"/>
        </w:rPr>
        <w:tab/>
      </w:r>
      <w:r>
        <w:rPr>
          <w:rFonts w:ascii="Times New Roman" w:cs="Times New Roman" w:eastAsia="Times New Roman" w:hAnsi="Times New Roman"/>
          <w:sz w:val="18"/>
          <w:szCs w:val="18"/>
          <w:b w:val="1"/>
          <w:bCs w:val="1"/>
          <w:color w:val="auto"/>
        </w:rPr>
        <w:t>Existing consents and waivers</w:t>
      </w:r>
    </w:p>
    <w:p>
      <w:pPr>
        <w:spacing w:after="0" w:line="229" w:lineRule="exact"/>
        <w:rPr>
          <w:sz w:val="20"/>
          <w:szCs w:val="20"/>
          <w:color w:val="auto"/>
        </w:rPr>
      </w:pPr>
    </w:p>
    <w:p>
      <w:pPr>
        <w:ind w:left="660" w:right="180"/>
        <w:spacing w:after="0" w:line="282" w:lineRule="auto"/>
        <w:rPr>
          <w:sz w:val="20"/>
          <w:szCs w:val="20"/>
          <w:color w:val="auto"/>
        </w:rPr>
      </w:pPr>
      <w:r>
        <w:rPr>
          <w:rFonts w:ascii="Times New Roman" w:cs="Times New Roman" w:eastAsia="Times New Roman" w:hAnsi="Times New Roman"/>
          <w:sz w:val="18"/>
          <w:szCs w:val="18"/>
          <w:color w:val="auto"/>
        </w:rPr>
        <w:t>A New Lender shall be bound by any consent, waiver, election or decision given or made by the relevant Existing Lender under or pursuant to any Finance Document prior to the coming into effect of the relevant assignment or transfer to such New Lender.</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18.6</w:t>
      </w:r>
      <w:r>
        <w:rPr>
          <w:sz w:val="20"/>
          <w:szCs w:val="20"/>
          <w:color w:val="auto"/>
        </w:rPr>
        <w:tab/>
      </w:r>
      <w:r>
        <w:rPr>
          <w:rFonts w:ascii="Times New Roman" w:cs="Times New Roman" w:eastAsia="Times New Roman" w:hAnsi="Times New Roman"/>
          <w:sz w:val="17"/>
          <w:szCs w:val="17"/>
          <w:b w:val="1"/>
          <w:bCs w:val="1"/>
          <w:color w:val="auto"/>
        </w:rPr>
        <w:t>Exclusion of liability</w:t>
      </w:r>
    </w:p>
    <w:p>
      <w:pPr>
        <w:spacing w:after="0" w:line="229" w:lineRule="exact"/>
        <w:rPr>
          <w:sz w:val="20"/>
          <w:szCs w:val="20"/>
          <w:color w:val="auto"/>
        </w:rPr>
      </w:pPr>
    </w:p>
    <w:p>
      <w:pPr>
        <w:ind w:left="660" w:right="260"/>
        <w:spacing w:after="0" w:line="282" w:lineRule="auto"/>
        <w:rPr>
          <w:sz w:val="20"/>
          <w:szCs w:val="20"/>
          <w:color w:val="auto"/>
        </w:rPr>
      </w:pPr>
      <w:r>
        <w:rPr>
          <w:rFonts w:ascii="Times New Roman" w:cs="Times New Roman" w:eastAsia="Times New Roman" w:hAnsi="Times New Roman"/>
          <w:sz w:val="18"/>
          <w:szCs w:val="18"/>
          <w:color w:val="auto"/>
        </w:rPr>
        <w:t>In relation to any assignment or transfer pursuant to this Clause 18, the Borrower acknowledges and agrees that the Lender shall not be obliged to enquire as to the accuracy of any representation or warranty made by a New Lender in respect of its eligibility as a Lender.</w:t>
      </w:r>
    </w:p>
    <w:p>
      <w:pPr>
        <w:spacing w:after="0" w:line="158" w:lineRule="exact"/>
        <w:rPr>
          <w:sz w:val="20"/>
          <w:szCs w:val="20"/>
          <w:color w:val="auto"/>
        </w:rPr>
      </w:pPr>
    </w:p>
    <w:p>
      <w:pPr>
        <w:ind w:left="660" w:hanging="652"/>
        <w:spacing w:after="0"/>
        <w:tabs>
          <w:tab w:leader="none" w:pos="660" w:val="left"/>
        </w:tabs>
        <w:numPr>
          <w:ilvl w:val="0"/>
          <w:numId w:val="2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TO THE OBLIGORS</w:t>
      </w:r>
    </w:p>
    <w:p>
      <w:pPr>
        <w:spacing w:after="0" w:line="229" w:lineRule="exact"/>
        <w:rPr>
          <w:rFonts w:ascii="Times New Roman" w:cs="Times New Roman" w:eastAsia="Times New Roman" w:hAnsi="Times New Roman"/>
          <w:sz w:val="18"/>
          <w:szCs w:val="18"/>
          <w:b w:val="1"/>
          <w:bCs w:val="1"/>
          <w:color w:val="auto"/>
        </w:rPr>
      </w:pPr>
    </w:p>
    <w:p>
      <w:pPr>
        <w:ind w:left="660" w:right="4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Obligor may not assign or transfer any of its rights or obligations under any Finance Document, except with the prior written consent of the Lender.</w:t>
      </w:r>
    </w:p>
    <w:p>
      <w:pPr>
        <w:spacing w:after="0" w:line="157" w:lineRule="exact"/>
        <w:rPr>
          <w:rFonts w:ascii="Times New Roman" w:cs="Times New Roman" w:eastAsia="Times New Roman" w:hAnsi="Times New Roman"/>
          <w:sz w:val="18"/>
          <w:szCs w:val="18"/>
          <w:b w:val="1"/>
          <w:bCs w:val="1"/>
          <w:color w:val="auto"/>
        </w:rPr>
      </w:pPr>
    </w:p>
    <w:p>
      <w:pPr>
        <w:ind w:left="640" w:right="7920" w:hanging="632"/>
        <w:spacing w:after="0" w:line="533" w:lineRule="auto"/>
        <w:tabs>
          <w:tab w:leader="none" w:pos="645" w:val="left"/>
        </w:tabs>
        <w:numPr>
          <w:ilvl w:val="0"/>
          <w:numId w:val="2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DISCLOSURE OF INFORMATION </w:t>
      </w:r>
      <w:r>
        <w:rPr>
          <w:rFonts w:ascii="Times New Roman" w:cs="Times New Roman" w:eastAsia="Times New Roman" w:hAnsi="Times New Roman"/>
          <w:sz w:val="17"/>
          <w:szCs w:val="17"/>
          <w:color w:val="auto"/>
        </w:rPr>
        <w:t>The Lender may disclose to:</w:t>
      </w:r>
    </w:p>
    <w:p>
      <w:pPr>
        <w:ind w:left="1320" w:hanging="664"/>
        <w:spacing w:after="0"/>
        <w:tabs>
          <w:tab w:leader="none" w:pos="132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its Affiliates;</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head office, its other branch, and its associated companies;</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its professional advisers and other persons providing services to it;</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Obligor;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permitted by any Obligor;</w:t>
      </w:r>
    </w:p>
    <w:p>
      <w:pPr>
        <w:spacing w:after="0" w:line="225" w:lineRule="exact"/>
        <w:rPr>
          <w:rFonts w:ascii="Times New Roman" w:cs="Times New Roman" w:eastAsia="Times New Roman" w:hAnsi="Times New Roman"/>
          <w:sz w:val="18"/>
          <w:szCs w:val="18"/>
          <w:color w:val="auto"/>
        </w:rPr>
      </w:pPr>
    </w:p>
    <w:p>
      <w:pPr>
        <w:ind w:left="1300" w:right="480" w:hanging="644"/>
        <w:spacing w:after="0" w:line="282" w:lineRule="auto"/>
        <w:tabs>
          <w:tab w:leader="none" w:pos="1317"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to whom, and to the extent that, information is required to be disclosed by any applicable law or regulation or rules of any securities exchange on which any security of the Lender or any of its Affiliates is listed; and</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w:t>
      </w:r>
    </w:p>
    <w:p>
      <w:pPr>
        <w:spacing w:after="0" w:line="225" w:lineRule="exact"/>
        <w:rPr>
          <w:rFonts w:ascii="Times New Roman" w:cs="Times New Roman" w:eastAsia="Times New Roman" w:hAnsi="Times New Roman"/>
          <w:sz w:val="18"/>
          <w:szCs w:val="18"/>
          <w:color w:val="auto"/>
        </w:rPr>
      </w:pPr>
    </w:p>
    <w:p>
      <w:pPr>
        <w:ind w:left="1860" w:right="240" w:hanging="555"/>
        <w:spacing w:after="0" w:line="282" w:lineRule="auto"/>
        <w:tabs>
          <w:tab w:leader="none" w:pos="1854"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whom the Lender assigns or transfers (or may potentially assign or transfer) all or any of its rights and obligations under this Agreement;</w:t>
      </w:r>
    </w:p>
    <w:p>
      <w:pPr>
        <w:spacing w:after="0" w:line="161" w:lineRule="exact"/>
        <w:rPr>
          <w:rFonts w:ascii="Times New Roman" w:cs="Times New Roman" w:eastAsia="Times New Roman" w:hAnsi="Times New Roman"/>
          <w:sz w:val="18"/>
          <w:szCs w:val="18"/>
          <w:color w:val="auto"/>
        </w:rPr>
      </w:pPr>
    </w:p>
    <w:p>
      <w:pPr>
        <w:ind w:left="1860" w:right="480" w:hanging="555"/>
        <w:spacing w:after="0" w:line="282" w:lineRule="auto"/>
        <w:tabs>
          <w:tab w:leader="none" w:pos="1864"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(or through) whom the Lender enters into (or may potentially enter into) any sub-participation in relation to, or any other transaction under which payments are to be made by reference to, this Agreement or any Obligor;</w:t>
      </w:r>
    </w:p>
    <w:p>
      <w:pPr>
        <w:spacing w:after="0" w:line="161" w:lineRule="exact"/>
        <w:rPr>
          <w:rFonts w:ascii="Times New Roman" w:cs="Times New Roman" w:eastAsia="Times New Roman" w:hAnsi="Times New Roman"/>
          <w:sz w:val="18"/>
          <w:szCs w:val="18"/>
          <w:color w:val="auto"/>
        </w:rPr>
      </w:pPr>
    </w:p>
    <w:p>
      <w:pPr>
        <w:ind w:left="1860" w:right="560" w:hanging="555"/>
        <w:spacing w:after="0" w:line="282" w:lineRule="auto"/>
        <w:tabs>
          <w:tab w:leader="none" w:pos="1867"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by a person to whom paragraph (G)(a) or (G)(b) above applies to receive communications, notices, information or documents delivered pursuant to the Finance Documents on its behalf;</w:t>
      </w:r>
    </w:p>
    <w:p>
      <w:pPr>
        <w:spacing w:after="0" w:line="161" w:lineRule="exact"/>
        <w:rPr>
          <w:rFonts w:ascii="Times New Roman" w:cs="Times New Roman" w:eastAsia="Times New Roman" w:hAnsi="Times New Roman"/>
          <w:sz w:val="18"/>
          <w:szCs w:val="18"/>
          <w:color w:val="auto"/>
        </w:rPr>
      </w:pPr>
    </w:p>
    <w:p>
      <w:pPr>
        <w:ind w:left="1860" w:right="500" w:hanging="555"/>
        <w:spacing w:after="0" w:line="282" w:lineRule="auto"/>
        <w:tabs>
          <w:tab w:leader="none" w:pos="1864"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invests in or otherwise finances (or may potentially invest in or otherwise finance), directly or indirectly, any transaction referred to in paragraph (G)(a) or (G)(b) above;</w:t>
      </w:r>
    </w:p>
    <w:p>
      <w:pPr>
        <w:sectPr>
          <w:pgSz w:w="11900" w:h="16838" w:orient="portrait"/>
          <w:cols w:equalWidth="0" w:num="1">
            <w:col w:w="11400"/>
          </w:cols>
          <w:pgMar w:left="240" w:top="729" w:right="259" w:bottom="81" w:gutter="0" w:footer="0" w:header="0"/>
        </w:sectPr>
      </w:pPr>
    </w:p>
    <w:bookmarkStart w:id="156" w:name="page157"/>
    <w:bookmarkEnd w:id="156"/>
    <w:p>
      <w:pPr>
        <w:jc w:val="both"/>
        <w:ind w:left="1860" w:right="120" w:hanging="555"/>
        <w:spacing w:after="0" w:line="266" w:lineRule="auto"/>
        <w:tabs>
          <w:tab w:leader="none" w:pos="1867"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spacing w:after="0" w:line="176" w:lineRule="exact"/>
        <w:rPr>
          <w:rFonts w:ascii="Times New Roman" w:cs="Times New Roman" w:eastAsia="Times New Roman" w:hAnsi="Times New Roman"/>
          <w:sz w:val="18"/>
          <w:szCs w:val="18"/>
          <w:color w:val="auto"/>
        </w:rPr>
      </w:pPr>
    </w:p>
    <w:p>
      <w:pPr>
        <w:ind w:left="1860" w:right="1040" w:hanging="555"/>
        <w:spacing w:after="0" w:line="282" w:lineRule="auto"/>
        <w:tabs>
          <w:tab w:leader="none" w:pos="1861"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whom information is required to be disclosed in connection with, and for the purposes of, any litigation, arbitration, administrative or other investigations, proceedings or disputes; or</w:t>
      </w:r>
    </w:p>
    <w:p>
      <w:pPr>
        <w:spacing w:after="0" w:line="161" w:lineRule="exact"/>
        <w:rPr>
          <w:rFonts w:ascii="Times New Roman" w:cs="Times New Roman" w:eastAsia="Times New Roman" w:hAnsi="Times New Roman"/>
          <w:sz w:val="18"/>
          <w:szCs w:val="18"/>
          <w:color w:val="auto"/>
        </w:rPr>
      </w:pPr>
    </w:p>
    <w:p>
      <w:pPr>
        <w:ind w:left="1880" w:hanging="575"/>
        <w:spacing w:after="0"/>
        <w:tabs>
          <w:tab w:leader="none" w:pos="18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Obligors,</w:t>
      </w:r>
    </w:p>
    <w:p>
      <w:pPr>
        <w:spacing w:after="0" w:line="225" w:lineRule="exact"/>
        <w:rPr>
          <w:sz w:val="20"/>
          <w:szCs w:val="20"/>
          <w:color w:val="auto"/>
        </w:rPr>
      </w:pPr>
    </w:p>
    <w:p>
      <w:pPr>
        <w:ind w:left="660"/>
        <w:spacing w:after="0" w:line="255" w:lineRule="auto"/>
        <w:rPr>
          <w:sz w:val="20"/>
          <w:szCs w:val="20"/>
          <w:color w:val="auto"/>
        </w:rPr>
      </w:pPr>
      <w:r>
        <w:rPr>
          <w:rFonts w:ascii="Times New Roman" w:cs="Times New Roman" w:eastAsia="Times New Roman" w:hAnsi="Times New Roman"/>
          <w:sz w:val="18"/>
          <w:szCs w:val="18"/>
          <w:color w:val="auto"/>
        </w:rPr>
        <w:t>any information about any Obligor, the Group and the Finance Documents as the Lender shall consider appropriate; provided that in relation to disclosure pursuant to paragraphs (A), (B), (C), (F) or (G) above, if such information is confidential, the person to whom the confidential information is to be given is informed of its confidential nature and that some or all of such confidential information may be price-sensitive information; and further provided that, notwithstanding any other provision herein, the Lender and its Affiliates shall be entitled to, through public announcements, filings, press release or otherwise, publicly disclose any such information as required by any applicable law or regulation or rules of any securities exchange on which any security of the Lender or any of its Affiliates is listed. This Clause supersedes any previous agreement relating to the confidentiality of such information.</w:t>
      </w:r>
    </w:p>
    <w:p>
      <w:pPr>
        <w:spacing w:after="0" w:line="185" w:lineRule="exact"/>
        <w:rPr>
          <w:sz w:val="20"/>
          <w:szCs w:val="20"/>
          <w:color w:val="auto"/>
        </w:rPr>
      </w:pPr>
    </w:p>
    <w:p>
      <w:pPr>
        <w:ind w:right="8720" w:firstLine="8"/>
        <w:spacing w:after="0" w:line="530" w:lineRule="auto"/>
        <w:tabs>
          <w:tab w:leader="none" w:pos="644" w:val="left"/>
        </w:tabs>
        <w:numPr>
          <w:ilvl w:val="0"/>
          <w:numId w:val="2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PAYMENT MECHANICS 21.1 Payments to the Lender</w:t>
      </w:r>
    </w:p>
    <w:p>
      <w:pPr>
        <w:spacing w:after="0" w:line="4" w:lineRule="exact"/>
        <w:rPr>
          <w:rFonts w:ascii="Times New Roman" w:cs="Times New Roman" w:eastAsia="Times New Roman" w:hAnsi="Times New Roman"/>
          <w:sz w:val="17"/>
          <w:szCs w:val="17"/>
          <w:b w:val="1"/>
          <w:bCs w:val="1"/>
          <w:color w:val="auto"/>
        </w:rPr>
      </w:pPr>
    </w:p>
    <w:p>
      <w:pPr>
        <w:ind w:left="1400" w:right="180" w:hanging="744"/>
        <w:spacing w:after="0" w:line="261" w:lineRule="auto"/>
        <w:tabs>
          <w:tab w:leader="none" w:pos="1410" w:val="left"/>
        </w:tabs>
        <w:numPr>
          <w:ilvl w:val="1"/>
          <w:numId w:val="2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each date on which an Obligor is required to make a payment under a Finance Document, that Obligor shall make the same available to the Lender (unless a contrary indication appears in a Finance Document) for value on the due date at the time and in such funds specified by the Lender as being customary at the time for settlement of transactions in the relevant currency in the place of payment. If no such time is specified, payment must be made no later than 11:00 a.m. Hong Kong time on such due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20" w:hanging="764"/>
        <w:spacing w:after="0"/>
        <w:tabs>
          <w:tab w:leader="none" w:pos="1420" w:val="left"/>
        </w:tabs>
        <w:numPr>
          <w:ilvl w:val="0"/>
          <w:numId w:val="2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Payment shall be made to the account as notified by the Lender to the Borrower from time to time.</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21.2</w:t>
      </w:r>
      <w:r>
        <w:rPr>
          <w:sz w:val="20"/>
          <w:szCs w:val="20"/>
          <w:color w:val="auto"/>
        </w:rPr>
        <w:tab/>
      </w:r>
      <w:r>
        <w:rPr>
          <w:rFonts w:ascii="Times New Roman" w:cs="Times New Roman" w:eastAsia="Times New Roman" w:hAnsi="Times New Roman"/>
          <w:sz w:val="18"/>
          <w:szCs w:val="18"/>
          <w:b w:val="1"/>
          <w:bCs w:val="1"/>
          <w:color w:val="auto"/>
        </w:rPr>
        <w:t>Partial payments</w:t>
      </w:r>
    </w:p>
    <w:p>
      <w:pPr>
        <w:spacing w:after="0" w:line="229" w:lineRule="exact"/>
        <w:rPr>
          <w:sz w:val="20"/>
          <w:szCs w:val="20"/>
          <w:color w:val="auto"/>
        </w:rPr>
      </w:pPr>
    </w:p>
    <w:p>
      <w:pPr>
        <w:jc w:val="both"/>
        <w:ind w:left="1460" w:right="220" w:hanging="804"/>
        <w:spacing w:after="0" w:line="266" w:lineRule="auto"/>
        <w:tabs>
          <w:tab w:leader="none" w:pos="1467"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Lender receives a payment that is insufficient to discharge all the amounts then due and payable by an Obligor under the Finance Documents, the Lender shall apply that payment towards the obligations of that Obligor under the Finance Documents in the following order:</w:t>
      </w:r>
    </w:p>
    <w:p>
      <w:pPr>
        <w:spacing w:after="0" w:line="176" w:lineRule="exact"/>
        <w:rPr>
          <w:rFonts w:ascii="Times New Roman" w:cs="Times New Roman" w:eastAsia="Times New Roman" w:hAnsi="Times New Roman"/>
          <w:sz w:val="18"/>
          <w:szCs w:val="18"/>
          <w:b w:val="1"/>
          <w:bCs w:val="1"/>
          <w:color w:val="auto"/>
        </w:rPr>
      </w:pPr>
    </w:p>
    <w:p>
      <w:pPr>
        <w:ind w:left="2060" w:hanging="583"/>
        <w:spacing w:after="0"/>
        <w:tabs>
          <w:tab w:leader="none" w:pos="206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in or towards payment of any unpaid fees, costs and expenses of the Lender under the Finance Documents;</w:t>
      </w:r>
    </w:p>
    <w:p>
      <w:pPr>
        <w:spacing w:after="0" w:line="225" w:lineRule="exact"/>
        <w:rPr>
          <w:rFonts w:ascii="Times New Roman" w:cs="Times New Roman" w:eastAsia="Times New Roman" w:hAnsi="Times New Roman"/>
          <w:sz w:val="18"/>
          <w:szCs w:val="18"/>
          <w:color w:val="auto"/>
        </w:rPr>
      </w:pPr>
    </w:p>
    <w:p>
      <w:pPr>
        <w:ind w:left="2040" w:right="160" w:hanging="563"/>
        <w:spacing w:after="0" w:line="282" w:lineRule="auto"/>
        <w:tabs>
          <w:tab w:leader="none" w:pos="2047"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secondly, in or towards payment of any accrued interest, fee (other than as provided in paragraph (A) above) or commission due but unpaid under this Agreement;</w:t>
      </w:r>
    </w:p>
    <w:p>
      <w:pPr>
        <w:spacing w:after="0" w:line="161" w:lineRule="exact"/>
        <w:rPr>
          <w:rFonts w:ascii="Times New Roman" w:cs="Times New Roman" w:eastAsia="Times New Roman" w:hAnsi="Times New Roman"/>
          <w:sz w:val="18"/>
          <w:szCs w:val="18"/>
          <w:color w:val="auto"/>
        </w:rPr>
      </w:pPr>
    </w:p>
    <w:p>
      <w:pPr>
        <w:ind w:left="2040" w:hanging="563"/>
        <w:spacing w:after="0"/>
        <w:tabs>
          <w:tab w:leader="none" w:pos="204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thirdly, in or towards payment of any principal due but unpaid under this Agreement; and</w:t>
      </w:r>
    </w:p>
    <w:p>
      <w:pPr>
        <w:spacing w:after="0" w:line="225" w:lineRule="exact"/>
        <w:rPr>
          <w:rFonts w:ascii="Times New Roman" w:cs="Times New Roman" w:eastAsia="Times New Roman" w:hAnsi="Times New Roman"/>
          <w:sz w:val="18"/>
          <w:szCs w:val="18"/>
          <w:color w:val="auto"/>
        </w:rPr>
      </w:pPr>
    </w:p>
    <w:p>
      <w:pPr>
        <w:ind w:left="2060" w:hanging="583"/>
        <w:spacing w:after="0"/>
        <w:tabs>
          <w:tab w:leader="none" w:pos="206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fourthly, in or towards payment of any other sum due but unpaid under the Finance Documents.</w:t>
      </w:r>
    </w:p>
    <w:p>
      <w:pPr>
        <w:spacing w:after="0" w:line="225"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Lender may vary the order set out in paragraphs (B) to (D) of sub-clause (a) above.</w:t>
      </w:r>
    </w:p>
    <w:p>
      <w:pPr>
        <w:spacing w:after="0" w:line="225" w:lineRule="exact"/>
        <w:rPr>
          <w:rFonts w:ascii="Times New Roman" w:cs="Times New Roman" w:eastAsia="Times New Roman" w:hAnsi="Times New Roman"/>
          <w:sz w:val="18"/>
          <w:szCs w:val="18"/>
          <w:b w:val="1"/>
          <w:bCs w:val="1"/>
          <w:color w:val="auto"/>
        </w:rPr>
      </w:pPr>
    </w:p>
    <w:p>
      <w:pPr>
        <w:ind w:left="1400" w:hanging="744"/>
        <w:spacing w:after="0"/>
        <w:tabs>
          <w:tab w:leader="none" w:pos="1400"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Sub-clauses (a) and (b) above will override any appropriation made by an Obligor.</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21.3</w:t>
      </w:r>
      <w:r>
        <w:rPr>
          <w:sz w:val="20"/>
          <w:szCs w:val="20"/>
          <w:color w:val="auto"/>
        </w:rPr>
        <w:tab/>
      </w:r>
      <w:r>
        <w:rPr>
          <w:rFonts w:ascii="Times New Roman" w:cs="Times New Roman" w:eastAsia="Times New Roman" w:hAnsi="Times New Roman"/>
          <w:sz w:val="18"/>
          <w:szCs w:val="18"/>
          <w:b w:val="1"/>
          <w:bCs w:val="1"/>
          <w:color w:val="auto"/>
        </w:rPr>
        <w:t>Business Days</w:t>
      </w:r>
    </w:p>
    <w:p>
      <w:pPr>
        <w:spacing w:after="0" w:line="229" w:lineRule="exact"/>
        <w:rPr>
          <w:sz w:val="20"/>
          <w:szCs w:val="20"/>
          <w:color w:val="auto"/>
        </w:rPr>
      </w:pPr>
    </w:p>
    <w:p>
      <w:pPr>
        <w:ind w:left="1400" w:right="260" w:hanging="744"/>
        <w:spacing w:after="0" w:line="282" w:lineRule="auto"/>
        <w:tabs>
          <w:tab w:leader="none" w:pos="1410" w:val="left"/>
        </w:tabs>
        <w:numPr>
          <w:ilvl w:val="1"/>
          <w:numId w:val="2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payment which is due to be made on a day that is not a Business Day shall be made on the next Business Day in the same calendar month (if there is one) or the preceding Business Day (if there is not).</w:t>
      </w:r>
    </w:p>
    <w:p>
      <w:pPr>
        <w:spacing w:after="0" w:line="161" w:lineRule="exact"/>
        <w:rPr>
          <w:rFonts w:ascii="Times New Roman" w:cs="Times New Roman" w:eastAsia="Times New Roman" w:hAnsi="Times New Roman"/>
          <w:sz w:val="18"/>
          <w:szCs w:val="18"/>
          <w:b w:val="1"/>
          <w:bCs w:val="1"/>
          <w:color w:val="auto"/>
        </w:rPr>
      </w:pPr>
    </w:p>
    <w:p>
      <w:pPr>
        <w:ind w:left="1400" w:right="240" w:hanging="744"/>
        <w:spacing w:after="0" w:line="282" w:lineRule="auto"/>
        <w:tabs>
          <w:tab w:leader="none" w:pos="1420" w:val="left"/>
        </w:tabs>
        <w:numPr>
          <w:ilvl w:val="1"/>
          <w:numId w:val="2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any extension of the due date for payment of any principal or Unpaid Sum under sub-clause (a) above, interest is payable on the principal or Unpaid Sum at the rate payable on the original due date.</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SET-OFF</w:t>
      </w:r>
    </w:p>
    <w:p>
      <w:pPr>
        <w:spacing w:after="0" w:line="229" w:lineRule="exact"/>
        <w:rPr>
          <w:rFonts w:ascii="Times New Roman" w:cs="Times New Roman" w:eastAsia="Times New Roman" w:hAnsi="Times New Roman"/>
          <w:sz w:val="18"/>
          <w:szCs w:val="18"/>
          <w:b w:val="1"/>
          <w:bCs w:val="1"/>
          <w:color w:val="auto"/>
        </w:rPr>
      </w:pPr>
    </w:p>
    <w:p>
      <w:pPr>
        <w:ind w:left="1460" w:right="80" w:hanging="804"/>
        <w:spacing w:after="0" w:line="282" w:lineRule="auto"/>
        <w:tabs>
          <w:tab w:leader="none" w:pos="1467" w:val="left"/>
        </w:tabs>
        <w:numPr>
          <w:ilvl w:val="1"/>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payments to be made by an Obligor under the Finance Documents shall be calculated and be made without (and free and clear of any deduction for) set-off or counterclaim.</w:t>
      </w:r>
    </w:p>
    <w:p>
      <w:pPr>
        <w:spacing w:after="0" w:line="161" w:lineRule="exact"/>
        <w:rPr>
          <w:rFonts w:ascii="Times New Roman" w:cs="Times New Roman" w:eastAsia="Times New Roman" w:hAnsi="Times New Roman"/>
          <w:sz w:val="18"/>
          <w:szCs w:val="18"/>
          <w:b w:val="1"/>
          <w:bCs w:val="1"/>
          <w:color w:val="auto"/>
        </w:rPr>
      </w:pPr>
    </w:p>
    <w:p>
      <w:pPr>
        <w:ind w:left="1460" w:right="20" w:hanging="804"/>
        <w:spacing w:after="0" w:line="261" w:lineRule="auto"/>
        <w:tabs>
          <w:tab w:leader="none" w:pos="1477" w:val="left"/>
        </w:tabs>
        <w:numPr>
          <w:ilvl w:val="1"/>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Lender may set off any matured obligation due from an Obligor under the Finance Documents (to the extent beneficially owned by the Lender) against any matured obligation owed by the Lender to that Obligor, regardless of the place of payment or currency of either obligation. If the obligations are in different currencies, the Lender may convert either obligation at a market rate of exchange in its usual course of business for the purpose of the set-off.</w:t>
      </w:r>
    </w:p>
    <w:p>
      <w:pPr>
        <w:spacing w:after="0" w:line="176"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23.1</w:t>
      </w:r>
      <w:r>
        <w:rPr>
          <w:sz w:val="20"/>
          <w:szCs w:val="20"/>
          <w:color w:val="auto"/>
        </w:rPr>
        <w:tab/>
      </w:r>
      <w:r>
        <w:rPr>
          <w:rFonts w:ascii="Times New Roman" w:cs="Times New Roman" w:eastAsia="Times New Roman" w:hAnsi="Times New Roman"/>
          <w:sz w:val="18"/>
          <w:szCs w:val="18"/>
          <w:b w:val="1"/>
          <w:bCs w:val="1"/>
          <w:color w:val="auto"/>
        </w:rPr>
        <w:t>Communications in writing</w:t>
      </w:r>
    </w:p>
    <w:p>
      <w:pPr>
        <w:spacing w:after="0" w:line="229" w:lineRule="exact"/>
        <w:rPr>
          <w:sz w:val="20"/>
          <w:szCs w:val="20"/>
          <w:color w:val="auto"/>
        </w:rPr>
      </w:pPr>
    </w:p>
    <w:p>
      <w:pPr>
        <w:ind w:left="640" w:right="240"/>
        <w:spacing w:after="0" w:line="282" w:lineRule="auto"/>
        <w:rPr>
          <w:sz w:val="20"/>
          <w:szCs w:val="20"/>
          <w:color w:val="auto"/>
        </w:rPr>
      </w:pPr>
      <w:r>
        <w:rPr>
          <w:rFonts w:ascii="Times New Roman" w:cs="Times New Roman" w:eastAsia="Times New Roman" w:hAnsi="Times New Roman"/>
          <w:sz w:val="18"/>
          <w:szCs w:val="18"/>
          <w:color w:val="auto"/>
        </w:rPr>
        <w:t>Any communication to be made under or in connection with the Finance Documents shall be made in writing and, unless otherwise stated, may be made by fax or letter.</w:t>
      </w:r>
    </w:p>
    <w:p>
      <w:pPr>
        <w:sectPr>
          <w:pgSz w:w="11900" w:h="16838" w:orient="portrait"/>
          <w:cols w:equalWidth="0" w:num="1">
            <w:col w:w="11420"/>
          </w:cols>
          <w:pgMar w:left="240" w:top="121" w:right="239" w:bottom="0" w:gutter="0" w:footer="0" w:header="0"/>
        </w:sectPr>
      </w:pPr>
    </w:p>
    <w:bookmarkStart w:id="157" w:name="page158"/>
    <w:bookmarkEnd w:id="157"/>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23.2</w:t>
      </w:r>
      <w:r>
        <w:rPr>
          <w:sz w:val="20"/>
          <w:szCs w:val="20"/>
          <w:color w:val="auto"/>
        </w:rPr>
        <w:tab/>
      </w:r>
      <w:r>
        <w:rPr>
          <w:rFonts w:ascii="Times New Roman" w:cs="Times New Roman" w:eastAsia="Times New Roman" w:hAnsi="Times New Roman"/>
          <w:sz w:val="18"/>
          <w:szCs w:val="18"/>
          <w:b w:val="1"/>
          <w:bCs w:val="1"/>
          <w:color w:val="auto"/>
        </w:rPr>
        <w:t>Addresses</w:t>
      </w:r>
    </w:p>
    <w:p>
      <w:pPr>
        <w:spacing w:after="0" w:line="229" w:lineRule="exact"/>
        <w:rPr>
          <w:sz w:val="20"/>
          <w:szCs w:val="20"/>
          <w:color w:val="auto"/>
        </w:rPr>
      </w:pPr>
    </w:p>
    <w:p>
      <w:pPr>
        <w:ind w:left="640" w:right="520"/>
        <w:spacing w:after="0" w:line="282" w:lineRule="auto"/>
        <w:rPr>
          <w:sz w:val="20"/>
          <w:szCs w:val="20"/>
          <w:color w:val="auto"/>
        </w:rPr>
      </w:pPr>
      <w:r>
        <w:rPr>
          <w:rFonts w:ascii="Times New Roman" w:cs="Times New Roman" w:eastAsia="Times New Roman" w:hAnsi="Times New Roman"/>
          <w:sz w:val="18"/>
          <w:szCs w:val="18"/>
          <w:color w:val="auto"/>
        </w:rPr>
        <w:t>The address and fax number (and the department or officer, if any, for whose attention the communication is to be made) of each Party for any communication or document to be made or delivered under or in connection with the Finance Documents is:</w:t>
      </w:r>
    </w:p>
    <w:p>
      <w:pPr>
        <w:spacing w:after="0" w:line="162" w:lineRule="exact"/>
        <w:rPr>
          <w:sz w:val="20"/>
          <w:szCs w:val="20"/>
          <w:color w:val="auto"/>
        </w:rPr>
      </w:pPr>
    </w:p>
    <w:p>
      <w:pPr>
        <w:ind w:left="1400" w:hanging="744"/>
        <w:spacing w:after="0"/>
        <w:tabs>
          <w:tab w:leader="none" w:pos="1400" w:val="left"/>
        </w:tabs>
        <w:numPr>
          <w:ilvl w:val="0"/>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case of any of the Obligors:</w:t>
      </w:r>
    </w:p>
    <w:p>
      <w:pPr>
        <w:sectPr>
          <w:pgSz w:w="11900" w:h="16838" w:orient="portrait"/>
          <w:cols w:equalWidth="0" w:num="1">
            <w:col w:w="11420"/>
          </w:cols>
          <w:pgMar w:left="240" w:top="121" w:right="239" w:bottom="40" w:gutter="0" w:footer="0" w:header="0"/>
        </w:sectPr>
      </w:pPr>
    </w:p>
    <w:p>
      <w:pPr>
        <w:spacing w:after="0" w:line="2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Fax:</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7"/>
          <w:szCs w:val="17"/>
          <w:color w:val="auto"/>
        </w:rPr>
        <w:t>Attention: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[7th Floor, Building D, Tsinghua Tongfang Hi-Tech Plaza, Haidian District, Beijing, China]</w:t>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[+86-10-8280 0540]</w:t>
      </w:r>
    </w:p>
    <w:p>
      <w:pPr>
        <w:spacing w:after="0" w:line="9" w:lineRule="exact"/>
        <w:rPr>
          <w:sz w:val="20"/>
          <w:szCs w:val="20"/>
          <w:color w:val="auto"/>
        </w:rPr>
      </w:pPr>
    </w:p>
    <w:p>
      <w:pPr>
        <w:ind w:left="20"/>
        <w:spacing w:after="0"/>
        <w:tabs>
          <w:tab w:leader="none" w:pos="2000" w:val="left"/>
        </w:tabs>
        <w:rPr>
          <w:sz w:val="20"/>
          <w:szCs w:val="20"/>
          <w:color w:val="auto"/>
        </w:rPr>
      </w:pPr>
      <w:r>
        <w:rPr>
          <w:rFonts w:ascii="Times New Roman" w:cs="Times New Roman" w:eastAsia="Times New Roman" w:hAnsi="Times New Roman"/>
          <w:sz w:val="18"/>
          <w:szCs w:val="18"/>
          <w:color w:val="auto"/>
        </w:rPr>
        <w:t>[Mr. ZHENG Zhaohui(</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120" w:space="480"/>
            <w:col w:w="8820"/>
          </w:cols>
          <w:pgMar w:left="240" w:top="121" w:right="239" w:bottom="40" w:gutter="0" w:footer="0" w:header="0"/>
          <w:type w:val="continuous"/>
        </w:sectPr>
      </w:pPr>
    </w:p>
    <w:p>
      <w:pPr>
        <w:spacing w:after="0" w:line="7" w:lineRule="exact"/>
        <w:rPr>
          <w:sz w:val="20"/>
          <w:szCs w:val="20"/>
          <w:color w:val="auto"/>
        </w:rPr>
      </w:pPr>
    </w:p>
    <w:p>
      <w:pPr>
        <w:ind w:left="1420" w:hanging="764"/>
        <w:spacing w:after="0"/>
        <w:tabs>
          <w:tab w:leader="none" w:pos="1420" w:val="left"/>
        </w:tabs>
        <w:numPr>
          <w:ilvl w:val="0"/>
          <w:numId w:val="2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the case of the Original Lender:</w:t>
      </w:r>
    </w:p>
    <w:p>
      <w:pPr>
        <w:sectPr>
          <w:pgSz w:w="11900" w:h="16838" w:orient="portrait"/>
          <w:cols w:equalWidth="0" w:num="1">
            <w:col w:w="11420"/>
          </w:cols>
          <w:pgMar w:left="240" w:top="121" w:right="239" w:bottom="40" w:gutter="0" w:footer="0" w:header="0"/>
          <w:type w:val="continuous"/>
        </w:sectPr>
      </w:pPr>
    </w:p>
    <w:p>
      <w:pPr>
        <w:spacing w:after="0" w:line="23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Fax:</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7"/>
          <w:szCs w:val="17"/>
          <w:color w:val="auto"/>
        </w:rPr>
        <w:t>Attention:</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[11th Floor, Zhongqing Building, No.4Qiyang Road, Wangjing, Beijing, China]</w:t>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[+86-10-6067 6889]</w:t>
      </w:r>
    </w:p>
    <w:p>
      <w:pPr>
        <w:spacing w:after="0" w:line="9"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18"/>
          <w:szCs w:val="18"/>
          <w:color w:val="auto"/>
        </w:rPr>
        <w:t>[Mr. LI Ya (</w:t>
        <w:tab/>
        <w:t>)]</w:t>
      </w:r>
    </w:p>
    <w:p>
      <w:pPr>
        <w:spacing w:after="0" w:line="200" w:lineRule="exact"/>
        <w:rPr>
          <w:sz w:val="20"/>
          <w:szCs w:val="20"/>
          <w:color w:val="auto"/>
        </w:rPr>
      </w:pPr>
    </w:p>
    <w:p>
      <w:pPr>
        <w:sectPr>
          <w:pgSz w:w="11900" w:h="16838" w:orient="portrait"/>
          <w:cols w:equalWidth="0" w:num="2">
            <w:col w:w="2120" w:space="480"/>
            <w:col w:w="8820"/>
          </w:cols>
          <w:pgMar w:left="240" w:top="121" w:right="239" w:bottom="40" w:gutter="0" w:footer="0" w:header="0"/>
          <w:type w:val="continuous"/>
        </w:sectPr>
      </w:pPr>
    </w:p>
    <w:p>
      <w:pPr>
        <w:spacing w:after="0" w:line="7" w:lineRule="exact"/>
        <w:rPr>
          <w:sz w:val="20"/>
          <w:szCs w:val="20"/>
          <w:color w:val="auto"/>
        </w:rPr>
      </w:pPr>
    </w:p>
    <w:p>
      <w:pPr>
        <w:ind w:left="640" w:right="400"/>
        <w:spacing w:after="0" w:line="282" w:lineRule="auto"/>
        <w:rPr>
          <w:sz w:val="20"/>
          <w:szCs w:val="20"/>
          <w:color w:val="auto"/>
        </w:rPr>
      </w:pPr>
      <w:r>
        <w:rPr>
          <w:rFonts w:ascii="Times New Roman" w:cs="Times New Roman" w:eastAsia="Times New Roman" w:hAnsi="Times New Roman"/>
          <w:sz w:val="18"/>
          <w:szCs w:val="18"/>
          <w:color w:val="auto"/>
        </w:rPr>
        <w:t>or any substitute address, fax number or department or officer as the Party may notify to the other Party by not less than five (5) Business Days’ notice.</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23.3</w:t>
      </w:r>
      <w:r>
        <w:rPr>
          <w:sz w:val="20"/>
          <w:szCs w:val="20"/>
          <w:color w:val="auto"/>
        </w:rPr>
        <w:tab/>
      </w:r>
      <w:r>
        <w:rPr>
          <w:rFonts w:ascii="Times New Roman" w:cs="Times New Roman" w:eastAsia="Times New Roman" w:hAnsi="Times New Roman"/>
          <w:sz w:val="18"/>
          <w:szCs w:val="18"/>
          <w:b w:val="1"/>
          <w:bCs w:val="1"/>
          <w:color w:val="auto"/>
        </w:rPr>
        <w:t>Delivery</w:t>
      </w:r>
    </w:p>
    <w:p>
      <w:pPr>
        <w:spacing w:after="0" w:line="229" w:lineRule="exact"/>
        <w:rPr>
          <w:sz w:val="20"/>
          <w:szCs w:val="20"/>
          <w:color w:val="auto"/>
        </w:rPr>
      </w:pPr>
    </w:p>
    <w:p>
      <w:pPr>
        <w:ind w:left="1400" w:right="100" w:hanging="744"/>
        <w:spacing w:after="0" w:line="282" w:lineRule="auto"/>
        <w:tabs>
          <w:tab w:leader="none" w:pos="1410" w:val="left"/>
        </w:tabs>
        <w:numPr>
          <w:ilvl w:val="0"/>
          <w:numId w:val="2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communication or document made or delivered by one person to another under or in connection with the Finance Documents will be effective:</w:t>
      </w:r>
    </w:p>
    <w:p>
      <w:pPr>
        <w:spacing w:after="0" w:line="161" w:lineRule="exact"/>
        <w:rPr>
          <w:rFonts w:ascii="Times New Roman" w:cs="Times New Roman" w:eastAsia="Times New Roman" w:hAnsi="Times New Roman"/>
          <w:sz w:val="18"/>
          <w:szCs w:val="18"/>
          <w:b w:val="1"/>
          <w:bCs w:val="1"/>
          <w:color w:val="auto"/>
        </w:rPr>
      </w:pPr>
    </w:p>
    <w:p>
      <w:pPr>
        <w:ind w:left="2140" w:hanging="733"/>
        <w:spacing w:after="0"/>
        <w:tabs>
          <w:tab w:leader="none" w:pos="214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way of fax, only when received in legible form; or</w:t>
      </w:r>
    </w:p>
    <w:p>
      <w:pPr>
        <w:spacing w:after="0" w:line="225" w:lineRule="exact"/>
        <w:rPr>
          <w:rFonts w:ascii="Times New Roman" w:cs="Times New Roman" w:eastAsia="Times New Roman" w:hAnsi="Times New Roman"/>
          <w:sz w:val="18"/>
          <w:szCs w:val="18"/>
          <w:color w:val="auto"/>
        </w:rPr>
      </w:pPr>
    </w:p>
    <w:p>
      <w:pPr>
        <w:ind w:left="2120" w:right="180" w:hanging="713"/>
        <w:spacing w:after="0" w:line="282" w:lineRule="auto"/>
        <w:tabs>
          <w:tab w:leader="none" w:pos="2146"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way of letter, only when it has been left at the relevant address or five (5) Business Days after being deposited in the post postage prepaid in an envelope addressed to it at that address;</w:t>
      </w:r>
    </w:p>
    <w:p>
      <w:pPr>
        <w:spacing w:after="0" w:line="160" w:lineRule="exact"/>
        <w:rPr>
          <w:sz w:val="20"/>
          <w:szCs w:val="20"/>
          <w:color w:val="auto"/>
        </w:rPr>
      </w:pPr>
    </w:p>
    <w:p>
      <w:pPr>
        <w:ind w:left="1400" w:right="180"/>
        <w:spacing w:after="0" w:line="284" w:lineRule="auto"/>
        <w:rPr>
          <w:sz w:val="20"/>
          <w:szCs w:val="20"/>
          <w:color w:val="auto"/>
        </w:rPr>
      </w:pPr>
      <w:r>
        <w:rPr>
          <w:rFonts w:ascii="Times New Roman" w:cs="Times New Roman" w:eastAsia="Times New Roman" w:hAnsi="Times New Roman"/>
          <w:sz w:val="18"/>
          <w:szCs w:val="18"/>
          <w:color w:val="auto"/>
        </w:rPr>
        <w:t>and, if a particular department or officer is specified as part of its address details provided under Clause 23.2 (</w:t>
      </w:r>
      <w:r>
        <w:rPr>
          <w:rFonts w:ascii="Times New Roman" w:cs="Times New Roman" w:eastAsia="Times New Roman" w:hAnsi="Times New Roman"/>
          <w:sz w:val="18"/>
          <w:szCs w:val="18"/>
          <w:i w:val="1"/>
          <w:iCs w:val="1"/>
          <w:color w:val="auto"/>
        </w:rPr>
        <w:t>Addresses</w:t>
      </w:r>
      <w:r>
        <w:rPr>
          <w:rFonts w:ascii="Times New Roman" w:cs="Times New Roman" w:eastAsia="Times New Roman" w:hAnsi="Times New Roman"/>
          <w:sz w:val="18"/>
          <w:szCs w:val="18"/>
          <w:color w:val="auto"/>
        </w:rPr>
        <w:t>), if addressed to that department or officer.</w:t>
      </w:r>
    </w:p>
    <w:p>
      <w:pPr>
        <w:spacing w:after="0" w:line="160" w:lineRule="exact"/>
        <w:rPr>
          <w:sz w:val="20"/>
          <w:szCs w:val="20"/>
          <w:color w:val="auto"/>
        </w:rPr>
      </w:pPr>
    </w:p>
    <w:p>
      <w:pPr>
        <w:ind w:left="1400" w:right="80" w:hanging="744"/>
        <w:spacing w:after="0" w:line="282" w:lineRule="auto"/>
        <w:tabs>
          <w:tab w:leader="none" w:pos="1420" w:val="left"/>
        </w:tabs>
        <w:numPr>
          <w:ilvl w:val="0"/>
          <w:numId w:val="2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communication or document made or delivered to the Borrower in accordance with this Clause will be deemed to have been made or delivered to the other Obligors.</w:t>
      </w:r>
    </w:p>
    <w:p>
      <w:pPr>
        <w:spacing w:after="0" w:line="161" w:lineRule="exact"/>
        <w:rPr>
          <w:rFonts w:ascii="Times New Roman" w:cs="Times New Roman" w:eastAsia="Times New Roman" w:hAnsi="Times New Roman"/>
          <w:sz w:val="18"/>
          <w:szCs w:val="18"/>
          <w:b w:val="1"/>
          <w:bCs w:val="1"/>
          <w:color w:val="auto"/>
        </w:rPr>
      </w:pPr>
    </w:p>
    <w:p>
      <w:pPr>
        <w:ind w:left="1400" w:right="60" w:hanging="744"/>
        <w:spacing w:after="0" w:line="282" w:lineRule="auto"/>
        <w:tabs>
          <w:tab w:leader="none" w:pos="1413" w:val="left"/>
        </w:tabs>
        <w:numPr>
          <w:ilvl w:val="0"/>
          <w:numId w:val="2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communication or document which becomes effective, in accordance with sub-clauses (a) to (b) above, after 5.00 p.m. in the place of receipt shall be deemed only to become effective on the following day.</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23.4</w:t>
      </w:r>
      <w:r>
        <w:rPr>
          <w:sz w:val="20"/>
          <w:szCs w:val="20"/>
          <w:color w:val="auto"/>
        </w:rPr>
        <w:tab/>
      </w:r>
      <w:r>
        <w:rPr>
          <w:rFonts w:ascii="Times New Roman" w:cs="Times New Roman" w:eastAsia="Times New Roman" w:hAnsi="Times New Roman"/>
          <w:sz w:val="17"/>
          <w:szCs w:val="17"/>
          <w:b w:val="1"/>
          <w:bCs w:val="1"/>
          <w:color w:val="auto"/>
        </w:rPr>
        <w:t>Electronic communication</w:t>
      </w:r>
    </w:p>
    <w:p>
      <w:pPr>
        <w:spacing w:after="0" w:line="229" w:lineRule="exact"/>
        <w:rPr>
          <w:sz w:val="20"/>
          <w:szCs w:val="20"/>
          <w:color w:val="auto"/>
        </w:rPr>
      </w:pPr>
    </w:p>
    <w:p>
      <w:pPr>
        <w:ind w:left="1400" w:right="140" w:hanging="744"/>
        <w:spacing w:after="0" w:line="266" w:lineRule="auto"/>
        <w:tabs>
          <w:tab w:leader="none" w:pos="1410" w:val="left"/>
        </w:tabs>
        <w:numPr>
          <w:ilvl w:val="0"/>
          <w:numId w:val="2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communication to be made between any two Parties under or in connection with the Finance Documents may be made by electronic mail or other electronic means to the extent that those two Parties agree that, unless and until notified to the contrary, this is to be an accepted form of communication; and if those two Parties:</w:t>
      </w:r>
    </w:p>
    <w:p>
      <w:pPr>
        <w:spacing w:after="0" w:line="176" w:lineRule="exact"/>
        <w:rPr>
          <w:rFonts w:ascii="Times New Roman" w:cs="Times New Roman" w:eastAsia="Times New Roman" w:hAnsi="Times New Roman"/>
          <w:sz w:val="18"/>
          <w:szCs w:val="18"/>
          <w:b w:val="1"/>
          <w:bCs w:val="1"/>
          <w:color w:val="auto"/>
        </w:rPr>
      </w:pPr>
    </w:p>
    <w:p>
      <w:pPr>
        <w:ind w:left="1840" w:right="140" w:hanging="367"/>
        <w:spacing w:after="0" w:line="282" w:lineRule="auto"/>
        <w:tabs>
          <w:tab w:leader="none" w:pos="1850" w:val="left"/>
        </w:tabs>
        <w:numPr>
          <w:ilvl w:val="1"/>
          <w:numId w:val="2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notify each other in writing of their electronic mail address and/or any other information required to enable the sending and receipt of information by that means; and</w:t>
      </w:r>
    </w:p>
    <w:p>
      <w:pPr>
        <w:spacing w:after="0" w:line="161" w:lineRule="exact"/>
        <w:rPr>
          <w:rFonts w:ascii="Times New Roman" w:cs="Times New Roman" w:eastAsia="Times New Roman" w:hAnsi="Times New Roman"/>
          <w:sz w:val="18"/>
          <w:szCs w:val="18"/>
          <w:b w:val="1"/>
          <w:bCs w:val="1"/>
          <w:color w:val="auto"/>
        </w:rPr>
      </w:pPr>
    </w:p>
    <w:p>
      <w:pPr>
        <w:ind w:left="1840" w:right="240" w:hanging="367"/>
        <w:spacing w:after="0" w:line="282" w:lineRule="auto"/>
        <w:tabs>
          <w:tab w:leader="none" w:pos="1846" w:val="left"/>
        </w:tabs>
        <w:numPr>
          <w:ilvl w:val="1"/>
          <w:numId w:val="2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notify each other of any change to their address or any other such information supplied by them by not less than five (5) Business Days’ notice.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0" w:hanging="744"/>
        <w:spacing w:after="0" w:line="266" w:lineRule="auto"/>
        <w:tabs>
          <w:tab w:leader="none" w:pos="1420" w:val="left"/>
        </w:tabs>
        <w:numPr>
          <w:ilvl w:val="0"/>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electronic communication made between those two Parties will be effective only when actually received in readable form and in the case of any electronic communication made by a Party to the Lender only if it is addressed in such a manner as the Lender shall specify for this purpose.</w:t>
      </w:r>
    </w:p>
    <w:p>
      <w:pPr>
        <w:spacing w:after="0" w:line="176" w:lineRule="exact"/>
        <w:rPr>
          <w:rFonts w:ascii="Times New Roman" w:cs="Times New Roman" w:eastAsia="Times New Roman" w:hAnsi="Times New Roman"/>
          <w:sz w:val="18"/>
          <w:szCs w:val="18"/>
          <w:b w:val="1"/>
          <w:bCs w:val="1"/>
          <w:color w:val="auto"/>
        </w:rPr>
      </w:pPr>
    </w:p>
    <w:p>
      <w:pPr>
        <w:ind w:left="1400" w:right="260" w:hanging="744"/>
        <w:spacing w:after="0" w:line="282" w:lineRule="auto"/>
        <w:tabs>
          <w:tab w:leader="none" w:pos="1413" w:val="left"/>
        </w:tabs>
        <w:numPr>
          <w:ilvl w:val="0"/>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electronic communication which becomes effective, in accordance with paragraph (b) above, after 5.00 p.m. in the place of receipt shall be deemed only to become effective on the following day.</w:t>
      </w:r>
    </w:p>
    <w:p>
      <w:pPr>
        <w:spacing w:after="0" w:line="158" w:lineRule="exact"/>
        <w:rPr>
          <w:sz w:val="20"/>
          <w:szCs w:val="20"/>
          <w:color w:val="auto"/>
        </w:rPr>
      </w:pPr>
    </w:p>
    <w:p>
      <w:pPr>
        <w:ind w:right="7520" w:firstLine="8"/>
        <w:spacing w:after="0" w:line="503" w:lineRule="auto"/>
        <w:tabs>
          <w:tab w:leader="none" w:pos="644" w:val="left"/>
        </w:tabs>
        <w:numPr>
          <w:ilvl w:val="0"/>
          <w:numId w:val="2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CALCULATIONS AND CERTIFICATES 24.1 Accounts</w:t>
      </w:r>
    </w:p>
    <w:p>
      <w:pPr>
        <w:spacing w:after="0" w:line="1"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In any litigation or arbitration proceedings arising out of or in connection with a Finance Document, the entries made in the accounts maintained by the Lender are prima facie evidence of the matters to which they relate.</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24.2</w:t>
      </w:r>
      <w:r>
        <w:rPr>
          <w:sz w:val="20"/>
          <w:szCs w:val="20"/>
          <w:color w:val="auto"/>
        </w:rPr>
        <w:tab/>
      </w:r>
      <w:r>
        <w:rPr>
          <w:rFonts w:ascii="Times New Roman" w:cs="Times New Roman" w:eastAsia="Times New Roman" w:hAnsi="Times New Roman"/>
          <w:sz w:val="17"/>
          <w:szCs w:val="17"/>
          <w:b w:val="1"/>
          <w:bCs w:val="1"/>
          <w:color w:val="auto"/>
        </w:rPr>
        <w:t>Certificates and Determinations</w:t>
      </w:r>
    </w:p>
    <w:p>
      <w:pPr>
        <w:sectPr>
          <w:pgSz w:w="11900" w:h="16838" w:orient="portrait"/>
          <w:cols w:equalWidth="0" w:num="1">
            <w:col w:w="11420"/>
          </w:cols>
          <w:pgMar w:left="240" w:top="121" w:right="239" w:bottom="40" w:gutter="0" w:footer="0" w:header="0"/>
          <w:type w:val="continuous"/>
        </w:sectPr>
      </w:pPr>
    </w:p>
    <w:bookmarkStart w:id="158" w:name="page159"/>
    <w:bookmarkEnd w:id="158"/>
    <w:p>
      <w:pPr>
        <w:spacing w:after="0" w:line="28" w:lineRule="exact"/>
        <w:rPr>
          <w:sz w:val="20"/>
          <w:szCs w:val="20"/>
          <w:color w:val="auto"/>
        </w:rPr>
      </w:pPr>
    </w:p>
    <w:p>
      <w:pPr>
        <w:ind w:left="660" w:right="320"/>
        <w:spacing w:after="0" w:line="282" w:lineRule="auto"/>
        <w:rPr>
          <w:sz w:val="20"/>
          <w:szCs w:val="20"/>
          <w:color w:val="auto"/>
        </w:rPr>
      </w:pPr>
      <w:r>
        <w:rPr>
          <w:rFonts w:ascii="Times New Roman" w:cs="Times New Roman" w:eastAsia="Times New Roman" w:hAnsi="Times New Roman"/>
          <w:sz w:val="18"/>
          <w:szCs w:val="18"/>
          <w:color w:val="auto"/>
        </w:rPr>
        <w:t>Any certification or determination by the Lender of a rate or amount under any Finance Document is, in the absence of manifest error, conclusive evidence of the matters to which it relates.</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24.3</w:t>
      </w:r>
      <w:r>
        <w:rPr>
          <w:sz w:val="20"/>
          <w:szCs w:val="20"/>
          <w:color w:val="auto"/>
        </w:rPr>
        <w:tab/>
      </w:r>
      <w:r>
        <w:rPr>
          <w:rFonts w:ascii="Times New Roman" w:cs="Times New Roman" w:eastAsia="Times New Roman" w:hAnsi="Times New Roman"/>
          <w:sz w:val="18"/>
          <w:szCs w:val="18"/>
          <w:b w:val="1"/>
          <w:bCs w:val="1"/>
          <w:color w:val="auto"/>
        </w:rPr>
        <w:t>Day count convention</w:t>
      </w:r>
    </w:p>
    <w:p>
      <w:pPr>
        <w:spacing w:after="0" w:line="229"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Any interest, commission or fee accruing under a Finance Document will accrue from day to day and is calculated on the basis of the actual number of days elapsed and a year of 360 days.</w:t>
      </w:r>
    </w:p>
    <w:p>
      <w:pPr>
        <w:spacing w:after="0" w:line="158" w:lineRule="exact"/>
        <w:rPr>
          <w:sz w:val="20"/>
          <w:szCs w:val="20"/>
          <w:color w:val="auto"/>
        </w:rPr>
      </w:pPr>
    </w:p>
    <w:p>
      <w:pPr>
        <w:ind w:left="660" w:hanging="652"/>
        <w:spacing w:after="0"/>
        <w:tabs>
          <w:tab w:leader="none" w:pos="660"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PARTIAL INVALIDITY</w:t>
      </w:r>
    </w:p>
    <w:p>
      <w:pPr>
        <w:spacing w:after="0" w:line="229" w:lineRule="exact"/>
        <w:rPr>
          <w:rFonts w:ascii="Times New Roman" w:cs="Times New Roman" w:eastAsia="Times New Roman" w:hAnsi="Times New Roman"/>
          <w:sz w:val="18"/>
          <w:szCs w:val="18"/>
          <w:b w:val="1"/>
          <w:bCs w:val="1"/>
          <w:color w:val="auto"/>
        </w:rPr>
      </w:pPr>
    </w:p>
    <w:p>
      <w:pPr>
        <w:ind w:left="660" w:righ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at any time, any provision of the Finance Documents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172"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REMEDIES AND WAIVERS</w:t>
      </w:r>
    </w:p>
    <w:p>
      <w:pPr>
        <w:spacing w:after="0" w:line="229" w:lineRule="exact"/>
        <w:rPr>
          <w:rFonts w:ascii="Times New Roman" w:cs="Times New Roman" w:eastAsia="Times New Roman" w:hAnsi="Times New Roman"/>
          <w:sz w:val="18"/>
          <w:szCs w:val="18"/>
          <w:b w:val="1"/>
          <w:bCs w:val="1"/>
          <w:color w:val="auto"/>
        </w:rPr>
      </w:pPr>
    </w:p>
    <w:p>
      <w:pPr>
        <w:ind w:left="660" w:right="2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failure to exercise, nor any delay in exercising, on the part of the Lender, any right or remedy under the Finance Documents shall operate as a waiver of any such right or remedy or constitute an election to affirm any of the Finance Documents. No election to affirm any of the Finance Documents on the part of the Lender shall be effective unless it is in writing. No single or partial exercise of any right or remedy shall prevent any further or other exercise or the exercise of any other right or remedy. The rights and remedies provided in this Agreement are cumulative and not exclusive of any rights or remedies provided by law.</w:t>
      </w:r>
    </w:p>
    <w:p>
      <w:pPr>
        <w:spacing w:after="0" w:line="17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AND WAIVERS</w:t>
      </w:r>
    </w:p>
    <w:p>
      <w:pPr>
        <w:spacing w:after="0" w:line="229" w:lineRule="exact"/>
        <w:rPr>
          <w:rFonts w:ascii="Times New Roman" w:cs="Times New Roman" w:eastAsia="Times New Roman" w:hAnsi="Times New Roman"/>
          <w:sz w:val="18"/>
          <w:szCs w:val="18"/>
          <w:b w:val="1"/>
          <w:bCs w:val="1"/>
          <w:color w:val="auto"/>
        </w:rPr>
      </w:pPr>
    </w:p>
    <w:p>
      <w:pPr>
        <w:ind w:left="660" w:right="2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term of the Finance Documents may be amended or waived only with the consent of the Lender and the Obligors and any such amendment or waiver will be binding on all Parties.</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p>
    <w:p>
      <w:pPr>
        <w:spacing w:after="0" w:line="229" w:lineRule="exact"/>
        <w:rPr>
          <w:rFonts w:ascii="Times New Roman" w:cs="Times New Roman" w:eastAsia="Times New Roman" w:hAnsi="Times New Roman"/>
          <w:sz w:val="18"/>
          <w:szCs w:val="18"/>
          <w:b w:val="1"/>
          <w:bCs w:val="1"/>
          <w:color w:val="auto"/>
        </w:rPr>
      </w:pPr>
    </w:p>
    <w:p>
      <w:pPr>
        <w:ind w:left="660"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Finance Document may be executed in any number of counterparts, and this has the same effect as if the signatures on the counterparts were on a single copy of the Finance Document.</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2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CONSENTS</w:t>
      </w:r>
    </w:p>
    <w:p>
      <w:pPr>
        <w:spacing w:after="0" w:line="229" w:lineRule="exact"/>
        <w:rPr>
          <w:rFonts w:ascii="Times New Roman" w:cs="Times New Roman" w:eastAsia="Times New Roman" w:hAnsi="Times New Roman"/>
          <w:sz w:val="18"/>
          <w:szCs w:val="18"/>
          <w:b w:val="1"/>
          <w:bCs w:val="1"/>
          <w:color w:val="auto"/>
        </w:rPr>
      </w:pPr>
    </w:p>
    <w:p>
      <w:pPr>
        <w:ind w:left="660" w:right="14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For the avoidance of doubt, by entering into this Agreement, the Lender shall be deemed to have granted such consent(s) as may be required from the Lender in connection with the transactions contemplated by this Agreement under any previous agreements between the Lender and the Oligors.</w:t>
      </w:r>
    </w:p>
    <w:p>
      <w:pPr>
        <w:spacing w:after="0" w:line="134"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229" w:lineRule="exact"/>
        <w:rPr>
          <w:rFonts w:ascii="Times New Roman" w:cs="Times New Roman" w:eastAsia="Times New Roman" w:hAnsi="Times New Roman"/>
          <w:sz w:val="18"/>
          <w:szCs w:val="18"/>
          <w:b w:val="1"/>
          <w:bCs w:val="1"/>
          <w:color w:val="auto"/>
        </w:rPr>
      </w:pPr>
    </w:p>
    <w:p>
      <w:pPr>
        <w:ind w:left="660" w:right="1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and all non-contractual obligations arising from or in connection with this Agreement, are governed by, and construed exclusively in accordance with, the laws of Hong Kong.</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DISPUTE RESOLUTION</w:t>
      </w:r>
    </w:p>
    <w:p>
      <w:pPr>
        <w:spacing w:after="0" w:line="229" w:lineRule="exact"/>
        <w:rPr>
          <w:rFonts w:ascii="Times New Roman" w:cs="Times New Roman" w:eastAsia="Times New Roman" w:hAnsi="Times New Roman"/>
          <w:sz w:val="18"/>
          <w:szCs w:val="18"/>
          <w:b w:val="1"/>
          <w:bCs w:val="1"/>
          <w:color w:val="auto"/>
        </w:rPr>
      </w:pPr>
    </w:p>
    <w:p>
      <w:pPr>
        <w:ind w:left="66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disputes and controversies arising out of or in connection with this Agreement (including a dispute regarding the existence, validity or termination of this Agreement) shall be referred to and finally settled by arbitration at the Hong Kong International Arbitration Centre in accordance with the UNCITRAL Arbitration Rules (the “</w:t>
      </w:r>
      <w:r>
        <w:rPr>
          <w:rFonts w:ascii="Times New Roman" w:cs="Times New Roman" w:eastAsia="Times New Roman" w:hAnsi="Times New Roman"/>
          <w:sz w:val="18"/>
          <w:szCs w:val="18"/>
          <w:b w:val="1"/>
          <w:bCs w:val="1"/>
          <w:color w:val="auto"/>
        </w:rPr>
        <w:t>UNCITRAL Rules</w:t>
      </w:r>
      <w:r>
        <w:rPr>
          <w:rFonts w:ascii="Times New Roman" w:cs="Times New Roman" w:eastAsia="Times New Roman" w:hAnsi="Times New Roman"/>
          <w:sz w:val="18"/>
          <w:szCs w:val="18"/>
          <w:color w:val="auto"/>
        </w:rPr>
        <w:t>”) in effect, which rules are deemed to be incorporated by reference into this Clause 30. The arbitration tribunal shall consist of three arbitrators to be appointed according to the UNCITRAL Rules. The language of the arbitration shall be English.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Agreement has been entered into on the date stated at the beginning of this Agreement.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23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30</w:t>
            </w:r>
          </w:p>
        </w:tc>
        <w:tc>
          <w:tcPr>
            <w:tcW w:w="54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32"/>
        </w:trPr>
        <w:tc>
          <w:tcPr>
            <w:tcW w:w="3680" w:type="dxa"/>
            <w:vAlign w:val="bottom"/>
            <w:tcBorders>
              <w:bottom w:val="single" w:sz="8" w:color="808080"/>
            </w:tcBorders>
          </w:tcPr>
          <w:p>
            <w:pPr>
              <w:spacing w:after="0"/>
              <w:rPr>
                <w:sz w:val="11"/>
                <w:szCs w:val="11"/>
                <w:color w:val="auto"/>
              </w:rPr>
            </w:pPr>
          </w:p>
        </w:tc>
        <w:tc>
          <w:tcPr>
            <w:tcW w:w="2320" w:type="dxa"/>
            <w:vAlign w:val="bottom"/>
            <w:tcBorders>
              <w:bottom w:val="single" w:sz="8" w:color="808080"/>
            </w:tcBorders>
          </w:tcPr>
          <w:p>
            <w:pPr>
              <w:spacing w:after="0"/>
              <w:rPr>
                <w:sz w:val="11"/>
                <w:szCs w:val="11"/>
                <w:color w:val="auto"/>
              </w:rPr>
            </w:pPr>
          </w:p>
        </w:tc>
        <w:tc>
          <w:tcPr>
            <w:tcW w:w="54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3680" w:type="dxa"/>
            <w:vAlign w:val="bottom"/>
          </w:tcPr>
          <w:p>
            <w:pPr>
              <w:spacing w:after="0"/>
              <w:rPr>
                <w:sz w:val="24"/>
                <w:szCs w:val="24"/>
                <w:color w:val="auto"/>
              </w:rPr>
            </w:pPr>
          </w:p>
        </w:tc>
        <w:tc>
          <w:tcPr>
            <w:tcW w:w="7780" w:type="dxa"/>
            <w:vAlign w:val="bottom"/>
            <w:gridSpan w:val="3"/>
          </w:tcPr>
          <w:p>
            <w:pPr>
              <w:ind w:left="1240"/>
              <w:spacing w:after="0"/>
              <w:rPr>
                <w:sz w:val="20"/>
                <w:szCs w:val="20"/>
                <w:color w:val="auto"/>
              </w:rPr>
            </w:pPr>
            <w:r>
              <w:rPr>
                <w:rFonts w:ascii="Times New Roman" w:cs="Times New Roman" w:eastAsia="Times New Roman" w:hAnsi="Times New Roman"/>
                <w:sz w:val="18"/>
                <w:szCs w:val="18"/>
                <w:b w:val="1"/>
                <w:bCs w:val="1"/>
                <w:color w:val="auto"/>
              </w:rPr>
              <w:t>SIGNATURE PAGE</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execution by the Borrower</w:t>
            </w:r>
          </w:p>
        </w:tc>
        <w:tc>
          <w:tcPr>
            <w:tcW w:w="23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30"/>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and DELIVERED </w:t>
            </w:r>
            <w:r>
              <w:rPr>
                <w:rFonts w:ascii="Times New Roman" w:cs="Times New Roman" w:eastAsia="Times New Roman" w:hAnsi="Times New Roman"/>
                <w:sz w:val="18"/>
                <w:szCs w:val="18"/>
                <w:color w:val="auto"/>
              </w:rPr>
              <w:t>by</w:t>
            </w:r>
          </w:p>
        </w:tc>
        <w:tc>
          <w:tcPr>
            <w:tcW w:w="23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w:t>
            </w:r>
          </w:p>
        </w:tc>
        <w:tc>
          <w:tcPr>
            <w:tcW w:w="5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3680" w:type="dxa"/>
            <w:vAlign w:val="bottom"/>
          </w:tcPr>
          <w:p>
            <w:pPr>
              <w:spacing w:after="0"/>
              <w:rPr>
                <w:sz w:val="18"/>
                <w:szCs w:val="18"/>
                <w:color w:val="auto"/>
              </w:rPr>
            </w:pPr>
          </w:p>
        </w:tc>
        <w:tc>
          <w:tcPr>
            <w:tcW w:w="23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w:t>
            </w:r>
          </w:p>
        </w:tc>
        <w:tc>
          <w:tcPr>
            <w:tcW w:w="5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23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w:t>
            </w:r>
          </w:p>
        </w:tc>
        <w:tc>
          <w:tcPr>
            <w:tcW w:w="5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PARTICLE INC.</w:t>
            </w:r>
          </w:p>
        </w:tc>
        <w:tc>
          <w:tcPr>
            <w:tcW w:w="778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 /s/ Ya Li</w:t>
            </w:r>
          </w:p>
        </w:tc>
      </w:tr>
      <w:tr>
        <w:trPr>
          <w:trHeight w:val="232"/>
        </w:trPr>
        <w:tc>
          <w:tcPr>
            <w:tcW w:w="36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DIRECTOR / AUTHORISED SIGNATORY</w:t>
            </w:r>
          </w:p>
        </w:tc>
        <w:tc>
          <w:tcPr>
            <w:tcW w:w="40" w:type="dxa"/>
            <w:vAlign w:val="bottom"/>
          </w:tcPr>
          <w:p>
            <w:pPr>
              <w:spacing w:after="0"/>
              <w:rPr>
                <w:sz w:val="20"/>
                <w:szCs w:val="20"/>
                <w:color w:val="auto"/>
              </w:rPr>
            </w:pPr>
          </w:p>
        </w:tc>
      </w:tr>
      <w:tr>
        <w:trPr>
          <w:trHeight w:val="61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For execution by the Covenantors</w:t>
            </w:r>
          </w:p>
        </w:tc>
        <w:tc>
          <w:tcPr>
            <w:tcW w:w="23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-2171065</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-2171065</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66" w:orient="portrait"/>
          <w:cols w:equalWidth="0" w:num="1">
            <w:col w:w="11460"/>
          </w:cols>
          <w:pgMar w:left="240" w:top="121" w:right="199"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tabs>
          <w:tab w:leader="none" w:pos="5820" w:val="left"/>
        </w:tabs>
        <w:rPr>
          <w:sz w:val="20"/>
          <w:szCs w:val="20"/>
          <w:color w:val="auto"/>
        </w:rPr>
      </w:pPr>
      <w:r>
        <w:rPr>
          <w:rFonts w:ascii="Times New Roman" w:cs="Times New Roman" w:eastAsia="Times New Roman" w:hAnsi="Times New Roman"/>
          <w:sz w:val="18"/>
          <w:szCs w:val="18"/>
          <w:b w:val="1"/>
          <w:bCs w:val="1"/>
          <w:color w:val="auto"/>
        </w:rPr>
        <w:t xml:space="preserve">SIGNED and DELIVERED </w:t>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ectPr>
          <w:pgSz w:w="11900" w:h="16866" w:orient="portrait"/>
          <w:cols w:equalWidth="0" w:num="1">
            <w:col w:w="11460"/>
          </w:cols>
          <w:pgMar w:left="240" w:top="121" w:right="199" w:bottom="0" w:gutter="0" w:footer="0" w:header="0"/>
          <w:type w:val="continuous"/>
        </w:sectPr>
      </w:pPr>
    </w:p>
    <w:bookmarkStart w:id="159" w:name="page160"/>
    <w:bookmarkEnd w:id="159"/>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PARTICLE (HK) LIMITED</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Zhaohui Zheng</w:t>
            </w:r>
          </w:p>
        </w:tc>
        <w:tc>
          <w:tcPr>
            <w:tcW w:w="40" w:type="dxa"/>
            <w:vAlign w:val="bottom"/>
          </w:tcPr>
          <w:p>
            <w:pPr>
              <w:spacing w:after="0"/>
              <w:rPr>
                <w:sz w:val="20"/>
                <w:szCs w:val="20"/>
                <w:color w:val="auto"/>
              </w:rPr>
            </w:pPr>
          </w:p>
        </w:tc>
      </w:tr>
      <w:tr>
        <w:trPr>
          <w:trHeight w:val="232"/>
        </w:trPr>
        <w:tc>
          <w:tcPr>
            <w:tcW w:w="7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 / AUTHORISED SIGNATORY</w:t>
            </w:r>
          </w:p>
        </w:tc>
        <w:tc>
          <w:tcPr>
            <w:tcW w:w="40" w:type="dxa"/>
            <w:vAlign w:val="bottom"/>
          </w:tcPr>
          <w:p>
            <w:pPr>
              <w:spacing w:after="0"/>
              <w:rPr>
                <w:sz w:val="20"/>
                <w:szCs w:val="20"/>
                <w:color w:val="auto"/>
              </w:rPr>
            </w:pPr>
          </w:p>
        </w:tc>
      </w:tr>
      <w:tr>
        <w:trPr>
          <w:trHeight w:val="612"/>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and DELIVERED </w:t>
            </w:r>
            <w:r>
              <w:rPr>
                <w:rFonts w:ascii="Times New Roman" w:cs="Times New Roman" w:eastAsia="Times New Roman" w:hAnsi="Times New Roman"/>
                <w:sz w:val="18"/>
                <w:szCs w:val="18"/>
                <w:color w:val="auto"/>
              </w:rPr>
              <w:t>by</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4"/>
        </w:trPr>
        <w:tc>
          <w:tcPr>
            <w:tcW w:w="7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2"/>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BEIJING PARTICLE INFORMATION</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TECHNOLOGY CO., LTD.</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740" w:type="dxa"/>
            <w:vAlign w:val="bottom"/>
          </w:tcPr>
          <w:p>
            <w:pPr>
              <w:jc w:val="right"/>
              <w:ind w:right="273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Ya Li</w:t>
            </w:r>
          </w:p>
        </w:tc>
        <w:tc>
          <w:tcPr>
            <w:tcW w:w="40" w:type="dxa"/>
            <w:vAlign w:val="bottom"/>
          </w:tcPr>
          <w:p>
            <w:pPr>
              <w:spacing w:after="0"/>
              <w:rPr>
                <w:sz w:val="20"/>
                <w:szCs w:val="20"/>
                <w:color w:val="auto"/>
              </w:rPr>
            </w:pPr>
          </w:p>
        </w:tc>
      </w:tr>
      <w:tr>
        <w:trPr>
          <w:trHeight w:val="232"/>
        </w:trPr>
        <w:tc>
          <w:tcPr>
            <w:tcW w:w="7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 / AUTHORISED SIGNATORY</w:t>
            </w:r>
          </w:p>
        </w:tc>
        <w:tc>
          <w:tcPr>
            <w:tcW w:w="40" w:type="dxa"/>
            <w:vAlign w:val="bottom"/>
          </w:tcPr>
          <w:p>
            <w:pPr>
              <w:spacing w:after="0"/>
              <w:rPr>
                <w:sz w:val="20"/>
                <w:szCs w:val="20"/>
                <w:color w:val="auto"/>
              </w:rPr>
            </w:pPr>
          </w:p>
        </w:tc>
      </w:tr>
      <w:tr>
        <w:trPr>
          <w:trHeight w:val="612"/>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and DELIVERED </w:t>
            </w:r>
            <w:r>
              <w:rPr>
                <w:rFonts w:ascii="Times New Roman" w:cs="Times New Roman" w:eastAsia="Times New Roman" w:hAnsi="Times New Roman"/>
                <w:sz w:val="18"/>
                <w:szCs w:val="18"/>
                <w:color w:val="auto"/>
              </w:rPr>
              <w:t>by</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4"/>
        </w:trPr>
        <w:tc>
          <w:tcPr>
            <w:tcW w:w="7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2"/>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BEIJING YIDIANWANGJU</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TECHNOLOGY CO., LTD.</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740" w:type="dxa"/>
            <w:vAlign w:val="bottom"/>
          </w:tcPr>
          <w:p>
            <w:pPr>
              <w:jc w:val="right"/>
              <w:ind w:right="295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Ya Li</w:t>
            </w:r>
          </w:p>
        </w:tc>
        <w:tc>
          <w:tcPr>
            <w:tcW w:w="40" w:type="dxa"/>
            <w:vAlign w:val="bottom"/>
          </w:tcPr>
          <w:p>
            <w:pPr>
              <w:spacing w:after="0"/>
              <w:rPr>
                <w:sz w:val="20"/>
                <w:szCs w:val="20"/>
                <w:color w:val="auto"/>
              </w:rPr>
            </w:pPr>
          </w:p>
        </w:tc>
      </w:tr>
      <w:tr>
        <w:trPr>
          <w:trHeight w:val="232"/>
        </w:trPr>
        <w:tc>
          <w:tcPr>
            <w:tcW w:w="7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 / AUTHORISED SIGNATORY</w:t>
            </w:r>
          </w:p>
        </w:tc>
        <w:tc>
          <w:tcPr>
            <w:tcW w:w="40" w:type="dxa"/>
            <w:vAlign w:val="bottom"/>
          </w:tcPr>
          <w:p>
            <w:pPr>
              <w:spacing w:after="0"/>
              <w:rPr>
                <w:sz w:val="20"/>
                <w:szCs w:val="20"/>
                <w:color w:val="auto"/>
              </w:rPr>
            </w:pPr>
          </w:p>
        </w:tc>
      </w:tr>
      <w:tr>
        <w:trPr>
          <w:trHeight w:val="299"/>
        </w:trPr>
        <w:tc>
          <w:tcPr>
            <w:tcW w:w="720" w:type="dxa"/>
            <w:vAlign w:val="bottom"/>
            <w:tcBorders>
              <w:bottom w:val="single" w:sz="8" w:color="808080"/>
            </w:tcBorders>
          </w:tcPr>
          <w:p>
            <w:pPr>
              <w:spacing w:after="0"/>
              <w:rPr>
                <w:sz w:val="24"/>
                <w:szCs w:val="24"/>
                <w:color w:val="auto"/>
              </w:rPr>
            </w:pPr>
          </w:p>
        </w:tc>
        <w:tc>
          <w:tcPr>
            <w:tcW w:w="37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54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754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SIGNATURE PAGE</w:t>
            </w:r>
          </w:p>
        </w:tc>
        <w:tc>
          <w:tcPr>
            <w:tcW w:w="40" w:type="dxa"/>
            <w:vAlign w:val="bottom"/>
          </w:tcPr>
          <w:p>
            <w:pPr>
              <w:spacing w:after="0"/>
              <w:rPr>
                <w:sz w:val="20"/>
                <w:szCs w:val="20"/>
                <w:color w:val="auto"/>
              </w:rPr>
            </w:pPr>
          </w:p>
        </w:tc>
      </w:tr>
      <w:tr>
        <w:trPr>
          <w:trHeight w:val="432"/>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For execution by the Lender</w:t>
            </w:r>
          </w:p>
        </w:tc>
        <w:tc>
          <w:tcPr>
            <w:tcW w:w="21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30"/>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and DELIVERED </w:t>
            </w:r>
            <w:r>
              <w:rPr>
                <w:rFonts w:ascii="Times New Roman" w:cs="Times New Roman" w:eastAsia="Times New Roman" w:hAnsi="Times New Roman"/>
                <w:sz w:val="18"/>
                <w:szCs w:val="18"/>
                <w:color w:val="auto"/>
              </w:rPr>
              <w:t>by</w:t>
            </w:r>
          </w:p>
        </w:tc>
        <w:tc>
          <w:tcPr>
            <w:tcW w:w="21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5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3880" w:type="dxa"/>
            <w:vAlign w:val="bottom"/>
          </w:tcPr>
          <w:p>
            <w:pPr>
              <w:spacing w:after="0"/>
              <w:rPr>
                <w:sz w:val="18"/>
                <w:szCs w:val="18"/>
                <w:color w:val="auto"/>
              </w:rPr>
            </w:pPr>
          </w:p>
        </w:tc>
        <w:tc>
          <w:tcPr>
            <w:tcW w:w="21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5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21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5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tc>
        <w:tc>
          <w:tcPr>
            <w:tcW w:w="754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 /s/ Shuang Liu</w:t>
            </w:r>
          </w:p>
        </w:tc>
        <w:tc>
          <w:tcPr>
            <w:tcW w:w="40" w:type="dxa"/>
            <w:vAlign w:val="bottom"/>
          </w:tcPr>
          <w:p>
            <w:pPr>
              <w:spacing w:after="0"/>
              <w:rPr>
                <w:sz w:val="20"/>
                <w:szCs w:val="20"/>
                <w:color w:val="auto"/>
              </w:rPr>
            </w:pPr>
          </w:p>
        </w:tc>
      </w:tr>
      <w:tr>
        <w:trPr>
          <w:trHeight w:val="20"/>
        </w:trPr>
        <w:tc>
          <w:tcPr>
            <w:tcW w:w="38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3880" w:type="dxa"/>
            <w:vAlign w:val="bottom"/>
          </w:tcPr>
          <w:p>
            <w:pPr>
              <w:spacing w:after="0"/>
              <w:rPr>
                <w:sz w:val="24"/>
                <w:szCs w:val="24"/>
                <w:color w:val="auto"/>
              </w:rPr>
            </w:pPr>
          </w:p>
        </w:tc>
        <w:tc>
          <w:tcPr>
            <w:tcW w:w="754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DIRECTOR / AUTHORISED SIGNATORY</w:t>
            </w:r>
          </w:p>
        </w:tc>
        <w:tc>
          <w:tcPr>
            <w:tcW w:w="40" w:type="dxa"/>
            <w:vAlign w:val="bottom"/>
          </w:tcPr>
          <w:p>
            <w:pPr>
              <w:spacing w:after="0"/>
              <w:rPr>
                <w:sz w:val="24"/>
                <w:szCs w:val="24"/>
                <w:color w:val="auto"/>
              </w:rPr>
            </w:pPr>
          </w:p>
        </w:tc>
      </w:tr>
      <w:tr>
        <w:trPr>
          <w:trHeight w:val="348"/>
        </w:trPr>
        <w:tc>
          <w:tcPr>
            <w:tcW w:w="388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54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03" w:lineRule="exact"/>
        <w:rPr>
          <w:sz w:val="20"/>
          <w:szCs w:val="20"/>
          <w:color w:val="auto"/>
        </w:rPr>
      </w:pPr>
    </w:p>
    <w:p>
      <w:pPr>
        <w:ind w:left="720" w:hanging="712"/>
        <w:spacing w:after="0"/>
        <w:tabs>
          <w:tab w:leader="none" w:pos="72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Authorisation Documents of the Borrower</w:t>
      </w:r>
    </w:p>
    <w:p>
      <w:pPr>
        <w:spacing w:after="0" w:line="229" w:lineRule="exact"/>
        <w:rPr>
          <w:sz w:val="20"/>
          <w:szCs w:val="20"/>
          <w:color w:val="auto"/>
        </w:rPr>
      </w:pPr>
    </w:p>
    <w:p>
      <w:pPr>
        <w:ind w:left="660" w:right="2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Certified copies of the constitutional documents (including the certificate of incorporation, the updated version of the memorandum and articles of association, a certificate of incumbency and a certificate of good standing issued by the Registrar of Companies) of the Borrower.</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Certified copies of resolutions of the board of directors of the Borrower:</w:t>
      </w:r>
    </w:p>
    <w:p>
      <w:pPr>
        <w:spacing w:after="0" w:line="225" w:lineRule="exact"/>
        <w:rPr>
          <w:sz w:val="20"/>
          <w:szCs w:val="20"/>
          <w:color w:val="auto"/>
        </w:rPr>
      </w:pPr>
    </w:p>
    <w:p>
      <w:pPr>
        <w:ind w:left="1280" w:right="160" w:hanging="624"/>
        <w:spacing w:after="0" w:line="282" w:lineRule="auto"/>
        <w:tabs>
          <w:tab w:leader="none" w:pos="1271"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terms of, and the transactions contemplated by, the Finance Documents to which it is a party and resolving that it execute the Finance Documents to which it is a party;</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a specified person or persons to execute the Finance Documents to which it is a party on its behalf; and</w:t>
      </w:r>
    </w:p>
    <w:p>
      <w:pPr>
        <w:spacing w:after="0" w:line="225" w:lineRule="exact"/>
        <w:rPr>
          <w:rFonts w:ascii="Times New Roman" w:cs="Times New Roman" w:eastAsia="Times New Roman" w:hAnsi="Times New Roman"/>
          <w:sz w:val="18"/>
          <w:szCs w:val="18"/>
          <w:color w:val="auto"/>
        </w:rPr>
      </w:pPr>
    </w:p>
    <w:p>
      <w:pPr>
        <w:ind w:left="1280" w:right="620" w:hanging="624"/>
        <w:spacing w:after="0" w:line="282" w:lineRule="auto"/>
        <w:tabs>
          <w:tab w:leader="none" w:pos="1284"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a specified person or persons, on its behalf, to sign and/or despatch all documents and notices (including, if relevant, any Utilisation Request) to be signed and/or despatched by it under or in connection with the Finance Documents to which it is a party.</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Director’s certificate from the Borrower:</w:t>
      </w:r>
    </w:p>
    <w:p>
      <w:pPr>
        <w:spacing w:after="0" w:line="225" w:lineRule="exact"/>
        <w:rPr>
          <w:sz w:val="20"/>
          <w:szCs w:val="20"/>
          <w:color w:val="auto"/>
        </w:rPr>
      </w:pPr>
    </w:p>
    <w:p>
      <w:pPr>
        <w:ind w:left="1280" w:right="460" w:hanging="624"/>
        <w:spacing w:after="0" w:line="282" w:lineRule="auto"/>
        <w:tabs>
          <w:tab w:leader="none" w:pos="1271"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confirming that borrowing or securing, as appropriate, the Loan under this Agreement would not cause any borrowing, guaranteeing or similar limit binding on it to be exceeded;</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containing specimen of the signature of each person authorised by the resolution referred to in sub-clause 1.2(b) above; and</w:t>
      </w:r>
    </w:p>
    <w:p>
      <w:pPr>
        <w:spacing w:after="0" w:line="225" w:lineRule="exact"/>
        <w:rPr>
          <w:rFonts w:ascii="Times New Roman" w:cs="Times New Roman" w:eastAsia="Times New Roman" w:hAnsi="Times New Roman"/>
          <w:sz w:val="18"/>
          <w:szCs w:val="18"/>
          <w:color w:val="auto"/>
        </w:rPr>
      </w:pPr>
    </w:p>
    <w:p>
      <w:pPr>
        <w:ind w:left="1280" w:right="200" w:hanging="624"/>
        <w:spacing w:after="0" w:line="282" w:lineRule="auto"/>
        <w:tabs>
          <w:tab w:leader="none" w:pos="1284"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certifying that each copy document relating to it specified in this Schedule 1 is correct, complete and in full force and effect as at a date no earlier than the Execution Date.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Certified copies of written consent of (i) holders of no less than 70% of the outstanding Preferred Shares of the Borrower (voting as a separate class),</w:t>
      </w:r>
    </w:p>
    <w:p>
      <w:pPr>
        <w:spacing w:after="0" w:line="27" w:lineRule="exact"/>
        <w:rPr>
          <w:sz w:val="20"/>
          <w:szCs w:val="20"/>
          <w:color w:val="auto"/>
        </w:rPr>
      </w:pPr>
    </w:p>
    <w:p>
      <w:pPr>
        <w:ind w:left="660" w:right="160" w:hanging="4"/>
        <w:spacing w:after="0" w:line="255" w:lineRule="auto"/>
        <w:tabs>
          <w:tab w:leader="none" w:pos="925"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no less than 70% of the outstanding Series B Shares of the Borrower (voting as a separate class), and (iii) holders of no less than 70% of the outstanding Class C Shares of the Borrower (voting as a separate class) approving the terms of, and the transactions contemplated by, the Finance Documents.</w:t>
      </w:r>
    </w:p>
    <w:p>
      <w:pPr>
        <w:sectPr>
          <w:pgSz w:w="11900" w:h="16838" w:orient="portrait"/>
          <w:cols w:equalWidth="0" w:num="1">
            <w:col w:w="11460"/>
          </w:cols>
          <w:pgMar w:left="240" w:top="121" w:right="199" w:bottom="0" w:gutter="0" w:footer="0" w:header="0"/>
        </w:sectPr>
      </w:pPr>
    </w:p>
    <w:bookmarkStart w:id="160" w:name="page161"/>
    <w:bookmarkEnd w:id="160"/>
    <w:p>
      <w:pPr>
        <w:spacing w:after="0" w:line="32" w:lineRule="exact"/>
        <w:rPr>
          <w:sz w:val="20"/>
          <w:szCs w:val="20"/>
          <w:color w:val="auto"/>
        </w:rPr>
      </w:pPr>
    </w:p>
    <w:p>
      <w:pPr>
        <w:ind w:left="720" w:hanging="712"/>
        <w:spacing w:after="0"/>
        <w:tabs>
          <w:tab w:leader="none" w:pos="72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Authorisation Documents of the Covenantors</w:t>
      </w:r>
    </w:p>
    <w:p>
      <w:pPr>
        <w:spacing w:after="0" w:line="229" w:lineRule="exact"/>
        <w:rPr>
          <w:sz w:val="20"/>
          <w:szCs w:val="20"/>
          <w:color w:val="auto"/>
        </w:rPr>
      </w:pPr>
    </w:p>
    <w:p>
      <w:pPr>
        <w:ind w:left="660" w:right="18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Certified copies of the constitutional documents (including the certificate of incorporation and the updated version of the articles of association) of each of the Covenantors.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Certified copies of resolutions of the board of directors of each of the Covenantors:</w:t>
      </w:r>
    </w:p>
    <w:p>
      <w:pPr>
        <w:spacing w:after="0" w:line="225" w:lineRule="exact"/>
        <w:rPr>
          <w:sz w:val="20"/>
          <w:szCs w:val="20"/>
          <w:color w:val="auto"/>
        </w:rPr>
      </w:pPr>
    </w:p>
    <w:p>
      <w:pPr>
        <w:ind w:left="1280" w:right="80" w:hanging="624"/>
        <w:spacing w:after="0" w:line="282" w:lineRule="auto"/>
        <w:tabs>
          <w:tab w:leader="none" w:pos="1271"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terms of, and the transactions contemplated by, the Finance Documents to which it is a party and resolving that it execute the Finance Documents to which it is a party;</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a specified person or persons to execute the Finance Documents to which it is a party on its behalf; and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7" w:lineRule="exact"/>
        <w:rPr>
          <w:rFonts w:ascii="Times New Roman" w:cs="Times New Roman" w:eastAsia="Times New Roman" w:hAnsi="Times New Roman"/>
          <w:sz w:val="18"/>
          <w:szCs w:val="18"/>
          <w:color w:val="auto"/>
        </w:rPr>
      </w:pPr>
    </w:p>
    <w:p>
      <w:pPr>
        <w:ind w:left="1280" w:right="20" w:hanging="624"/>
        <w:spacing w:after="0" w:line="282" w:lineRule="auto"/>
        <w:tabs>
          <w:tab w:leader="none" w:pos="1284"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a specified person or persons, on its behalf, to sign and/or despatch all documents and notices to be signed and/or despatched by it under or in connection with the Finance Documents to which it is a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-684530</wp:posOffset>
            </wp:positionV>
            <wp:extent cx="726757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4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Director’s certificate or legal representative’s certificate from each of the Covenantors:</w:t>
      </w:r>
    </w:p>
    <w:p>
      <w:pPr>
        <w:spacing w:after="0" w:line="225" w:lineRule="exact"/>
        <w:rPr>
          <w:sz w:val="20"/>
          <w:szCs w:val="20"/>
          <w:color w:val="auto"/>
        </w:rPr>
      </w:pPr>
    </w:p>
    <w:p>
      <w:pPr>
        <w:ind w:left="1280" w:hanging="624"/>
        <w:spacing w:after="0" w:line="282" w:lineRule="auto"/>
        <w:tabs>
          <w:tab w:leader="none" w:pos="1271"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confirming that assuming obligations under this Agreement would not cause any borrowing, guaranteeing or similar limit binding on it to be exceeded;</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containing specimen of the signature of each person authorised by the resolution referred to in sub-clause 2.2(b) above; and</w:t>
      </w:r>
    </w:p>
    <w:p>
      <w:pPr>
        <w:spacing w:after="0" w:line="225" w:lineRule="exact"/>
        <w:rPr>
          <w:rFonts w:ascii="Times New Roman" w:cs="Times New Roman" w:eastAsia="Times New Roman" w:hAnsi="Times New Roman"/>
          <w:sz w:val="18"/>
          <w:szCs w:val="18"/>
          <w:color w:val="auto"/>
        </w:rPr>
      </w:pPr>
    </w:p>
    <w:p>
      <w:pPr>
        <w:ind w:left="1280" w:right="120" w:hanging="624"/>
        <w:spacing w:after="0" w:line="282" w:lineRule="auto"/>
        <w:tabs>
          <w:tab w:leader="none" w:pos="1284"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certifying that each copy document relating to it specified in this Schedule 1 is correct, complete and in full force and effect as at a date no earlier than the Execution Date</w:t>
      </w:r>
    </w:p>
    <w:p>
      <w:pPr>
        <w:spacing w:after="0" w:line="15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documents and evidence</w:t>
      </w:r>
    </w:p>
    <w:p>
      <w:pPr>
        <w:spacing w:after="0" w:line="2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The Original Financial Statements of the Borrower</w:t>
      </w:r>
      <w:r>
        <w:rPr>
          <w:rFonts w:ascii="Times New Roman" w:cs="Times New Roman" w:eastAsia="Times New Roman" w:hAnsi="Times New Roman"/>
          <w:sz w:val="17"/>
          <w:szCs w:val="17"/>
          <w:i w:val="1"/>
          <w:iCs w:val="1"/>
          <w:color w:val="auto"/>
        </w:rPr>
        <w:t>.</w:t>
      </w:r>
    </w:p>
    <w:p>
      <w:pPr>
        <w:spacing w:after="0" w:line="227" w:lineRule="exact"/>
        <w:rPr>
          <w:sz w:val="20"/>
          <w:szCs w:val="20"/>
          <w:color w:val="auto"/>
        </w:rPr>
      </w:pPr>
    </w:p>
    <w:p>
      <w:pPr>
        <w:ind w:left="660" w:right="4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A copy of any other Authorisation or other document, opinion or assurance which the Lender considers to be necessary or desirable in connection with the entry into and performance of the transactions contemplated by any Finance Document or for the validity and enforceability of any Finance Document.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Satisfactory completion of any other document(s) which the Lender may reasonably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726757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OF UTILISATION REQUEST</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Utilisation Request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From:</w:t>
        <w:tab/>
        <w:t>Particle Inc.</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Phoenix New Media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Loan Agreement dated [ ] 2016 between, among others, Particle Inc. as borrower and Phoenix New Media Limited as lender (the “Loan Agreement”)</w:t>
      </w:r>
    </w:p>
    <w:p>
      <w:pPr>
        <w:spacing w:after="0" w:line="159" w:lineRule="exact"/>
        <w:rPr>
          <w:sz w:val="20"/>
          <w:szCs w:val="20"/>
          <w:color w:val="auto"/>
        </w:rPr>
      </w:pPr>
    </w:p>
    <w:p>
      <w:pPr>
        <w:ind w:left="640" w:right="660" w:hanging="632"/>
        <w:spacing w:after="0" w:line="282" w:lineRule="auto"/>
        <w:tabs>
          <w:tab w:leader="none" w:pos="636"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the Loan Agreement. This is an Utilisation Request. Terms defined in the Loan Agreement shall have the same meaning in this Utilisation Request.</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wish to borrow a Loan on the following terms:</w:t>
      </w:r>
    </w:p>
    <w:p>
      <w:pPr>
        <w:spacing w:after="0" w:line="225" w:lineRule="exact"/>
        <w:rPr>
          <w:sz w:val="20"/>
          <w:szCs w:val="20"/>
          <w:color w:val="auto"/>
        </w:rPr>
      </w:pPr>
    </w:p>
    <w:p>
      <w:pPr>
        <w:spacing w:after="0"/>
        <w:tabs>
          <w:tab w:leader="none" w:pos="5800" w:val="left"/>
        </w:tabs>
        <w:rPr>
          <w:sz w:val="20"/>
          <w:szCs w:val="20"/>
          <w:color w:val="auto"/>
        </w:rPr>
      </w:pPr>
      <w:r>
        <w:rPr>
          <w:rFonts w:ascii="Times New Roman" w:cs="Times New Roman" w:eastAsia="Times New Roman" w:hAnsi="Times New Roman"/>
          <w:sz w:val="18"/>
          <w:szCs w:val="18"/>
          <w:color w:val="auto"/>
        </w:rPr>
        <w:t>Proposed Utilisation Date:</w:t>
      </w:r>
      <w:r>
        <w:rPr>
          <w:sz w:val="20"/>
          <w:szCs w:val="20"/>
          <w:color w:val="auto"/>
        </w:rPr>
        <w:tab/>
      </w:r>
      <w:r>
        <w:rPr>
          <w:rFonts w:ascii="Times New Roman" w:cs="Times New Roman" w:eastAsia="Times New Roman" w:hAnsi="Times New Roman"/>
          <w:sz w:val="17"/>
          <w:szCs w:val="17"/>
          <w:color w:val="auto"/>
        </w:rPr>
        <w:t>[ ] (or, if that is not a Business Day, the next Business Day)</w:t>
      </w:r>
    </w:p>
    <w:p>
      <w:pPr>
        <w:spacing w:after="0" w:line="27" w:lineRule="exact"/>
        <w:rPr>
          <w:sz w:val="20"/>
          <w:szCs w:val="20"/>
          <w:color w:val="auto"/>
        </w:rPr>
      </w:pPr>
    </w:p>
    <w:p>
      <w:pPr>
        <w:spacing w:after="0"/>
        <w:tabs>
          <w:tab w:leader="none" w:pos="5800" w:val="left"/>
        </w:tabs>
        <w:rPr>
          <w:sz w:val="20"/>
          <w:szCs w:val="20"/>
          <w:color w:val="auto"/>
        </w:rPr>
      </w:pPr>
      <w:r>
        <w:rPr>
          <w:rFonts w:ascii="Times New Roman" w:cs="Times New Roman" w:eastAsia="Times New Roman" w:hAnsi="Times New Roman"/>
          <w:sz w:val="18"/>
          <w:szCs w:val="18"/>
          <w:color w:val="auto"/>
        </w:rPr>
        <w:t>Amount:</w:t>
      </w:r>
      <w:r>
        <w:rPr>
          <w:sz w:val="20"/>
          <w:szCs w:val="20"/>
          <w:color w:val="auto"/>
        </w:rPr>
        <w:tab/>
      </w:r>
      <w:r>
        <w:rPr>
          <w:rFonts w:ascii="Times New Roman" w:cs="Times New Roman" w:eastAsia="Times New Roman" w:hAnsi="Times New Roman"/>
          <w:sz w:val="18"/>
          <w:szCs w:val="18"/>
          <w:color w:val="auto"/>
        </w:rPr>
        <w:t>US$[ ]</w:t>
      </w:r>
    </w:p>
    <w:p>
      <w:pPr>
        <w:spacing w:after="0" w:line="205" w:lineRule="exact"/>
        <w:rPr>
          <w:sz w:val="20"/>
          <w:szCs w:val="20"/>
          <w:color w:val="auto"/>
        </w:rPr>
      </w:pPr>
    </w:p>
    <w:p>
      <w:pPr>
        <w:ind w:left="640" w:hanging="632"/>
        <w:spacing w:after="0"/>
        <w:tabs>
          <w:tab w:leader="none" w:pos="64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confirm that each condition specified in Clause 4.2 (</w:t>
      </w:r>
      <w:r>
        <w:rPr>
          <w:rFonts w:ascii="Times New Roman" w:cs="Times New Roman" w:eastAsia="Times New Roman" w:hAnsi="Times New Roman"/>
          <w:sz w:val="18"/>
          <w:szCs w:val="18"/>
          <w:i w:val="1"/>
          <w:iCs w:val="1"/>
          <w:color w:val="auto"/>
        </w:rPr>
        <w:t>Further conditions precedent</w:t>
      </w:r>
      <w:r>
        <w:rPr>
          <w:rFonts w:ascii="Times New Roman" w:cs="Times New Roman" w:eastAsia="Times New Roman" w:hAnsi="Times New Roman"/>
          <w:sz w:val="18"/>
          <w:szCs w:val="18"/>
          <w:color w:val="auto"/>
        </w:rPr>
        <w:t>) is satisfied on the date of this Utilisation Request.</w:t>
      </w:r>
    </w:p>
    <w:p>
      <w:pPr>
        <w:spacing w:after="0" w:line="22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this Loan should be credited to the following account: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Bank: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of Bank:</w:t>
      </w:r>
    </w:p>
    <w:p>
      <w:pPr>
        <w:sectPr>
          <w:pgSz w:w="11900" w:h="16870" w:orient="portrait"/>
          <w:cols w:equalWidth="0" w:num="1">
            <w:col w:w="11380"/>
          </w:cols>
          <w:pgMar w:left="240" w:top="117" w:right="279" w:bottom="0" w:gutter="0" w:footer="0" w:header="0"/>
        </w:sectPr>
      </w:pPr>
    </w:p>
    <w:bookmarkStart w:id="161" w:name="page162"/>
    <w:bookmarkEnd w:id="161"/>
    <w:p>
      <w:pPr>
        <w:spacing w:after="0" w:line="41" w:lineRule="exact"/>
        <w:rPr>
          <w:sz w:val="20"/>
          <w:szCs w:val="20"/>
          <w:color w:val="auto"/>
        </w:rPr>
      </w:pPr>
    </w:p>
    <w:p>
      <w:pPr>
        <w:ind w:right="7920" w:firstLine="8"/>
        <w:spacing w:after="0" w:line="532" w:lineRule="auto"/>
        <w:tabs>
          <w:tab w:leader="none" w:pos="63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Utilisation Request is irrevocable. Yours faithfully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authorised signatory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62775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Particle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346710</wp:posOffset>
            </wp:positionV>
            <wp:extent cx="726757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FORM OF TRANSFER CERTIFICATE</w:t>
      </w:r>
    </w:p>
    <w:p>
      <w:pPr>
        <w:sectPr>
          <w:pgSz w:w="11900" w:h="16880" w:orient="portrait"/>
          <w:cols w:equalWidth="0" w:num="1">
            <w:col w:w="11380"/>
          </w:cols>
          <w:pgMar w:left="240" w:top="337" w:right="279" w:bottom="0" w:gutter="0" w:footer="0" w:header="0"/>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Particle Inc.</w:t>
      </w:r>
    </w:p>
    <w:p>
      <w:pPr>
        <w:spacing w:after="0" w:line="200" w:lineRule="exact"/>
        <w:rPr>
          <w:sz w:val="20"/>
          <w:szCs w:val="20"/>
          <w:color w:val="auto"/>
        </w:rPr>
      </w:pPr>
    </w:p>
    <w:p>
      <w:pPr>
        <w:sectPr>
          <w:pgSz w:w="11900" w:h="16880" w:orient="portrait"/>
          <w:cols w:equalWidth="0" w:num="2">
            <w:col w:w="560" w:space="720"/>
            <w:col w:w="10100"/>
          </w:cols>
          <w:pgMar w:left="240" w:top="337" w:right="279" w:bottom="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Existing Lender] (the “</w:t>
      </w:r>
      <w:r>
        <w:rPr>
          <w:rFonts w:ascii="Times New Roman" w:cs="Times New Roman" w:eastAsia="Times New Roman" w:hAnsi="Times New Roman"/>
          <w:sz w:val="17"/>
          <w:szCs w:val="17"/>
          <w:b w:val="1"/>
          <w:bCs w:val="1"/>
          <w:color w:val="auto"/>
        </w:rPr>
        <w:t>Existing Lender</w:t>
      </w:r>
      <w:r>
        <w:rPr>
          <w:rFonts w:ascii="Times New Roman" w:cs="Times New Roman" w:eastAsia="Times New Roman" w:hAnsi="Times New Roman"/>
          <w:sz w:val="17"/>
          <w:szCs w:val="17"/>
          <w:color w:val="auto"/>
        </w:rPr>
        <w:t>”) and [The New Lender] (the “</w:t>
      </w:r>
      <w:r>
        <w:rPr>
          <w:rFonts w:ascii="Times New Roman" w:cs="Times New Roman" w:eastAsia="Times New Roman" w:hAnsi="Times New Roman"/>
          <w:sz w:val="17"/>
          <w:szCs w:val="17"/>
          <w:b w:val="1"/>
          <w:bCs w:val="1"/>
          <w:color w:val="auto"/>
        </w:rPr>
        <w:t>New Lender</w:t>
      </w:r>
      <w:r>
        <w:rPr>
          <w:rFonts w:ascii="Times New Roman" w:cs="Times New Roman" w:eastAsia="Times New Roman" w:hAnsi="Times New Roman"/>
          <w:sz w:val="17"/>
          <w:szCs w:val="17"/>
          <w:color w:val="auto"/>
        </w:rPr>
        <w:t>”)</w:t>
      </w:r>
    </w:p>
    <w:p>
      <w:pPr>
        <w:spacing w:after="0" w:line="204" w:lineRule="exact"/>
        <w:rPr>
          <w:sz w:val="20"/>
          <w:szCs w:val="20"/>
          <w:color w:val="auto"/>
        </w:rPr>
      </w:pPr>
    </w:p>
    <w:p>
      <w:pPr>
        <w:sectPr>
          <w:pgSz w:w="11900" w:h="16880" w:orient="portrait"/>
          <w:cols w:equalWidth="0" w:num="2">
            <w:col w:w="580" w:space="720"/>
            <w:col w:w="10080"/>
          </w:cols>
          <w:pgMar w:left="240" w:top="337" w:right="27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ectPr>
          <w:pgSz w:w="11900" w:h="16880" w:orient="portrait"/>
          <w:cols w:equalWidth="0" w:num="1">
            <w:col w:w="11380"/>
          </w:cols>
          <w:pgMar w:left="240" w:top="337" w:right="279" w:bottom="0" w:gutter="0" w:footer="0" w:header="0"/>
          <w:type w:val="continuous"/>
        </w:sectPr>
      </w:pPr>
    </w:p>
    <w:p>
      <w:pPr>
        <w:spacing w:after="0" w:line="221"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Loan Agreement dated [ ] 2016 between, among others, Particle Inc. as borrower and Phoenix New Media Limited as lender (the “Loan Agreement”)</w:t>
      </w:r>
    </w:p>
    <w:p>
      <w:pPr>
        <w:spacing w:after="0" w:line="159" w:lineRule="exact"/>
        <w:rPr>
          <w:sz w:val="20"/>
          <w:szCs w:val="20"/>
          <w:color w:val="auto"/>
        </w:rPr>
      </w:pPr>
    </w:p>
    <w:p>
      <w:pPr>
        <w:ind w:left="640" w:right="300" w:hanging="632"/>
        <w:spacing w:after="0" w:line="282" w:lineRule="auto"/>
        <w:tabs>
          <w:tab w:leader="none" w:pos="636"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the Loan Agreement. This is a Transfer Certificate. Terms used in the Loan Agreement shall have the same meaning in this Transfer Certificate.</w:t>
      </w:r>
    </w:p>
    <w:p>
      <w:pPr>
        <w:spacing w:after="0" w:line="15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Clause 18.3 (</w:t>
      </w:r>
      <w:r>
        <w:rPr>
          <w:rFonts w:ascii="Times New Roman" w:cs="Times New Roman" w:eastAsia="Times New Roman" w:hAnsi="Times New Roman"/>
          <w:sz w:val="18"/>
          <w:szCs w:val="18"/>
          <w:i w:val="1"/>
          <w:iCs w:val="1"/>
          <w:color w:val="auto"/>
        </w:rPr>
        <w:t>Procedure for transfer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80" w:hanging="634"/>
        <w:spacing w:after="0" w:line="282" w:lineRule="auto"/>
        <w:tabs>
          <w:tab w:leader="none" w:pos="1273"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Lender and the New Lender agree to the Existing Lender transferring to the New Lender by novation all or part of the Existing Lender’s rights and obligations referred to in the Schedule in accordance with Clause 18.3 (</w:t>
      </w:r>
      <w:r>
        <w:rPr>
          <w:rFonts w:ascii="Times New Roman" w:cs="Times New Roman" w:eastAsia="Times New Roman" w:hAnsi="Times New Roman"/>
          <w:sz w:val="18"/>
          <w:szCs w:val="18"/>
          <w:i w:val="1"/>
          <w:iCs w:val="1"/>
          <w:color w:val="auto"/>
        </w:rPr>
        <w:t>Procedure for transfer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40"/>
        <w:spacing w:after="0"/>
        <w:tabs>
          <w:tab w:leader="none" w:pos="1260" w:val="left"/>
          <w:tab w:leader="none" w:pos="396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8"/>
          <w:szCs w:val="18"/>
          <w:color w:val="auto"/>
        </w:rPr>
        <w:t>The proposed Transfer Date is [</w:t>
      </w:r>
      <w:r>
        <w:rPr>
          <w:sz w:val="20"/>
          <w:szCs w:val="20"/>
          <w:color w:val="auto"/>
        </w:rPr>
        <w:tab/>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1280" w:right="100" w:hanging="634"/>
        <w:spacing w:after="0" w:line="284" w:lineRule="auto"/>
        <w:tabs>
          <w:tab w:leader="none" w:pos="1287"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facility office and address, fax number and attention details for notices of the New Lender for the purposes of Clause 23.2 (</w:t>
      </w:r>
      <w:r>
        <w:rPr>
          <w:rFonts w:ascii="Times New Roman" w:cs="Times New Roman" w:eastAsia="Times New Roman" w:hAnsi="Times New Roman"/>
          <w:sz w:val="18"/>
          <w:szCs w:val="18"/>
          <w:i w:val="1"/>
          <w:iCs w:val="1"/>
          <w:color w:val="auto"/>
        </w:rPr>
        <w:t>Addresses</w:t>
      </w:r>
      <w:r>
        <w:rPr>
          <w:rFonts w:ascii="Times New Roman" w:cs="Times New Roman" w:eastAsia="Times New Roman" w:hAnsi="Times New Roman"/>
          <w:sz w:val="18"/>
          <w:szCs w:val="18"/>
          <w:color w:val="auto"/>
        </w:rPr>
        <w:t>) are set out in the Schedule.</w:t>
      </w:r>
    </w:p>
    <w:p>
      <w:pPr>
        <w:spacing w:after="0" w:line="160"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expressly acknowledges</w:t>
      </w:r>
    </w:p>
    <w:p>
      <w:pPr>
        <w:spacing w:after="0" w:line="223" w:lineRule="exact"/>
        <w:rPr>
          <w:rFonts w:ascii="Times New Roman" w:cs="Times New Roman" w:eastAsia="Times New Roman" w:hAnsi="Times New Roman"/>
          <w:sz w:val="18"/>
          <w:szCs w:val="18"/>
          <w:color w:val="auto"/>
        </w:rPr>
      </w:pPr>
    </w:p>
    <w:p>
      <w:pPr>
        <w:ind w:left="1300" w:right="40" w:hanging="644"/>
        <w:spacing w:after="0" w:line="284" w:lineRule="auto"/>
        <w:tabs>
          <w:tab w:leader="none" w:pos="1297"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on the Existing Lender’s obligations set out in sub-clauses (a) and (c) of Clause 18.2 (</w:t>
      </w:r>
      <w:r>
        <w:rPr>
          <w:rFonts w:ascii="Times New Roman" w:cs="Times New Roman" w:eastAsia="Times New Roman" w:hAnsi="Times New Roman"/>
          <w:sz w:val="18"/>
          <w:szCs w:val="18"/>
          <w:i w:val="1"/>
          <w:iCs w:val="1"/>
          <w:color w:val="auto"/>
        </w:rPr>
        <w:t>Limitation of responsibility of 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Lenders</w:t>
      </w:r>
      <w:r>
        <w:rPr>
          <w:rFonts w:ascii="Times New Roman" w:cs="Times New Roman" w:eastAsia="Times New Roman" w:hAnsi="Times New Roman"/>
          <w:sz w:val="18"/>
          <w:szCs w:val="18"/>
          <w:color w:val="auto"/>
        </w:rPr>
        <w:t>), and</w:t>
      </w:r>
    </w:p>
    <w:p>
      <w:pPr>
        <w:spacing w:after="0" w:line="160" w:lineRule="exact"/>
        <w:rPr>
          <w:rFonts w:ascii="Times New Roman" w:cs="Times New Roman" w:eastAsia="Times New Roman" w:hAnsi="Times New Roman"/>
          <w:sz w:val="18"/>
          <w:szCs w:val="18"/>
          <w:color w:val="auto"/>
        </w:rPr>
      </w:pPr>
    </w:p>
    <w:p>
      <w:pPr>
        <w:ind w:left="1300" w:hanging="644"/>
        <w:spacing w:after="0" w:line="266" w:lineRule="auto"/>
        <w:tabs>
          <w:tab w:leader="none" w:pos="1307"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is the responsibility of the New Lender to ascertain whether any document is required or any formality or other condition requires to be satisfied to effect or perfect the transfer contemplated by this Transfer Certificate or otherwise to enable the New Lender to enjoy the full benefit of each Finance Document.</w:t>
      </w:r>
    </w:p>
    <w:p>
      <w:pPr>
        <w:spacing w:after="0" w:line="174"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confirms that it is a “New Lender” within the meaning of Clause 18.1 (</w:t>
      </w:r>
      <w:r>
        <w:rPr>
          <w:rFonts w:ascii="Times New Roman" w:cs="Times New Roman" w:eastAsia="Times New Roman" w:hAnsi="Times New Roman"/>
          <w:sz w:val="18"/>
          <w:szCs w:val="18"/>
          <w:i w:val="1"/>
          <w:iCs w:val="1"/>
          <w:color w:val="auto"/>
        </w:rPr>
        <w:t>Assignments and transfers by the Lenders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Lender and the New Lender confirm that the New Lender is not an Obligor or an Affiliate of an Obligor.</w:t>
      </w:r>
    </w:p>
    <w:p>
      <w:pPr>
        <w:spacing w:after="0" w:line="225" w:lineRule="exact"/>
        <w:rPr>
          <w:rFonts w:ascii="Times New Roman" w:cs="Times New Roman" w:eastAsia="Times New Roman" w:hAnsi="Times New Roman"/>
          <w:sz w:val="18"/>
          <w:szCs w:val="18"/>
          <w:color w:val="auto"/>
        </w:rPr>
      </w:pPr>
    </w:p>
    <w:p>
      <w:pPr>
        <w:ind w:left="640" w:right="40" w:hanging="632"/>
        <w:spacing w:after="0" w:line="282" w:lineRule="auto"/>
        <w:tabs>
          <w:tab w:leader="none" w:pos="63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Transfer Certificate may be executed in any number of counterparts and this has the same effect as if the signatures on the counterparts were on a single copy of this Transfer Certificate.</w:t>
      </w:r>
    </w:p>
    <w:p>
      <w:pPr>
        <w:spacing w:after="0" w:line="161" w:lineRule="exact"/>
        <w:rPr>
          <w:rFonts w:ascii="Times New Roman" w:cs="Times New Roman" w:eastAsia="Times New Roman" w:hAnsi="Times New Roman"/>
          <w:sz w:val="18"/>
          <w:szCs w:val="18"/>
          <w:color w:val="auto"/>
        </w:rPr>
      </w:pPr>
    </w:p>
    <w:p>
      <w:pPr>
        <w:ind w:left="640" w:right="520" w:hanging="632"/>
        <w:spacing w:after="0" w:line="282" w:lineRule="auto"/>
        <w:tabs>
          <w:tab w:leader="none" w:pos="63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Transfer Certificate, and all non-contractual obligations arising from or in connection with this Transfer Certificate, are governed by, and construed exclusively in accordance with, the laws of Hong Kong.</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Transfer Certificate has been entered into on the date stated at the beginning of this Transfer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344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rPr>
              <w:t>THE SCHEDULE</w:t>
            </w:r>
          </w:p>
        </w:tc>
        <w:tc>
          <w:tcPr>
            <w:tcW w:w="2640" w:type="dxa"/>
            <w:vAlign w:val="bottom"/>
          </w:tcPr>
          <w:p>
            <w:pPr>
              <w:spacing w:after="0"/>
              <w:rPr>
                <w:sz w:val="20"/>
                <w:szCs w:val="20"/>
                <w:color w:val="auto"/>
              </w:rPr>
            </w:pPr>
          </w:p>
        </w:tc>
      </w:tr>
      <w:tr>
        <w:trPr>
          <w:trHeight w:val="432"/>
        </w:trPr>
        <w:tc>
          <w:tcPr>
            <w:tcW w:w="3020" w:type="dxa"/>
            <w:vAlign w:val="bottom"/>
          </w:tcPr>
          <w:p>
            <w:pPr>
              <w:spacing w:after="0"/>
              <w:rPr>
                <w:sz w:val="24"/>
                <w:szCs w:val="24"/>
                <w:color w:val="auto"/>
              </w:rPr>
            </w:pPr>
          </w:p>
        </w:tc>
        <w:tc>
          <w:tcPr>
            <w:tcW w:w="6080" w:type="dxa"/>
            <w:vAlign w:val="bottom"/>
            <w:gridSpan w:val="2"/>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Rights and Obligations to be Transferred</w:t>
            </w:r>
          </w:p>
        </w:tc>
      </w:tr>
      <w:tr>
        <w:trPr>
          <w:trHeight w:val="432"/>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Transfer Details</w:t>
            </w:r>
            <w:r>
              <w:rPr>
                <w:rFonts w:ascii="Times New Roman" w:cs="Times New Roman" w:eastAsia="Times New Roman" w:hAnsi="Times New Roman"/>
                <w:sz w:val="18"/>
                <w:szCs w:val="18"/>
                <w:color w:val="auto"/>
              </w:rPr>
              <w:t>:</w:t>
            </w:r>
          </w:p>
        </w:tc>
        <w:tc>
          <w:tcPr>
            <w:tcW w:w="344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41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Nature:</w:t>
            </w:r>
          </w:p>
        </w:tc>
        <w:tc>
          <w:tcPr>
            <w:tcW w:w="608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w w:val="99"/>
              </w:rPr>
              <w:t>[insert description of facility(ies) transferred]</w:t>
            </w:r>
          </w:p>
        </w:tc>
      </w:t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Final Maturity:</w:t>
            </w:r>
          </w:p>
        </w:tc>
        <w:tc>
          <w:tcPr>
            <w:tcW w:w="344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jc w:val="right"/>
              <w:ind w:right="2470"/>
              <w:spacing w:after="0"/>
              <w:rPr>
                <w:sz w:val="20"/>
                <w:szCs w:val="20"/>
                <w:color w:val="auto"/>
              </w:rPr>
            </w:pPr>
            <w:r>
              <w:rPr>
                <w:rFonts w:ascii="Times New Roman" w:cs="Times New Roman" w:eastAsia="Times New Roman" w:hAnsi="Times New Roman"/>
                <w:sz w:val="18"/>
                <w:szCs w:val="18"/>
                <w:color w:val="auto"/>
                <w:w w:val="99"/>
              </w:rPr>
              <w:t>]</w:t>
            </w:r>
          </w:p>
        </w:tc>
      </w:tr>
      <w:tr>
        <w:trPr>
          <w:trHeight w:val="414"/>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Participation Transferred</w:t>
            </w:r>
          </w:p>
        </w:tc>
        <w:tc>
          <w:tcPr>
            <w:tcW w:w="344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Drawn Amount:</w:t>
            </w:r>
          </w:p>
        </w:tc>
        <w:tc>
          <w:tcPr>
            <w:tcW w:w="344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jc w:val="right"/>
              <w:ind w:right="2470"/>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Undrawn Amount:</w:t>
            </w:r>
          </w:p>
        </w:tc>
        <w:tc>
          <w:tcPr>
            <w:tcW w:w="344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jc w:val="right"/>
              <w:ind w:right="247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 Details:</w:t>
      </w:r>
    </w:p>
    <w:p>
      <w:pPr>
        <w:sectPr>
          <w:pgSz w:w="11900" w:h="16880" w:orient="portrait"/>
          <w:cols w:equalWidth="0" w:num="1">
            <w:col w:w="11380"/>
          </w:cols>
          <w:pgMar w:left="240" w:top="337" w:right="279" w:bottom="0" w:gutter="0" w:footer="0" w:header="0"/>
          <w:type w:val="continuous"/>
        </w:sectPr>
      </w:pPr>
    </w:p>
    <w:bookmarkStart w:id="162" w:name="page163"/>
    <w:bookmarkEnd w:id="162"/>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New Lender’s Receiving Account:</w:t>
            </w:r>
          </w:p>
        </w:tc>
        <w:tc>
          <w:tcPr>
            <w:tcW w:w="21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516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21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516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Telephone:</w:t>
            </w:r>
          </w:p>
        </w:tc>
        <w:tc>
          <w:tcPr>
            <w:tcW w:w="21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516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Facsimile:</w:t>
            </w:r>
          </w:p>
        </w:tc>
        <w:tc>
          <w:tcPr>
            <w:tcW w:w="21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516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Attn/Ref:</w:t>
            </w:r>
          </w:p>
        </w:tc>
        <w:tc>
          <w:tcPr>
            <w:tcW w:w="21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516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[Existing Lender]</w:t>
            </w:r>
          </w:p>
        </w:tc>
        <w:tc>
          <w:tcPr>
            <w:tcW w:w="728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[New Lender]</w:t>
            </w: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1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Pr>
          <w:p>
            <w:pPr>
              <w:spacing w:after="0"/>
              <w:rPr>
                <w:sz w:val="20"/>
                <w:szCs w:val="20"/>
                <w:color w:val="auto"/>
              </w:rPr>
            </w:pPr>
          </w:p>
        </w:tc>
      </w:tr>
      <w:tr>
        <w:trPr>
          <w:trHeight w:val="348"/>
        </w:trPr>
        <w:tc>
          <w:tcPr>
            <w:tcW w:w="418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5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63" w:name="page164"/>
    <w:bookmarkEnd w:id="163"/>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4.46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20, 2017</w:t>
      </w:r>
    </w:p>
    <w:p>
      <w:pPr>
        <w:spacing w:after="0" w:line="225" w:lineRule="exact"/>
        <w:rPr>
          <w:sz w:val="20"/>
          <w:szCs w:val="20"/>
          <w:color w:val="auto"/>
        </w:rPr>
      </w:pPr>
    </w:p>
    <w:p>
      <w:pPr>
        <w:ind w:left="5240" w:right="4920" w:hanging="319"/>
        <w:spacing w:after="0" w:line="317" w:lineRule="auto"/>
        <w:tabs>
          <w:tab w:leader="none" w:pos="5178" w:val="left"/>
        </w:tabs>
        <w:numPr>
          <w:ilvl w:val="2"/>
          <w:numId w:val="2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PARTICLE INC. as Borrower</w:t>
      </w:r>
    </w:p>
    <w:p>
      <w:pPr>
        <w:spacing w:after="0" w:line="131" w:lineRule="exact"/>
        <w:rPr>
          <w:rFonts w:ascii="Times New Roman" w:cs="Times New Roman" w:eastAsia="Times New Roman" w:hAnsi="Times New Roman"/>
          <w:sz w:val="17"/>
          <w:szCs w:val="17"/>
          <w:b w:val="1"/>
          <w:bCs w:val="1"/>
          <w:color w:val="auto"/>
        </w:rPr>
      </w:pPr>
    </w:p>
    <w:p>
      <w:pPr>
        <w:ind w:left="5080" w:right="4720" w:hanging="343"/>
        <w:spacing w:after="0" w:line="286" w:lineRule="auto"/>
        <w:tabs>
          <w:tab w:leader="none" w:pos="4983" w:val="left"/>
        </w:tabs>
        <w:numPr>
          <w:ilvl w:val="1"/>
          <w:numId w:val="2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Particle (HK) Limited as a Covenantor</w:t>
      </w:r>
    </w:p>
    <w:p>
      <w:pPr>
        <w:spacing w:after="0" w:line="154" w:lineRule="exact"/>
        <w:rPr>
          <w:rFonts w:ascii="Times New Roman" w:cs="Times New Roman" w:eastAsia="Times New Roman" w:hAnsi="Times New Roman"/>
          <w:sz w:val="18"/>
          <w:szCs w:val="18"/>
          <w:b w:val="1"/>
          <w:bCs w:val="1"/>
          <w:color w:val="auto"/>
        </w:rPr>
      </w:pPr>
    </w:p>
    <w:p>
      <w:pPr>
        <w:ind w:left="3920" w:hanging="245"/>
        <w:spacing w:after="0"/>
        <w:tabs>
          <w:tab w:leader="none" w:pos="3920" w:val="left"/>
        </w:tabs>
        <w:numPr>
          <w:ilvl w:val="0"/>
          <w:numId w:val="2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Beijing Particle Information Technology Co., Ltd.</w:t>
      </w:r>
    </w:p>
    <w:p>
      <w:pPr>
        <w:spacing w:after="0" w:line="31" w:lineRule="exact"/>
        <w:rPr>
          <w:sz w:val="20"/>
          <w:szCs w:val="20"/>
          <w:color w:val="auto"/>
        </w:rPr>
      </w:pPr>
    </w:p>
    <w:p>
      <w:pPr>
        <w:ind w:left="4900"/>
        <w:spacing w:after="0"/>
        <w:tabs>
          <w:tab w:leader="none" w:pos="646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 Covenantor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 Beijing Yidianwangju Technology Co., Ltd.</w:t>
      </w:r>
    </w:p>
    <w:p>
      <w:pPr>
        <w:spacing w:after="0" w:line="31" w:lineRule="exact"/>
        <w:rPr>
          <w:sz w:val="20"/>
          <w:szCs w:val="20"/>
          <w:color w:val="auto"/>
        </w:rPr>
      </w:pPr>
    </w:p>
    <w:p>
      <w:pPr>
        <w:ind w:left="6360" w:hanging="1354"/>
        <w:spacing w:after="0"/>
        <w:tabs>
          <w:tab w:leader="none" w:pos="6360" w:val="left"/>
        </w:tabs>
        <w:numPr>
          <w:ilvl w:val="0"/>
          <w:numId w:val="2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9" w:lineRule="exact"/>
        <w:rPr>
          <w:rFonts w:ascii="Times New Roman" w:cs="Times New Roman" w:eastAsia="Times New Roman" w:hAnsi="Times New Roman"/>
          <w:sz w:val="18"/>
          <w:szCs w:val="18"/>
          <w:b w:val="1"/>
          <w:bCs w:val="1"/>
          <w:color w:val="auto"/>
        </w:rPr>
      </w:pPr>
    </w:p>
    <w:p>
      <w:pPr>
        <w:ind w:left="50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 a Covenantor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ind w:left="4980" w:right="4160" w:hanging="806"/>
        <w:spacing w:after="0" w:line="286" w:lineRule="auto"/>
        <w:tabs>
          <w:tab w:leader="none" w:pos="4425" w:val="left"/>
        </w:tabs>
        <w:numPr>
          <w:ilvl w:val="0"/>
          <w:numId w:val="2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PHOENIX NEW MEDIA LIMITED as Original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180975</wp:posOffset>
            </wp:positionV>
            <wp:extent cx="182689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492760</wp:posOffset>
            </wp:positionV>
            <wp:extent cx="726757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THIS AMENDMENT NO. 1 TO LOAN AGREEMENT </w:t>
      </w:r>
      <w:r>
        <w:rPr>
          <w:rFonts w:ascii="Times New Roman" w:cs="Times New Roman" w:eastAsia="Times New Roman" w:hAnsi="Times New Roman"/>
          <w:sz w:val="18"/>
          <w:szCs w:val="18"/>
          <w:color w:val="auto"/>
        </w:rPr>
        <w:t>is dated January 20, 2017 and made between:</w:t>
      </w:r>
    </w:p>
    <w:p>
      <w:pPr>
        <w:spacing w:after="0" w:line="225" w:lineRule="exact"/>
        <w:rPr>
          <w:sz w:val="20"/>
          <w:szCs w:val="20"/>
          <w:color w:val="auto"/>
        </w:rPr>
      </w:pPr>
    </w:p>
    <w:p>
      <w:pPr>
        <w:ind w:left="660" w:hanging="652"/>
        <w:spacing w:after="0"/>
        <w:tabs>
          <w:tab w:leader="none" w:pos="66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PARTICLE INC.</w:t>
      </w:r>
      <w:r>
        <w:rPr>
          <w:rFonts w:ascii="Times New Roman" w:cs="Times New Roman" w:eastAsia="Times New Roman" w:hAnsi="Times New Roman"/>
          <w:sz w:val="18"/>
          <w:szCs w:val="18"/>
          <w:color w:val="auto"/>
        </w:rPr>
        <w:t>, an exempted limited liability company organized under the laws of the Cayman Islands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320" w:hanging="652"/>
        <w:spacing w:after="0" w:line="286" w:lineRule="auto"/>
        <w:tabs>
          <w:tab w:leader="none" w:pos="671"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PARTICLE (HK) LIMITED</w:t>
      </w:r>
      <w:r>
        <w:rPr>
          <w:rFonts w:ascii="Times New Roman" w:cs="Times New Roman" w:eastAsia="Times New Roman" w:hAnsi="Times New Roman"/>
          <w:sz w:val="18"/>
          <w:szCs w:val="18"/>
          <w:color w:val="auto"/>
        </w:rPr>
        <w:t>, a company organized under the laws of the Hong Kong and a Subsidiary (as defined herein) of the Borrower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HK Subsidiary</w:t>
      </w:r>
      <w:r>
        <w:rPr>
          <w:rFonts w:ascii="Times New Roman" w:cs="Times New Roman" w:eastAsia="Times New Roman" w:hAnsi="Times New Roman"/>
          <w:sz w:val="18"/>
          <w:szCs w:val="18"/>
          <w:color w:val="auto"/>
        </w:rPr>
        <w: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5"/>
              </w:rPr>
              <w:t>(3)</w:t>
            </w:r>
          </w:p>
        </w:tc>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BEIJING PARTICLE INFORMATION TECHNOLOGY CO., LTD. (</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company incorporated under the laws of the PRC</w:t>
            </w:r>
          </w:p>
        </w:tc>
      </w:tr>
      <w:tr>
        <w:trPr>
          <w:trHeight w:val="238"/>
        </w:trPr>
        <w:tc>
          <w:tcPr>
            <w:tcW w:w="440" w:type="dxa"/>
            <w:vAlign w:val="bottom"/>
          </w:tcPr>
          <w:p>
            <w:pPr>
              <w:spacing w:after="0"/>
              <w:rPr>
                <w:sz w:val="20"/>
                <w:szCs w:val="20"/>
                <w:color w:val="auto"/>
              </w:rPr>
            </w:pPr>
          </w:p>
        </w:tc>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a Subsidiary (as defined herein) of the Borrower (the “</w:t>
            </w:r>
            <w:r>
              <w:rPr>
                <w:rFonts w:ascii="Times New Roman" w:cs="Times New Roman" w:eastAsia="Times New Roman" w:hAnsi="Times New Roman"/>
                <w:sz w:val="18"/>
                <w:szCs w:val="18"/>
                <w:b w:val="1"/>
                <w:bCs w:val="1"/>
                <w:color w:val="auto"/>
              </w:rPr>
              <w:t>PRC Subsidiary</w:t>
            </w:r>
            <w:r>
              <w:rPr>
                <w:rFonts w:ascii="Times New Roman" w:cs="Times New Roman" w:eastAsia="Times New Roman" w:hAnsi="Times New Roman"/>
                <w:sz w:val="18"/>
                <w:szCs w:val="18"/>
                <w:color w:val="auto"/>
              </w:rPr>
              <w:t>”);</w:t>
            </w:r>
          </w:p>
        </w:tc>
        <w:tc>
          <w:tcPr>
            <w:tcW w:w="4960" w:type="dxa"/>
            <w:vAlign w:val="bottom"/>
          </w:tcPr>
          <w:p>
            <w:pPr>
              <w:spacing w:after="0"/>
              <w:rPr>
                <w:sz w:val="20"/>
                <w:szCs w:val="20"/>
                <w:color w:val="auto"/>
              </w:rPr>
            </w:pPr>
          </w:p>
        </w:tc>
      </w:tr>
      <w:tr>
        <w:trPr>
          <w:trHeight w:val="432"/>
        </w:trPr>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5"/>
              </w:rPr>
              <w:t>(4)</w:t>
            </w:r>
          </w:p>
        </w:tc>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BEIJING YIDIANWANGJU TECHNOLOGY CO., LTD. (</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company incorporated under the laws of the PRC and a variable</w:t>
            </w:r>
          </w:p>
        </w:tc>
      </w:tr>
    </w:tbl>
    <w:p>
      <w:pPr>
        <w:ind w:left="660"/>
        <w:spacing w:after="0"/>
        <w:rPr>
          <w:sz w:val="20"/>
          <w:szCs w:val="20"/>
          <w:color w:val="auto"/>
        </w:rPr>
      </w:pPr>
      <w:r>
        <w:rPr>
          <w:rFonts w:ascii="Times New Roman" w:cs="Times New Roman" w:eastAsia="Times New Roman" w:hAnsi="Times New Roman"/>
          <w:sz w:val="18"/>
          <w:szCs w:val="18"/>
          <w:color w:val="auto"/>
        </w:rPr>
        <w:t>interest entity and Subsidiary (as defined herein) of the Borrower (the “</w:t>
      </w:r>
      <w:r>
        <w:rPr>
          <w:rFonts w:ascii="Times New Roman" w:cs="Times New Roman" w:eastAsia="Times New Roman" w:hAnsi="Times New Roman"/>
          <w:sz w:val="18"/>
          <w:szCs w:val="18"/>
          <w:b w:val="1"/>
          <w:bCs w:val="1"/>
          <w:color w:val="auto"/>
        </w:rPr>
        <w:t>PRC VIE</w:t>
      </w:r>
      <w:r>
        <w:rPr>
          <w:rFonts w:ascii="Times New Roman" w:cs="Times New Roman" w:eastAsia="Times New Roman" w:hAnsi="Times New Roman"/>
          <w:sz w:val="18"/>
          <w:szCs w:val="18"/>
          <w:color w:val="auto"/>
        </w:rPr>
        <w:t>”); and</w:t>
      </w:r>
    </w:p>
    <w:p>
      <w:pPr>
        <w:spacing w:after="0" w:line="203" w:lineRule="exact"/>
        <w:rPr>
          <w:sz w:val="20"/>
          <w:szCs w:val="20"/>
          <w:color w:val="auto"/>
        </w:rPr>
      </w:pPr>
    </w:p>
    <w:p>
      <w:pPr>
        <w:ind w:left="660" w:right="460" w:hanging="652"/>
        <w:spacing w:after="0" w:line="286" w:lineRule="auto"/>
        <w:tabs>
          <w:tab w:leader="none" w:pos="667"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PHOENIX NEW MEDIA LIMITED</w:t>
      </w:r>
      <w:r>
        <w:rPr>
          <w:rFonts w:ascii="Times New Roman" w:cs="Times New Roman" w:eastAsia="Times New Roman" w:hAnsi="Times New Roman"/>
          <w:sz w:val="18"/>
          <w:szCs w:val="18"/>
          <w:color w:val="auto"/>
        </w:rPr>
        <w:t>, an exempted limited liability company organized under the laws of the Cayman Islands (the “</w:t>
      </w:r>
      <w:r>
        <w:rPr>
          <w:rFonts w:ascii="Times New Roman" w:cs="Times New Roman" w:eastAsia="Times New Roman" w:hAnsi="Times New Roman"/>
          <w:sz w:val="18"/>
          <w:szCs w:val="18"/>
          <w:b w:val="1"/>
          <w:bCs w:val="1"/>
          <w:color w:val="auto"/>
        </w:rPr>
        <w:t>Original Lender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Borrower, the HK Subsidiary, the PRC Subsidiary, the PRC VIE and the Original Lender entered into that certain Loan Agreement (the</w:t>
      </w:r>
    </w:p>
    <w:p>
      <w:pPr>
        <w:spacing w:after="0" w:line="3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dated as of August 10, 2016, pursuant to which the Original Lender granted an unsecured term loan (the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to the Original Lender on August 10, 2016 with a principal amount of US$14,800,000.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Borrower has requested the Original Lender, and the Original Lender has agreed to, revise and extend the term of the Loan.</w:t>
      </w:r>
    </w:p>
    <w:p>
      <w:pPr>
        <w:spacing w:after="0" w:line="2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promises and agreements contained herein and for other good and valuable consideration, the receipt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sufficiency of which is hereby acknowledged, the parties hereto hereby agree as follow:</w:t>
      </w:r>
    </w:p>
    <w:p>
      <w:pPr>
        <w:spacing w:after="0" w:line="159" w:lineRule="exact"/>
        <w:rPr>
          <w:sz w:val="20"/>
          <w:szCs w:val="20"/>
          <w:color w:val="auto"/>
        </w:rPr>
      </w:pPr>
    </w:p>
    <w:p>
      <w:pPr>
        <w:ind w:left="660" w:right="560" w:hanging="652"/>
        <w:spacing w:after="0" w:line="282" w:lineRule="auto"/>
        <w:tabs>
          <w:tab w:leader="none" w:pos="66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1.1 of the Loan Agreement is hereby amended to delete the definition of “Final Maturity Date” in its entirety and to replace it with the following:</w:t>
      </w:r>
    </w:p>
    <w:p>
      <w:pPr>
        <w:spacing w:after="0" w:line="157" w:lineRule="exact"/>
        <w:rPr>
          <w:rFonts w:ascii="Times New Roman" w:cs="Times New Roman" w:eastAsia="Times New Roman" w:hAnsi="Times New Roman"/>
          <w:sz w:val="18"/>
          <w:szCs w:val="18"/>
          <w:color w:val="auto"/>
        </w:rPr>
      </w:pPr>
    </w:p>
    <w:p>
      <w:pPr>
        <w:ind w:left="6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Maturity Date</w:t>
      </w:r>
      <w:r>
        <w:rPr>
          <w:rFonts w:ascii="Times New Roman" w:cs="Times New Roman" w:eastAsia="Times New Roman" w:hAnsi="Times New Roman"/>
          <w:sz w:val="18"/>
          <w:szCs w:val="18"/>
          <w:color w:val="auto"/>
        </w:rPr>
        <w:t>’ means the date which falls twelve (12) Months from the relevant Utilisation Date, provided that if such day is not a Business Day, the Final Maturity Date shall be the next Business Day in that calendar month (if there is one) or the preceding Business Day (if there is not).”</w:t>
      </w:r>
    </w:p>
    <w:p>
      <w:pPr>
        <w:spacing w:after="0" w:line="158" w:lineRule="exact"/>
        <w:rPr>
          <w:rFonts w:ascii="Times New Roman" w:cs="Times New Roman" w:eastAsia="Times New Roman" w:hAnsi="Times New Roman"/>
          <w:sz w:val="18"/>
          <w:szCs w:val="18"/>
          <w:color w:val="auto"/>
        </w:rPr>
      </w:pPr>
    </w:p>
    <w:p>
      <w:pPr>
        <w:ind w:left="660" w:right="140" w:hanging="652"/>
        <w:spacing w:after="0" w:line="282" w:lineRule="auto"/>
        <w:tabs>
          <w:tab w:leader="none" w:pos="66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made by the Obligors to the Lender as set out in Clause 14 of the Loan Agreement is hereby repeated by the Obligors as of the date hereof as if each of such representations and warranties is made by the Obligors on the date hereof.</w:t>
      </w:r>
    </w:p>
    <w:p>
      <w:pPr>
        <w:spacing w:after="0" w:line="161" w:lineRule="exact"/>
        <w:rPr>
          <w:rFonts w:ascii="Times New Roman" w:cs="Times New Roman" w:eastAsia="Times New Roman" w:hAnsi="Times New Roman"/>
          <w:sz w:val="18"/>
          <w:szCs w:val="18"/>
          <w:color w:val="auto"/>
        </w:rPr>
      </w:pPr>
    </w:p>
    <w:p>
      <w:pPr>
        <w:ind w:left="660" w:hanging="652"/>
        <w:spacing w:after="0" w:line="258" w:lineRule="auto"/>
        <w:tabs>
          <w:tab w:leader="none" w:pos="66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date hereof, (i) all references in the Loan Agreement to “this Agreement” or words of like import referring to the Loan Agreement shall mean the Loan Agreement as amended by this Agreement, (ii) all references in the other Finance Documents to the “Loan Agreement” shall mean the Loan Agreement, as amended by this Agreement, (iii) all references in the Finance Documents to the “Finance Documents” shall mean the Finance Documents as amended by this Agreement, collectively, and (iv) all terms in the Finance Documents which, by the terms thereof, have the meanings set forth in the “Loan Agreement” shall have the respective meanings set forth in the Loan Agreement as amended by this Agreement.</w:t>
      </w:r>
    </w:p>
    <w:p>
      <w:pPr>
        <w:spacing w:after="0" w:line="183" w:lineRule="exact"/>
        <w:rPr>
          <w:rFonts w:ascii="Times New Roman" w:cs="Times New Roman" w:eastAsia="Times New Roman" w:hAnsi="Times New Roman"/>
          <w:sz w:val="18"/>
          <w:szCs w:val="18"/>
          <w:color w:val="auto"/>
        </w:rPr>
      </w:pPr>
    </w:p>
    <w:p>
      <w:pPr>
        <w:ind w:left="660" w:right="300" w:hanging="652"/>
        <w:spacing w:after="0" w:line="282" w:lineRule="auto"/>
        <w:tabs>
          <w:tab w:leader="none" w:pos="66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Obligors and the Original Lender hereby ratify and confirm the Loan Agreement and all other Finance Documents, in each case, as modified hereby. Except as modified and</w:t>
      </w:r>
    </w:p>
    <w:p>
      <w:pPr>
        <w:sectPr>
          <w:pgSz w:w="11900" w:h="16893" w:orient="portrait"/>
          <w:cols w:equalWidth="0" w:num="1">
            <w:col w:w="11420"/>
          </w:cols>
          <w:pgMar w:left="240" w:top="117" w:right="239" w:bottom="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0"/>
        <w:spacing w:after="0" w:line="282" w:lineRule="auto"/>
        <w:rPr>
          <w:sz w:val="20"/>
          <w:szCs w:val="20"/>
          <w:color w:val="auto"/>
        </w:rPr>
      </w:pPr>
      <w:r>
        <w:rPr>
          <w:rFonts w:ascii="Times New Roman" w:cs="Times New Roman" w:eastAsia="Times New Roman" w:hAnsi="Times New Roman"/>
          <w:sz w:val="18"/>
          <w:szCs w:val="18"/>
          <w:color w:val="auto"/>
        </w:rPr>
        <w:t>amended by this Agreement, the Loan, the Loan Agreement and the other Finance Documents and the respective obligations of the Lender and the Obligors thereunder shall be and remain unmodified and in full force and effect.</w:t>
      </w:r>
    </w:p>
    <w:p>
      <w:pPr>
        <w:spacing w:after="0" w:line="162" w:lineRule="exact"/>
        <w:rPr>
          <w:sz w:val="20"/>
          <w:szCs w:val="20"/>
          <w:color w:val="auto"/>
        </w:rPr>
      </w:pPr>
    </w:p>
    <w:p>
      <w:pPr>
        <w:ind w:left="660" w:right="100" w:hanging="652"/>
        <w:spacing w:after="0" w:line="266" w:lineRule="auto"/>
        <w:tabs>
          <w:tab w:leader="none" w:pos="6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effectiveness of this Agreement shall not, except to the extent expressly provided herein, operate as a waiver of any right, power or remedy of the Lender under the Loan Agreement or any of the other Finance Documents, nor constitute a waiver of any provision of the Loan Agreement or any of the other Finance Documents by any of the parties hereto.</w:t>
      </w:r>
    </w:p>
    <w:p>
      <w:pPr>
        <w:spacing w:after="0" w:line="17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and inure to the benefit of the parties hereto and their respective successors and permitted assigns.</w:t>
      </w:r>
    </w:p>
    <w:p>
      <w:pPr>
        <w:spacing w:after="0" w:line="225" w:lineRule="exact"/>
        <w:rPr>
          <w:rFonts w:ascii="Times New Roman" w:cs="Times New Roman" w:eastAsia="Times New Roman" w:hAnsi="Times New Roman"/>
          <w:sz w:val="18"/>
          <w:szCs w:val="18"/>
          <w:color w:val="auto"/>
        </w:rPr>
      </w:pPr>
    </w:p>
    <w:p>
      <w:pPr>
        <w:ind w:left="660" w:right="160" w:hanging="652"/>
        <w:spacing w:after="0" w:line="282" w:lineRule="auto"/>
        <w:tabs>
          <w:tab w:leader="none" w:pos="6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 of this Agreement or any other Finance Documents may be amended or waived only with the consent of the Lender and the Obligors and any such amendment or waiver will be binding on all Parties.</w:t>
      </w:r>
    </w:p>
    <w:p>
      <w:pPr>
        <w:spacing w:after="0" w:line="161" w:lineRule="exact"/>
        <w:rPr>
          <w:rFonts w:ascii="Times New Roman" w:cs="Times New Roman" w:eastAsia="Times New Roman" w:hAnsi="Times New Roman"/>
          <w:sz w:val="18"/>
          <w:szCs w:val="18"/>
          <w:color w:val="auto"/>
        </w:rPr>
      </w:pPr>
    </w:p>
    <w:p>
      <w:pPr>
        <w:ind w:left="660" w:right="140" w:hanging="652"/>
        <w:spacing w:after="0" w:line="282" w:lineRule="auto"/>
        <w:tabs>
          <w:tab w:leader="none" w:pos="6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all non-contractual obligations arising from or in connection with this Agreement, are governed by, and construed exclusively in accordance with, the laws of Hong Kong.</w:t>
      </w:r>
    </w:p>
    <w:p>
      <w:pPr>
        <w:spacing w:after="0" w:line="161" w:lineRule="exact"/>
        <w:rPr>
          <w:rFonts w:ascii="Times New Roman" w:cs="Times New Roman" w:eastAsia="Times New Roman" w:hAnsi="Times New Roman"/>
          <w:sz w:val="18"/>
          <w:szCs w:val="18"/>
          <w:color w:val="auto"/>
        </w:rPr>
      </w:pPr>
    </w:p>
    <w:p>
      <w:pPr>
        <w:ind w:left="660" w:right="20" w:hanging="652"/>
        <w:spacing w:after="0" w:line="266" w:lineRule="auto"/>
        <w:tabs>
          <w:tab w:leader="none" w:pos="6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any provision of this Agreement is or becomes illegal, invalid or unenforceable in any respect under any law of any jurisdiction, neither the legality, validity or enforceability of the remaining provisions of this Agreement or any other Finance Documents nor the legality, validity or enforceability of such provisions under the law of any other jurisdiction will in any way be affected or impaired.</w:t>
      </w:r>
    </w:p>
    <w:p>
      <w:pPr>
        <w:spacing w:after="0" w:line="17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any number of counterparts, all of which taken together shall constitute one and the same instrument.</w:t>
      </w:r>
    </w:p>
    <w:p>
      <w:pPr>
        <w:spacing w:after="0" w:line="225" w:lineRule="exact"/>
        <w:rPr>
          <w:rFonts w:ascii="Times New Roman" w:cs="Times New Roman" w:eastAsia="Times New Roman" w:hAnsi="Times New Roman"/>
          <w:sz w:val="18"/>
          <w:szCs w:val="18"/>
          <w:color w:val="auto"/>
        </w:rPr>
      </w:pPr>
    </w:p>
    <w:p>
      <w:pPr>
        <w:ind w:left="660" w:hanging="652"/>
        <w:spacing w:after="0" w:line="258" w:lineRule="auto"/>
        <w:tabs>
          <w:tab w:leader="none" w:pos="649"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disputes and controversies arising out of or in connection with this Agreement (including a dispute regarding the existence, validity or termination of this Agreement) shall be referred to and finally settled by arbitration at the Hong Kong International Arbitration Centre in accordance with the UNCITRAL Arbitration Rules (the “</w:t>
      </w:r>
      <w:r>
        <w:rPr>
          <w:rFonts w:ascii="Times New Roman" w:cs="Times New Roman" w:eastAsia="Times New Roman" w:hAnsi="Times New Roman"/>
          <w:sz w:val="18"/>
          <w:szCs w:val="18"/>
          <w:b w:val="1"/>
          <w:bCs w:val="1"/>
          <w:color w:val="auto"/>
        </w:rPr>
        <w:t>UNCITRAL Rules</w:t>
      </w:r>
      <w:r>
        <w:rPr>
          <w:rFonts w:ascii="Times New Roman" w:cs="Times New Roman" w:eastAsia="Times New Roman" w:hAnsi="Times New Roman"/>
          <w:sz w:val="18"/>
          <w:szCs w:val="18"/>
          <w:color w:val="auto"/>
        </w:rPr>
        <w:t>”) in effect, which rules are deemed to be incorporated by reference into this clause. The arbitration tribunal shall consist of three arbitrators to be appointed according to the UNCITRAL Rules. The language of the arbitration shall be English.</w:t>
      </w:r>
    </w:p>
    <w:p>
      <w:pPr>
        <w:spacing w:after="0" w:line="183" w:lineRule="exact"/>
        <w:rPr>
          <w:rFonts w:ascii="Times New Roman" w:cs="Times New Roman" w:eastAsia="Times New Roman" w:hAnsi="Times New Roman"/>
          <w:sz w:val="18"/>
          <w:szCs w:val="18"/>
          <w:color w:val="auto"/>
        </w:rPr>
      </w:pPr>
    </w:p>
    <w:p>
      <w:pPr>
        <w:ind w:left="660" w:hanging="652"/>
        <w:spacing w:after="0" w:line="282" w:lineRule="auto"/>
        <w:tabs>
          <w:tab w:leader="none" w:pos="655"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the entire agreement among the Obligors and the Original Lender with respect to subject matter hereof and supersedes all other prior agreements and understandings, both written and oral, among the parties with respect to the subject matter hereof.</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capitalized terms used herein and not otherwise defined herein shall have the respective meanings set forth in the Loan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Agreement has been entered into on the date stated at the beginning of this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SIGNATURE PAGE</w:t>
            </w:r>
          </w:p>
        </w:tc>
      </w:tr>
      <w:tr>
        <w:trPr>
          <w:trHeight w:val="432"/>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execution by the Borrower</w:t>
            </w:r>
          </w:p>
        </w:tc>
        <w:tc>
          <w:tcPr>
            <w:tcW w:w="740" w:type="dxa"/>
            <w:vAlign w:val="bottom"/>
          </w:tcPr>
          <w:p>
            <w:pPr>
              <w:spacing w:after="0"/>
              <w:rPr>
                <w:sz w:val="24"/>
                <w:szCs w:val="24"/>
                <w:color w:val="auto"/>
              </w:rPr>
            </w:pPr>
          </w:p>
        </w:tc>
        <w:tc>
          <w:tcPr>
            <w:tcW w:w="7040" w:type="dxa"/>
            <w:vAlign w:val="bottom"/>
          </w:tcPr>
          <w:p>
            <w:pPr>
              <w:spacing w:after="0"/>
              <w:rPr>
                <w:sz w:val="24"/>
                <w:szCs w:val="24"/>
                <w:color w:val="auto"/>
              </w:rPr>
            </w:pPr>
          </w:p>
        </w:tc>
      </w:tr>
      <w:tr>
        <w:trPr>
          <w:trHeight w:val="630"/>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and DELIVERED </w:t>
            </w:r>
            <w:r>
              <w:rPr>
                <w:rFonts w:ascii="Times New Roman" w:cs="Times New Roman" w:eastAsia="Times New Roman" w:hAnsi="Times New Roman"/>
                <w:sz w:val="18"/>
                <w:szCs w:val="18"/>
                <w:color w:val="auto"/>
              </w:rPr>
              <w:t>by</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40" w:type="dxa"/>
            <w:vAlign w:val="bottom"/>
          </w:tcPr>
          <w:p>
            <w:pPr>
              <w:spacing w:after="0"/>
              <w:rPr>
                <w:sz w:val="24"/>
                <w:szCs w:val="24"/>
                <w:color w:val="auto"/>
              </w:rPr>
            </w:pPr>
          </w:p>
        </w:tc>
      </w:tr>
      <w:tr>
        <w:trPr>
          <w:trHeight w:val="216"/>
        </w:trPr>
        <w:tc>
          <w:tcPr>
            <w:tcW w:w="15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40" w:type="dxa"/>
            <w:vAlign w:val="bottom"/>
          </w:tcPr>
          <w:p>
            <w:pPr>
              <w:spacing w:after="0"/>
              <w:rPr>
                <w:sz w:val="18"/>
                <w:szCs w:val="18"/>
                <w:color w:val="auto"/>
              </w:rPr>
            </w:pPr>
          </w:p>
        </w:tc>
      </w:tr>
      <w:tr>
        <w:trPr>
          <w:trHeight w:val="212"/>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2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40" w:type="dxa"/>
            <w:vAlign w:val="bottom"/>
          </w:tcPr>
          <w:p>
            <w:pPr>
              <w:spacing w:after="0"/>
              <w:rPr>
                <w:sz w:val="18"/>
                <w:szCs w:val="18"/>
                <w:color w:val="auto"/>
              </w:rPr>
            </w:pPr>
          </w:p>
        </w:tc>
      </w:tr>
      <w:tr>
        <w:trPr>
          <w:trHeight w:val="238"/>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PARTICLE INC.</w:t>
            </w:r>
          </w:p>
        </w:tc>
        <w:tc>
          <w:tcPr>
            <w:tcW w:w="214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Ya Li</w:t>
            </w:r>
          </w:p>
        </w:tc>
      </w:tr>
      <w:tr>
        <w:trPr>
          <w:trHeight w:val="426"/>
        </w:trPr>
        <w:tc>
          <w:tcPr>
            <w:tcW w:w="15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 / AUTHORISED SIGNATORY</w:t>
            </w:r>
          </w:p>
        </w:tc>
      </w:tr>
      <w:tr>
        <w:trPr>
          <w:trHeight w:val="648"/>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execution by the Covenantors</w:t>
            </w:r>
          </w:p>
        </w:tc>
        <w:tc>
          <w:tcPr>
            <w:tcW w:w="740" w:type="dxa"/>
            <w:vAlign w:val="bottom"/>
          </w:tcPr>
          <w:p>
            <w:pPr>
              <w:spacing w:after="0"/>
              <w:rPr>
                <w:sz w:val="24"/>
                <w:szCs w:val="24"/>
                <w:color w:val="auto"/>
              </w:rPr>
            </w:pPr>
          </w:p>
        </w:tc>
        <w:tc>
          <w:tcPr>
            <w:tcW w:w="7040" w:type="dxa"/>
            <w:vAlign w:val="bottom"/>
          </w:tcPr>
          <w:p>
            <w:pPr>
              <w:spacing w:after="0"/>
              <w:rPr>
                <w:sz w:val="24"/>
                <w:szCs w:val="24"/>
                <w:color w:val="auto"/>
              </w:rPr>
            </w:pPr>
          </w:p>
        </w:tc>
      </w:tr>
      <w:tr>
        <w:trPr>
          <w:trHeight w:val="630"/>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and DELIVERED </w:t>
            </w:r>
            <w:r>
              <w:rPr>
                <w:rFonts w:ascii="Times New Roman" w:cs="Times New Roman" w:eastAsia="Times New Roman" w:hAnsi="Times New Roman"/>
                <w:sz w:val="18"/>
                <w:szCs w:val="18"/>
                <w:color w:val="auto"/>
              </w:rPr>
              <w:t>by</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40" w:type="dxa"/>
            <w:vAlign w:val="bottom"/>
          </w:tcPr>
          <w:p>
            <w:pPr>
              <w:spacing w:after="0"/>
              <w:rPr>
                <w:sz w:val="24"/>
                <w:szCs w:val="24"/>
                <w:color w:val="auto"/>
              </w:rPr>
            </w:pPr>
          </w:p>
        </w:tc>
      </w:tr>
      <w:tr>
        <w:trPr>
          <w:trHeight w:val="216"/>
        </w:trPr>
        <w:tc>
          <w:tcPr>
            <w:tcW w:w="15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40" w:type="dxa"/>
            <w:vAlign w:val="bottom"/>
          </w:tcPr>
          <w:p>
            <w:pPr>
              <w:spacing w:after="0"/>
              <w:rPr>
                <w:sz w:val="18"/>
                <w:szCs w:val="18"/>
                <w:color w:val="auto"/>
              </w:rPr>
            </w:pPr>
          </w:p>
        </w:tc>
      </w:tr>
      <w:tr>
        <w:trPr>
          <w:trHeight w:val="212"/>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2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40" w:type="dxa"/>
            <w:vAlign w:val="bottom"/>
          </w:tcPr>
          <w:p>
            <w:pPr>
              <w:spacing w:after="0"/>
              <w:rPr>
                <w:sz w:val="18"/>
                <w:szCs w:val="18"/>
                <w:color w:val="auto"/>
              </w:rPr>
            </w:pPr>
          </w:p>
        </w:tc>
      </w:tr>
      <w:tr>
        <w:trPr>
          <w:trHeight w:val="238"/>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PARTICLE (HK) LIMITED</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Ya Li</w:t>
            </w:r>
          </w:p>
        </w:tc>
      </w:tr>
      <w:tr>
        <w:trPr>
          <w:trHeight w:val="426"/>
        </w:trPr>
        <w:tc>
          <w:tcPr>
            <w:tcW w:w="15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 / AUTHORISED SIGNATORY</w:t>
            </w:r>
          </w:p>
        </w:tc>
      </w:tr>
      <w:tr>
        <w:trPr>
          <w:trHeight w:val="630"/>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and DELIVERED </w:t>
            </w:r>
            <w:r>
              <w:rPr>
                <w:rFonts w:ascii="Times New Roman" w:cs="Times New Roman" w:eastAsia="Times New Roman" w:hAnsi="Times New Roman"/>
                <w:sz w:val="18"/>
                <w:szCs w:val="18"/>
                <w:color w:val="auto"/>
              </w:rPr>
              <w:t>by</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40" w:type="dxa"/>
            <w:vAlign w:val="bottom"/>
          </w:tcPr>
          <w:p>
            <w:pPr>
              <w:spacing w:after="0"/>
              <w:rPr>
                <w:sz w:val="24"/>
                <w:szCs w:val="24"/>
                <w:color w:val="auto"/>
              </w:rPr>
            </w:pPr>
          </w:p>
        </w:tc>
      </w:tr>
      <w:tr>
        <w:trPr>
          <w:trHeight w:val="216"/>
        </w:trPr>
        <w:tc>
          <w:tcPr>
            <w:tcW w:w="15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40" w:type="dxa"/>
            <w:vAlign w:val="bottom"/>
          </w:tcPr>
          <w:p>
            <w:pPr>
              <w:spacing w:after="0"/>
              <w:rPr>
                <w:sz w:val="18"/>
                <w:szCs w:val="18"/>
                <w:color w:val="auto"/>
              </w:rPr>
            </w:pPr>
          </w:p>
        </w:tc>
      </w:tr>
      <w:tr>
        <w:trPr>
          <w:trHeight w:val="212"/>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2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40" w:type="dxa"/>
            <w:vAlign w:val="bottom"/>
          </w:tcPr>
          <w:p>
            <w:pPr>
              <w:spacing w:after="0"/>
              <w:rPr>
                <w:sz w:val="18"/>
                <w:szCs w:val="18"/>
                <w:color w:val="auto"/>
              </w:rPr>
            </w:pP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BEIJING PARTICLE INFORMATION</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40" w:type="dxa"/>
            <w:vAlign w:val="bottom"/>
          </w:tcPr>
          <w:p>
            <w:pPr>
              <w:spacing w:after="0"/>
              <w:rPr>
                <w:sz w:val="18"/>
                <w:szCs w:val="18"/>
                <w:color w:val="auto"/>
              </w:rPr>
            </w:pP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TECHNOLOGY CO., LTD.</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40" w:type="dxa"/>
            <w:vAlign w:val="bottom"/>
          </w:tcPr>
          <w:p>
            <w:pPr>
              <w:spacing w:after="0"/>
              <w:rPr>
                <w:sz w:val="18"/>
                <w:szCs w:val="18"/>
                <w:color w:val="auto"/>
              </w:rPr>
            </w:pPr>
          </w:p>
        </w:tc>
      </w:tr>
      <w:tr>
        <w:trPr>
          <w:trHeight w:val="238"/>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140" w:type="dxa"/>
            <w:vAlign w:val="bottom"/>
          </w:tcPr>
          <w:p>
            <w:pPr>
              <w:jc w:val="right"/>
              <w:ind w:right="19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Ya Li</w:t>
            </w:r>
          </w:p>
        </w:tc>
      </w:tr>
    </w:tbl>
    <w:p>
      <w:pPr>
        <w:spacing w:after="0" w:line="19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DIRECTOR / AUTHORISED SIGNATORY</w:t>
      </w:r>
    </w:p>
    <w:p>
      <w:pPr>
        <w:sectPr>
          <w:pgSz w:w="11900" w:h="16838" w:orient="portrait"/>
          <w:cols w:equalWidth="0" w:num="1">
            <w:col w:w="11420"/>
          </w:cols>
          <w:pgMar w:left="240" w:top="337" w:right="239" w:bottom="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2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and DELIVERED </w:t>
            </w:r>
            <w:r>
              <w:rPr>
                <w:rFonts w:ascii="Times New Roman" w:cs="Times New Roman" w:eastAsia="Times New Roman" w:hAnsi="Times New Roman"/>
                <w:sz w:val="18"/>
                <w:szCs w:val="18"/>
                <w:color w:val="auto"/>
              </w:rPr>
              <w:t>by</w:t>
            </w:r>
          </w:p>
        </w:tc>
        <w:tc>
          <w:tcPr>
            <w:tcW w:w="11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7040" w:type="dxa"/>
            <w:vAlign w:val="bottom"/>
          </w:tcPr>
          <w:p>
            <w:pPr>
              <w:spacing w:after="0"/>
              <w:rPr>
                <w:sz w:val="19"/>
                <w:szCs w:val="19"/>
                <w:color w:val="auto"/>
              </w:rPr>
            </w:pPr>
          </w:p>
        </w:tc>
      </w:tr>
      <w:tr>
        <w:trPr>
          <w:trHeight w:val="216"/>
        </w:trPr>
        <w:tc>
          <w:tcPr>
            <w:tcW w:w="7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7040" w:type="dxa"/>
            <w:vAlign w:val="bottom"/>
          </w:tcPr>
          <w:p>
            <w:pPr>
              <w:spacing w:after="0"/>
              <w:rPr>
                <w:sz w:val="18"/>
                <w:szCs w:val="18"/>
                <w:color w:val="auto"/>
              </w:rPr>
            </w:pPr>
          </w:p>
        </w:tc>
      </w:tr>
      <w:tr>
        <w:trPr>
          <w:trHeight w:val="212"/>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1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7040" w:type="dxa"/>
            <w:vAlign w:val="bottom"/>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BEIJING YIDIANWANGJU</w:t>
            </w:r>
          </w:p>
        </w:tc>
        <w:tc>
          <w:tcPr>
            <w:tcW w:w="11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7040" w:type="dxa"/>
            <w:vAlign w:val="bottom"/>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TECHNOLOGY CO., LTD.</w:t>
            </w:r>
          </w:p>
        </w:tc>
        <w:tc>
          <w:tcPr>
            <w:tcW w:w="11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7040" w:type="dxa"/>
            <w:vAlign w:val="bottom"/>
          </w:tcPr>
          <w:p>
            <w:pPr>
              <w:spacing w:after="0"/>
              <w:rPr>
                <w:sz w:val="18"/>
                <w:szCs w:val="18"/>
                <w:color w:val="auto"/>
              </w:rPr>
            </w:pPr>
          </w:p>
        </w:tc>
      </w:t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560" w:type="dxa"/>
            <w:vAlign w:val="bottom"/>
          </w:tcPr>
          <w:p>
            <w:pPr>
              <w:jc w:val="right"/>
              <w:ind w:right="1770"/>
              <w:spacing w:after="0"/>
              <w:rPr>
                <w:sz w:val="20"/>
                <w:szCs w:val="20"/>
                <w:color w:val="auto"/>
              </w:rPr>
            </w:pPr>
            <w:r>
              <w:rPr>
                <w:rFonts w:ascii="Times New Roman" w:cs="Times New Roman" w:eastAsia="Times New Roman" w:hAnsi="Times New Roman"/>
                <w:sz w:val="18"/>
                <w:szCs w:val="18"/>
                <w:b w:val="1"/>
                <w:bCs w:val="1"/>
                <w:color w:val="auto"/>
              </w:rPr>
              <w:t>)</w:t>
            </w:r>
          </w:p>
        </w:tc>
        <w:tc>
          <w:tcPr>
            <w:tcW w:w="81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/s/ Ya Li</w:t>
            </w:r>
          </w:p>
        </w:tc>
      </w:tr>
      <w:tr>
        <w:trPr>
          <w:trHeight w:val="20"/>
        </w:trPr>
        <w:tc>
          <w:tcPr>
            <w:tcW w:w="7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40" w:type="dxa"/>
            <w:vAlign w:val="bottom"/>
            <w:shd w:val="clear" w:color="auto" w:fill="000000"/>
          </w:tcPr>
          <w:p>
            <w:pPr>
              <w:spacing w:after="0" w:line="20" w:lineRule="exact"/>
              <w:rPr>
                <w:sz w:val="1"/>
                <w:szCs w:val="1"/>
                <w:color w:val="auto"/>
              </w:rPr>
            </w:pPr>
          </w:p>
        </w:tc>
      </w:tr>
    </w:tbl>
    <w:p>
      <w:pPr>
        <w:spacing w:after="0" w:line="19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DIRECTOR / 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SIGNATURE PAGE</w:t>
            </w:r>
          </w:p>
        </w:tc>
        <w:tc>
          <w:tcPr>
            <w:tcW w:w="40" w:type="dxa"/>
            <w:vAlign w:val="bottom"/>
          </w:tcPr>
          <w:p>
            <w:pPr>
              <w:spacing w:after="0"/>
              <w:rPr>
                <w:sz w:val="20"/>
                <w:szCs w:val="20"/>
                <w:color w:val="auto"/>
              </w:rPr>
            </w:pP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For execution by the Lender</w:t>
            </w:r>
          </w:p>
        </w:tc>
        <w:tc>
          <w:tcPr>
            <w:tcW w:w="86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30"/>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and DELIVERED </w:t>
            </w:r>
            <w:r>
              <w:rPr>
                <w:rFonts w:ascii="Times New Roman" w:cs="Times New Roman" w:eastAsia="Times New Roman" w:hAnsi="Times New Roman"/>
                <w:sz w:val="18"/>
                <w:szCs w:val="18"/>
                <w:color w:val="auto"/>
              </w:rPr>
              <w:t>by</w:t>
            </w: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3520" w:type="dxa"/>
            <w:vAlign w:val="bottom"/>
          </w:tcPr>
          <w:p>
            <w:pPr>
              <w:spacing w:after="0"/>
              <w:rPr>
                <w:sz w:val="18"/>
                <w:szCs w:val="18"/>
                <w:color w:val="auto"/>
              </w:rPr>
            </w:pP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tc>
        <w:tc>
          <w:tcPr>
            <w:tcW w:w="79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/s/ Shuang Liu</w:t>
            </w:r>
          </w:p>
        </w:tc>
        <w:tc>
          <w:tcPr>
            <w:tcW w:w="40" w:type="dxa"/>
            <w:vAlign w:val="bottom"/>
          </w:tcPr>
          <w:p>
            <w:pPr>
              <w:spacing w:after="0"/>
              <w:rPr>
                <w:sz w:val="20"/>
                <w:szCs w:val="20"/>
                <w:color w:val="auto"/>
              </w:rPr>
            </w:pPr>
          </w:p>
        </w:tc>
      </w:tr>
      <w:tr>
        <w:trPr>
          <w:trHeight w:val="426"/>
        </w:trPr>
        <w:tc>
          <w:tcPr>
            <w:tcW w:w="3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DIRECTOR / AUTHORISED SIGNATORY</w:t>
            </w:r>
          </w:p>
        </w:tc>
        <w:tc>
          <w:tcPr>
            <w:tcW w:w="40" w:type="dxa"/>
            <w:vAlign w:val="bottom"/>
          </w:tcPr>
          <w:p>
            <w:pPr>
              <w:spacing w:after="0"/>
              <w:rPr>
                <w:sz w:val="24"/>
                <w:szCs w:val="24"/>
                <w:color w:val="auto"/>
              </w:rPr>
            </w:pPr>
          </w:p>
        </w:tc>
      </w:tr>
      <w:tr>
        <w:trPr>
          <w:trHeight w:val="348"/>
        </w:trPr>
        <w:tc>
          <w:tcPr>
            <w:tcW w:w="35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70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4.47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2, 2016</w:t>
      </w:r>
    </w:p>
    <w:p>
      <w:pPr>
        <w:spacing w:after="0" w:line="225" w:lineRule="exact"/>
        <w:rPr>
          <w:sz w:val="20"/>
          <w:szCs w:val="20"/>
          <w:color w:val="auto"/>
        </w:rPr>
      </w:pPr>
    </w:p>
    <w:p>
      <w:pPr>
        <w:ind w:left="5240" w:right="4920" w:hanging="319"/>
        <w:spacing w:after="0" w:line="317" w:lineRule="auto"/>
        <w:tabs>
          <w:tab w:leader="none" w:pos="5178" w:val="left"/>
        </w:tabs>
        <w:numPr>
          <w:ilvl w:val="2"/>
          <w:numId w:val="2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PARTICLE INC. as Borrower</w:t>
      </w:r>
    </w:p>
    <w:p>
      <w:pPr>
        <w:spacing w:after="0" w:line="131" w:lineRule="exact"/>
        <w:rPr>
          <w:rFonts w:ascii="Times New Roman" w:cs="Times New Roman" w:eastAsia="Times New Roman" w:hAnsi="Times New Roman"/>
          <w:sz w:val="17"/>
          <w:szCs w:val="17"/>
          <w:b w:val="1"/>
          <w:bCs w:val="1"/>
          <w:color w:val="auto"/>
        </w:rPr>
      </w:pPr>
    </w:p>
    <w:p>
      <w:pPr>
        <w:ind w:left="5080" w:right="4720" w:hanging="343"/>
        <w:spacing w:after="0" w:line="286" w:lineRule="auto"/>
        <w:tabs>
          <w:tab w:leader="none" w:pos="4983" w:val="left"/>
        </w:tabs>
        <w:numPr>
          <w:ilvl w:val="1"/>
          <w:numId w:val="2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Particle (HK) Limited as a Covenantor</w:t>
      </w:r>
    </w:p>
    <w:p>
      <w:pPr>
        <w:spacing w:after="0" w:line="154" w:lineRule="exact"/>
        <w:rPr>
          <w:rFonts w:ascii="Times New Roman" w:cs="Times New Roman" w:eastAsia="Times New Roman" w:hAnsi="Times New Roman"/>
          <w:sz w:val="18"/>
          <w:szCs w:val="18"/>
          <w:b w:val="1"/>
          <w:bCs w:val="1"/>
          <w:color w:val="auto"/>
        </w:rPr>
      </w:pPr>
    </w:p>
    <w:p>
      <w:pPr>
        <w:ind w:left="3920" w:hanging="245"/>
        <w:spacing w:after="0"/>
        <w:tabs>
          <w:tab w:leader="none" w:pos="3920" w:val="left"/>
        </w:tabs>
        <w:numPr>
          <w:ilvl w:val="0"/>
          <w:numId w:val="2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Beijing Particle Information Technology Co., Ltd.</w:t>
      </w:r>
    </w:p>
    <w:p>
      <w:pPr>
        <w:spacing w:after="0" w:line="31" w:lineRule="exact"/>
        <w:rPr>
          <w:sz w:val="20"/>
          <w:szCs w:val="20"/>
          <w:color w:val="auto"/>
        </w:rPr>
      </w:pPr>
    </w:p>
    <w:p>
      <w:pPr>
        <w:ind w:left="4900"/>
        <w:spacing w:after="0"/>
        <w:tabs>
          <w:tab w:leader="none" w:pos="646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 Covenantor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 Beijing Yidianwangju Technology Co., Ltd.</w:t>
      </w:r>
    </w:p>
    <w:p>
      <w:pPr>
        <w:spacing w:after="0" w:line="31" w:lineRule="exact"/>
        <w:rPr>
          <w:sz w:val="20"/>
          <w:szCs w:val="20"/>
          <w:color w:val="auto"/>
        </w:rPr>
      </w:pPr>
    </w:p>
    <w:p>
      <w:pPr>
        <w:ind w:left="6360" w:hanging="1354"/>
        <w:spacing w:after="0"/>
        <w:tabs>
          <w:tab w:leader="none" w:pos="6360" w:val="left"/>
        </w:tabs>
        <w:numPr>
          <w:ilvl w:val="0"/>
          <w:numId w:val="2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9" w:lineRule="exact"/>
        <w:rPr>
          <w:rFonts w:ascii="Times New Roman" w:cs="Times New Roman" w:eastAsia="Times New Roman" w:hAnsi="Times New Roman"/>
          <w:sz w:val="18"/>
          <w:szCs w:val="18"/>
          <w:b w:val="1"/>
          <w:bCs w:val="1"/>
          <w:color w:val="auto"/>
        </w:rPr>
      </w:pPr>
    </w:p>
    <w:p>
      <w:pPr>
        <w:ind w:left="50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 a Covenantor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ind w:left="4980" w:right="4160" w:hanging="806"/>
        <w:spacing w:after="0" w:line="286" w:lineRule="auto"/>
        <w:tabs>
          <w:tab w:leader="none" w:pos="4425" w:val="left"/>
        </w:tabs>
        <w:numPr>
          <w:ilvl w:val="0"/>
          <w:numId w:val="2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PHOENIX NEW MEDIA LIMITED as Original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180975</wp:posOffset>
            </wp:positionV>
            <wp:extent cx="182689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506730</wp:posOffset>
            </wp:positionV>
            <wp:extent cx="726757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6560" w:type="dxa"/>
            <w:vAlign w:val="bottom"/>
            <w:gridSpan w:val="4"/>
          </w:tcPr>
          <w:p>
            <w:pPr>
              <w:jc w:val="right"/>
              <w:ind w:right="5240"/>
              <w:spacing w:after="0"/>
              <w:rPr>
                <w:sz w:val="20"/>
                <w:szCs w:val="20"/>
                <w:color w:val="auto"/>
              </w:rPr>
            </w:pPr>
            <w:r>
              <w:rPr>
                <w:rFonts w:ascii="Times New Roman" w:cs="Times New Roman" w:eastAsia="Times New Roman" w:hAnsi="Times New Roman"/>
                <w:sz w:val="18"/>
                <w:szCs w:val="18"/>
                <w:b w:val="1"/>
                <w:bCs w:val="1"/>
                <w:color w:val="auto"/>
              </w:rPr>
              <w:t>CONTENTS</w:t>
            </w:r>
          </w:p>
        </w:tc>
      </w:tr>
      <w:tr>
        <w:trPr>
          <w:trHeight w:val="365"/>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CLAUSE</w:t>
            </w:r>
          </w:p>
        </w:tc>
        <w:tc>
          <w:tcPr>
            <w:tcW w:w="38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1"/>
        </w:trPr>
        <w:tc>
          <w:tcPr>
            <w:tcW w:w="20" w:type="dxa"/>
            <w:vAlign w:val="bottom"/>
          </w:tcPr>
          <w:p>
            <w:pPr>
              <w:spacing w:after="0"/>
              <w:rPr>
                <w:sz w:val="16"/>
                <w:szCs w:val="16"/>
                <w:color w:val="auto"/>
              </w:rPr>
            </w:pPr>
          </w:p>
        </w:tc>
        <w:tc>
          <w:tcPr>
            <w:tcW w:w="1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w:t>
            </w:r>
          </w:p>
        </w:tc>
        <w:tc>
          <w:tcPr>
            <w:tcW w:w="3860" w:type="dxa"/>
            <w:vAlign w:val="bottom"/>
            <w:tcBorders>
              <w:top w:val="single" w:sz="8" w:color="auto"/>
            </w:tcBorders>
          </w:tcPr>
          <w:p>
            <w:pPr>
              <w:ind w:left="440"/>
              <w:spacing w:after="0" w:line="191" w:lineRule="exact"/>
              <w:rPr>
                <w:sz w:val="20"/>
                <w:szCs w:val="20"/>
                <w:color w:val="auto"/>
              </w:rPr>
            </w:pPr>
            <w:r>
              <w:rPr>
                <w:rFonts w:ascii="Times New Roman" w:cs="Times New Roman" w:eastAsia="Times New Roman" w:hAnsi="Times New Roman"/>
                <w:sz w:val="18"/>
                <w:szCs w:val="18"/>
                <w:color w:val="auto"/>
              </w:rPr>
              <w:t>DEFINITIONS AND INTERPRETATION</w:t>
            </w:r>
          </w:p>
        </w:tc>
        <w:tc>
          <w:tcPr>
            <w:tcW w:w="51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FACILITY</w:t>
            </w:r>
          </w:p>
        </w:tc>
        <w:tc>
          <w:tcPr>
            <w:tcW w:w="6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PURPOSE</w:t>
            </w:r>
          </w:p>
        </w:tc>
        <w:tc>
          <w:tcPr>
            <w:tcW w:w="6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CONDITIONS OF UTILISATION</w:t>
            </w:r>
          </w:p>
        </w:tc>
        <w:tc>
          <w:tcPr>
            <w:tcW w:w="6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UTILISATION</w:t>
            </w:r>
          </w:p>
        </w:tc>
        <w:tc>
          <w:tcPr>
            <w:tcW w:w="6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w:t>
            </w:r>
          </w:p>
        </w:tc>
        <w:tc>
          <w:tcPr>
            <w:tcW w:w="6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REPAYMENT</w:t>
            </w:r>
          </w:p>
        </w:tc>
        <w:tc>
          <w:tcPr>
            <w:tcW w:w="6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PREPAYMENT AND CANCELLATION</w:t>
            </w:r>
          </w:p>
        </w:tc>
        <w:tc>
          <w:tcPr>
            <w:tcW w:w="6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TAX GROSS UP AND INDEMNITIES</w:t>
            </w:r>
          </w:p>
        </w:tc>
        <w:tc>
          <w:tcPr>
            <w:tcW w:w="6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INCREASED COSTS</w:t>
            </w:r>
          </w:p>
        </w:tc>
        <w:tc>
          <w:tcPr>
            <w:tcW w:w="6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MITIGATION BY THE LENDER</w:t>
            </w:r>
          </w:p>
        </w:tc>
        <w:tc>
          <w:tcPr>
            <w:tcW w:w="6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INDEMNITIES</w:t>
            </w:r>
          </w:p>
        </w:tc>
        <w:tc>
          <w:tcPr>
            <w:tcW w:w="6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COSTS, EXPENSES AND FEE</w:t>
            </w:r>
          </w:p>
        </w:tc>
        <w:tc>
          <w:tcPr>
            <w:tcW w:w="6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REPRESENTATIONS</w:t>
            </w:r>
          </w:p>
        </w:tc>
        <w:tc>
          <w:tcPr>
            <w:tcW w:w="6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INFORMATION UNDERTAKINGS</w:t>
            </w:r>
          </w:p>
        </w:tc>
        <w:tc>
          <w:tcPr>
            <w:tcW w:w="6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16.</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GENERAL UNDERTAKINGS</w:t>
            </w:r>
          </w:p>
        </w:tc>
        <w:tc>
          <w:tcPr>
            <w:tcW w:w="6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17.</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EVENTS OF DEFAULT</w:t>
            </w:r>
          </w:p>
        </w:tc>
        <w:tc>
          <w:tcPr>
            <w:tcW w:w="6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18.</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CHANGES TO THE LENDER</w:t>
            </w:r>
          </w:p>
        </w:tc>
        <w:tc>
          <w:tcPr>
            <w:tcW w:w="6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19.</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CHANGES TO THE OBLIGORS</w:t>
            </w:r>
          </w:p>
        </w:tc>
        <w:tc>
          <w:tcPr>
            <w:tcW w:w="6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DISCLOSURE OF INFORMATION</w:t>
            </w:r>
          </w:p>
        </w:tc>
        <w:tc>
          <w:tcPr>
            <w:tcW w:w="6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PAYMENT MECHANICS</w:t>
            </w:r>
          </w:p>
        </w:tc>
        <w:tc>
          <w:tcPr>
            <w:tcW w:w="6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SET-OFF</w:t>
            </w:r>
          </w:p>
        </w:tc>
        <w:tc>
          <w:tcPr>
            <w:tcW w:w="6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NOTICES</w:t>
            </w:r>
          </w:p>
        </w:tc>
        <w:tc>
          <w:tcPr>
            <w:tcW w:w="6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CALCULATIONS AND CERTIFICATES</w:t>
            </w:r>
          </w:p>
        </w:tc>
        <w:tc>
          <w:tcPr>
            <w:tcW w:w="6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PARTIAL INVALIDITY</w:t>
            </w:r>
          </w:p>
        </w:tc>
        <w:tc>
          <w:tcPr>
            <w:tcW w:w="6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26.</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REMEDIES AND WAIVERS</w:t>
            </w:r>
          </w:p>
        </w:tc>
        <w:tc>
          <w:tcPr>
            <w:tcW w:w="6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27.</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AMENDMENTS AND WAIVERS</w:t>
            </w:r>
          </w:p>
        </w:tc>
        <w:tc>
          <w:tcPr>
            <w:tcW w:w="6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28.</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COUNTERPARTS</w:t>
            </w:r>
          </w:p>
        </w:tc>
        <w:tc>
          <w:tcPr>
            <w:tcW w:w="6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29.</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GOVERNING LAW</w:t>
            </w:r>
          </w:p>
        </w:tc>
        <w:tc>
          <w:tcPr>
            <w:tcW w:w="6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DISPUTE RESOLUTION</w:t>
            </w:r>
          </w:p>
        </w:tc>
        <w:tc>
          <w:tcPr>
            <w:tcW w:w="6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bl>
    <w:p>
      <w:pPr>
        <w:spacing w:after="0"/>
        <w:rPr>
          <w:sz w:val="20"/>
          <w:szCs w:val="20"/>
          <w:color w:val="auto"/>
        </w:rPr>
      </w:pPr>
      <w:r>
        <w:rPr>
          <w:rFonts w:ascii="Times New Roman" w:cs="Times New Roman" w:eastAsia="Times New Roman" w:hAnsi="Times New Roman"/>
          <w:sz w:val="18"/>
          <w:szCs w:val="18"/>
          <w:color w:val="auto"/>
        </w:rPr>
        <w:t>SCHEDULE 1 CONDITIONS PRECEDENT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2 FORM OF UTILISATION REQUEST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 FORM OF TRANSFER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is dated November 2, 2016 and made between:</w:t>
      </w:r>
    </w:p>
    <w:p>
      <w:pPr>
        <w:spacing w:after="0" w:line="225" w:lineRule="exact"/>
        <w:rPr>
          <w:sz w:val="20"/>
          <w:szCs w:val="20"/>
          <w:color w:val="auto"/>
        </w:rPr>
      </w:pPr>
    </w:p>
    <w:p>
      <w:pPr>
        <w:ind w:left="660" w:hanging="652"/>
        <w:spacing w:after="0"/>
        <w:tabs>
          <w:tab w:leader="none" w:pos="66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PARTICLE INC.</w:t>
      </w:r>
      <w:r>
        <w:rPr>
          <w:rFonts w:ascii="Times New Roman" w:cs="Times New Roman" w:eastAsia="Times New Roman" w:hAnsi="Times New Roman"/>
          <w:sz w:val="18"/>
          <w:szCs w:val="18"/>
          <w:color w:val="auto"/>
        </w:rPr>
        <w:t>, an exempted limited liability company organized under the laws of the Cayman Islands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117" w:right="239" w:bottom="0" w:gutter="0" w:footer="0" w:header="0"/>
        </w:sectPr>
      </w:pPr>
    </w:p>
    <w:bookmarkStart w:id="167" w:name="page168"/>
    <w:bookmarkEnd w:id="167"/>
    <w:p>
      <w:pPr>
        <w:ind w:left="660" w:right="300" w:hanging="652"/>
        <w:spacing w:after="0" w:line="286" w:lineRule="auto"/>
        <w:tabs>
          <w:tab w:leader="none" w:pos="671"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PARTICLE (HK) LIMITED</w:t>
      </w:r>
      <w:r>
        <w:rPr>
          <w:rFonts w:ascii="Times New Roman" w:cs="Times New Roman" w:eastAsia="Times New Roman" w:hAnsi="Times New Roman"/>
          <w:sz w:val="18"/>
          <w:szCs w:val="18"/>
          <w:color w:val="auto"/>
        </w:rPr>
        <w:t>, a company organized under the laws of the Hong Kong and a Subsidiary (as defined herein) of the Borrower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HK Subsidiary</w:t>
      </w:r>
      <w:r>
        <w:rPr>
          <w:rFonts w:ascii="Times New Roman" w:cs="Times New Roman" w:eastAsia="Times New Roman" w:hAnsi="Times New Roman"/>
          <w:sz w:val="18"/>
          <w:szCs w:val="18"/>
          <w:color w:val="auto"/>
        </w:rPr>
        <w: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5"/>
              </w:rPr>
              <w:t>(3)</w:t>
            </w:r>
          </w:p>
        </w:tc>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BEIJING PARTICLE INFORMATION TECHNOLOGY CO., LTD. (</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company incorporated under the laws of the PRC</w:t>
            </w:r>
          </w:p>
        </w:tc>
      </w:tr>
      <w:tr>
        <w:trPr>
          <w:trHeight w:val="238"/>
        </w:trPr>
        <w:tc>
          <w:tcPr>
            <w:tcW w:w="440" w:type="dxa"/>
            <w:vAlign w:val="bottom"/>
          </w:tcPr>
          <w:p>
            <w:pPr>
              <w:spacing w:after="0"/>
              <w:rPr>
                <w:sz w:val="20"/>
                <w:szCs w:val="20"/>
                <w:color w:val="auto"/>
              </w:rPr>
            </w:pPr>
          </w:p>
        </w:tc>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a Subsidiary (as defined herein) of the Borrower (the “</w:t>
            </w:r>
            <w:r>
              <w:rPr>
                <w:rFonts w:ascii="Times New Roman" w:cs="Times New Roman" w:eastAsia="Times New Roman" w:hAnsi="Times New Roman"/>
                <w:sz w:val="18"/>
                <w:szCs w:val="18"/>
                <w:b w:val="1"/>
                <w:bCs w:val="1"/>
                <w:color w:val="auto"/>
              </w:rPr>
              <w:t>PRC Subsidiary</w:t>
            </w:r>
            <w:r>
              <w:rPr>
                <w:rFonts w:ascii="Times New Roman" w:cs="Times New Roman" w:eastAsia="Times New Roman" w:hAnsi="Times New Roman"/>
                <w:sz w:val="18"/>
                <w:szCs w:val="18"/>
                <w:color w:val="auto"/>
              </w:rPr>
              <w:t>”);</w:t>
            </w:r>
          </w:p>
        </w:tc>
        <w:tc>
          <w:tcPr>
            <w:tcW w:w="4960" w:type="dxa"/>
            <w:vAlign w:val="bottom"/>
          </w:tcPr>
          <w:p>
            <w:pPr>
              <w:spacing w:after="0"/>
              <w:rPr>
                <w:sz w:val="20"/>
                <w:szCs w:val="20"/>
                <w:color w:val="auto"/>
              </w:rPr>
            </w:pPr>
          </w:p>
        </w:tc>
      </w:tr>
      <w:tr>
        <w:trPr>
          <w:trHeight w:val="432"/>
        </w:trPr>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5"/>
              </w:rPr>
              <w:t>(4)</w:t>
            </w:r>
          </w:p>
        </w:tc>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BEIJING YIDIANWANGJU TECHNOLOGY CO., LTD. (</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company incorporated under the laws of the PRC and a variable</w:t>
            </w:r>
          </w:p>
        </w:tc>
      </w:tr>
    </w:tbl>
    <w:p>
      <w:pPr>
        <w:ind w:left="660"/>
        <w:spacing w:after="0"/>
        <w:rPr>
          <w:sz w:val="20"/>
          <w:szCs w:val="20"/>
          <w:color w:val="auto"/>
        </w:rPr>
      </w:pPr>
      <w:r>
        <w:rPr>
          <w:rFonts w:ascii="Times New Roman" w:cs="Times New Roman" w:eastAsia="Times New Roman" w:hAnsi="Times New Roman"/>
          <w:sz w:val="18"/>
          <w:szCs w:val="18"/>
          <w:color w:val="auto"/>
        </w:rPr>
        <w:t>interest entity and Subsidiary (as defined herein) of the Borrower (the “</w:t>
      </w:r>
      <w:r>
        <w:rPr>
          <w:rFonts w:ascii="Times New Roman" w:cs="Times New Roman" w:eastAsia="Times New Roman" w:hAnsi="Times New Roman"/>
          <w:sz w:val="18"/>
          <w:szCs w:val="18"/>
          <w:b w:val="1"/>
          <w:bCs w:val="1"/>
          <w:color w:val="auto"/>
        </w:rPr>
        <w:t>PRC VIE</w:t>
      </w:r>
      <w:r>
        <w:rPr>
          <w:rFonts w:ascii="Times New Roman" w:cs="Times New Roman" w:eastAsia="Times New Roman" w:hAnsi="Times New Roman"/>
          <w:sz w:val="18"/>
          <w:szCs w:val="18"/>
          <w:color w:val="auto"/>
        </w:rPr>
        <w:t>”); and</w:t>
      </w:r>
    </w:p>
    <w:p>
      <w:pPr>
        <w:spacing w:after="0" w:line="203" w:lineRule="exact"/>
        <w:rPr>
          <w:sz w:val="20"/>
          <w:szCs w:val="20"/>
          <w:color w:val="auto"/>
        </w:rPr>
      </w:pPr>
    </w:p>
    <w:p>
      <w:pPr>
        <w:ind w:left="660" w:right="440" w:hanging="652"/>
        <w:spacing w:after="0" w:line="286" w:lineRule="auto"/>
        <w:tabs>
          <w:tab w:leader="none" w:pos="667"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PHOENIX NEW MEDIA LIMITED</w:t>
      </w:r>
      <w:r>
        <w:rPr>
          <w:rFonts w:ascii="Times New Roman" w:cs="Times New Roman" w:eastAsia="Times New Roman" w:hAnsi="Times New Roman"/>
          <w:sz w:val="18"/>
          <w:szCs w:val="18"/>
          <w:color w:val="auto"/>
        </w:rPr>
        <w:t>, an exempted limited liability company organized under the laws of the Cayman Islands (the “</w:t>
      </w:r>
      <w:r>
        <w:rPr>
          <w:rFonts w:ascii="Times New Roman" w:cs="Times New Roman" w:eastAsia="Times New Roman" w:hAnsi="Times New Roman"/>
          <w:sz w:val="18"/>
          <w:szCs w:val="18"/>
          <w:b w:val="1"/>
          <w:bCs w:val="1"/>
          <w:color w:val="auto"/>
        </w:rPr>
        <w:t>Original Lender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 IS AGREED </w:t>
      </w:r>
      <w:r>
        <w:rPr>
          <w:rFonts w:ascii="Times New Roman" w:cs="Times New Roman" w:eastAsia="Times New Roman" w:hAnsi="Times New Roman"/>
          <w:sz w:val="18"/>
          <w:szCs w:val="18"/>
          <w:color w:val="auto"/>
        </w:rPr>
        <w:t>as follows:</w:t>
      </w:r>
    </w:p>
    <w:p>
      <w:pPr>
        <w:spacing w:after="0" w:line="225" w:lineRule="exact"/>
        <w:rPr>
          <w:sz w:val="20"/>
          <w:szCs w:val="20"/>
          <w:color w:val="auto"/>
        </w:rPr>
      </w:pPr>
    </w:p>
    <w:p>
      <w:pPr>
        <w:ind w:left="660" w:hanging="652"/>
        <w:spacing w:after="0"/>
        <w:tabs>
          <w:tab w:leader="none" w:pos="660" w:val="left"/>
        </w:tabs>
        <w:numPr>
          <w:ilvl w:val="0"/>
          <w:numId w:val="2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this Agreement:</w:t>
      </w:r>
    </w:p>
    <w:p>
      <w:pPr>
        <w:spacing w:after="0" w:line="221" w:lineRule="exact"/>
        <w:rPr>
          <w:sz w:val="20"/>
          <w:szCs w:val="20"/>
          <w:color w:val="auto"/>
        </w:rPr>
      </w:pPr>
    </w:p>
    <w:p>
      <w:pPr>
        <w:ind w:left="6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in relation to any person, a Subsidiary of that person or a Holding Company of that person or any other Subsidiary of that Holding Company.</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Authorisation</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1300" w:hanging="653"/>
        <w:spacing w:after="0"/>
        <w:tabs>
          <w:tab w:leader="none" w:pos="130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authorisation, consent, approval, resolution, licence, exemption, filing, notarisation, lodgement or registration; or</w:t>
      </w:r>
    </w:p>
    <w:p>
      <w:pPr>
        <w:spacing w:after="0" w:line="225" w:lineRule="exact"/>
        <w:rPr>
          <w:rFonts w:ascii="Times New Roman" w:cs="Times New Roman" w:eastAsia="Times New Roman" w:hAnsi="Times New Roman"/>
          <w:sz w:val="18"/>
          <w:szCs w:val="18"/>
          <w:color w:val="auto"/>
        </w:rPr>
      </w:pPr>
    </w:p>
    <w:p>
      <w:pPr>
        <w:ind w:left="1300" w:right="100" w:hanging="653"/>
        <w:spacing w:after="0" w:line="282" w:lineRule="auto"/>
        <w:tabs>
          <w:tab w:leader="none" w:pos="1311"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anything which will be fully or partly prohibited or restricted by law if a Governmental Agency intervenes or acts in any way within a specified period after lodgement, filing, registration or notification, the expiry of that period without intervention or action.</w:t>
      </w:r>
    </w:p>
    <w:p>
      <w:pPr>
        <w:spacing w:after="0" w:line="158" w:lineRule="exact"/>
        <w:rPr>
          <w:sz w:val="20"/>
          <w:szCs w:val="20"/>
          <w:color w:val="auto"/>
        </w:rPr>
      </w:pPr>
    </w:p>
    <w:p>
      <w:pPr>
        <w:ind w:left="640" w:right="5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Availability Period</w:t>
      </w:r>
      <w:r>
        <w:rPr>
          <w:rFonts w:ascii="Times New Roman" w:cs="Times New Roman" w:eastAsia="Times New Roman" w:hAnsi="Times New Roman"/>
          <w:sz w:val="18"/>
          <w:szCs w:val="18"/>
          <w:color w:val="auto"/>
        </w:rPr>
        <w:t>” means the period from and including the Execution Date to and including January 15, 2017 (or any other date as agreed between the Parties in writing).</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Facility</w:t>
      </w:r>
      <w:r>
        <w:rPr>
          <w:rFonts w:ascii="Times New Roman" w:cs="Times New Roman" w:eastAsia="Times New Roman" w:hAnsi="Times New Roman"/>
          <w:sz w:val="18"/>
          <w:szCs w:val="18"/>
          <w:color w:val="auto"/>
        </w:rPr>
        <w:t>” means the undrawn, uncancelled balance of the Facility.</w:t>
      </w:r>
    </w:p>
    <w:p>
      <w:pPr>
        <w:spacing w:after="0" w:line="225" w:lineRule="exact"/>
        <w:rPr>
          <w:sz w:val="20"/>
          <w:szCs w:val="20"/>
          <w:color w:val="auto"/>
        </w:rPr>
      </w:pPr>
    </w:p>
    <w:p>
      <w:pPr>
        <w:ind w:left="640" w:right="3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or Sunday) on which banks are open for general business in Hong Kong, New York and the PRC.</w:t>
      </w:r>
    </w:p>
    <w:p>
      <w:pPr>
        <w:spacing w:after="0" w:line="155" w:lineRule="exact"/>
        <w:rPr>
          <w:sz w:val="20"/>
          <w:szCs w:val="20"/>
          <w:color w:val="auto"/>
        </w:rPr>
      </w:pPr>
    </w:p>
    <w:p>
      <w:pPr>
        <w:ind w:left="640" w:right="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Coercive Practice</w:t>
      </w:r>
      <w:r>
        <w:rPr>
          <w:rFonts w:ascii="Times New Roman" w:cs="Times New Roman" w:eastAsia="Times New Roman" w:hAnsi="Times New Roman"/>
          <w:sz w:val="18"/>
          <w:szCs w:val="18"/>
          <w:color w:val="auto"/>
        </w:rPr>
        <w:t>” means impairing or harming or threatening to impair or harm, directly or indirectly, any party or its property or persons closely related to a party, to improperly influence the actions of that party.</w:t>
      </w:r>
    </w:p>
    <w:p>
      <w:pPr>
        <w:spacing w:after="0" w:line="155" w:lineRule="exact"/>
        <w:rPr>
          <w:sz w:val="20"/>
          <w:szCs w:val="20"/>
          <w:color w:val="auto"/>
        </w:rPr>
      </w:pPr>
    </w:p>
    <w:p>
      <w:pPr>
        <w:ind w:left="640" w:right="1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Collusive Practice</w:t>
      </w:r>
      <w:r>
        <w:rPr>
          <w:rFonts w:ascii="Times New Roman" w:cs="Times New Roman" w:eastAsia="Times New Roman" w:hAnsi="Times New Roman"/>
          <w:sz w:val="18"/>
          <w:szCs w:val="18"/>
          <w:color w:val="auto"/>
        </w:rPr>
        <w:t>” means an arrangement between two or more entities without the knowledge, but designed to improperly influence the actions, of another party.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40" w:right="5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Corrupt Practice</w:t>
      </w:r>
      <w:r>
        <w:rPr>
          <w:rFonts w:ascii="Times New Roman" w:cs="Times New Roman" w:eastAsia="Times New Roman" w:hAnsi="Times New Roman"/>
          <w:sz w:val="18"/>
          <w:szCs w:val="18"/>
          <w:color w:val="auto"/>
        </w:rPr>
        <w:t>” means the offering, giving, receiving, or soliciting, directly or indirectly, of anything of value to improperly influence the actions of another party and in violation of the applicable law.</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Covenantors</w:t>
      </w:r>
      <w:r>
        <w:rPr>
          <w:rFonts w:ascii="Times New Roman" w:cs="Times New Roman" w:eastAsia="Times New Roman" w:hAnsi="Times New Roman"/>
          <w:sz w:val="18"/>
          <w:szCs w:val="18"/>
          <w:color w:val="auto"/>
        </w:rPr>
        <w:t>” means the HK Subsidiary, the PRC Subsidiary and the PRC VIE.</w:t>
      </w:r>
    </w:p>
    <w:p>
      <w:pPr>
        <w:spacing w:after="0" w:line="225" w:lineRule="exact"/>
        <w:rPr>
          <w:sz w:val="20"/>
          <w:szCs w:val="20"/>
          <w:color w:val="auto"/>
        </w:rPr>
      </w:pPr>
    </w:p>
    <w:p>
      <w:pPr>
        <w:ind w:left="640" w:right="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 Event of Default or any event or circumstance specified in Clause 17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which would (with the expiry of a grace period, the giving of notice, the making of any determination under the Finance Documents or any combination of any of the foregoing) be an Event of Default.</w:t>
      </w:r>
    </w:p>
    <w:p>
      <w:pPr>
        <w:spacing w:after="0" w:line="171" w:lineRule="exact"/>
        <w:rPr>
          <w:sz w:val="20"/>
          <w:szCs w:val="20"/>
          <w:color w:val="auto"/>
        </w:rPr>
      </w:pPr>
    </w:p>
    <w:p>
      <w:pPr>
        <w:jc w:val="both"/>
        <w:ind w:left="640" w:right="2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dispose</w:t>
      </w:r>
      <w:r>
        <w:rPr>
          <w:rFonts w:ascii="Times New Roman" w:cs="Times New Roman" w:eastAsia="Times New Roman" w:hAnsi="Times New Roman"/>
          <w:sz w:val="18"/>
          <w:szCs w:val="18"/>
          <w:color w:val="auto"/>
        </w:rPr>
        <w:t>” means to make or to agree to make, and “</w:t>
      </w:r>
      <w:r>
        <w:rPr>
          <w:rFonts w:ascii="Times New Roman" w:cs="Times New Roman" w:eastAsia="Times New Roman" w:hAnsi="Times New Roman"/>
          <w:sz w:val="18"/>
          <w:szCs w:val="18"/>
          <w:b w:val="1"/>
          <w:bCs w:val="1"/>
          <w:color w:val="auto"/>
        </w:rPr>
        <w:t>disposal</w:t>
      </w:r>
      <w:r>
        <w:rPr>
          <w:rFonts w:ascii="Times New Roman" w:cs="Times New Roman" w:eastAsia="Times New Roman" w:hAnsi="Times New Roman"/>
          <w:sz w:val="18"/>
          <w:szCs w:val="18"/>
          <w:color w:val="auto"/>
        </w:rPr>
        <w:t>” means, any sale, assignment, exchange, transfer, concession, loan, lease, surrender, licence, direct or indirect reservation, waiver, compromise, release, dealing with or in or granting of any option, right of first refusal or any other right or interest whatsoever, or any agreement for any of the same.</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means the lawful currency for the time being of the United States of America.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means any event or circumstance specified as such in Clause 17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Execution Date</w:t>
      </w:r>
      <w:r>
        <w:rPr>
          <w:rFonts w:ascii="Times New Roman" w:cs="Times New Roman" w:eastAsia="Times New Roman" w:hAnsi="Times New Roman"/>
          <w:sz w:val="18"/>
          <w:szCs w:val="18"/>
          <w:color w:val="auto"/>
        </w:rPr>
        <w:t>” means the date of this Agreement.</w:t>
      </w:r>
    </w:p>
    <w:p>
      <w:pPr>
        <w:spacing w:after="0" w:line="225" w:lineRule="exact"/>
        <w:rPr>
          <w:sz w:val="20"/>
          <w:szCs w:val="20"/>
          <w:color w:val="auto"/>
        </w:rPr>
      </w:pPr>
    </w:p>
    <w:p>
      <w:pPr>
        <w:ind w:left="640"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Shareholders’ Agreement</w:t>
      </w:r>
      <w:r>
        <w:rPr>
          <w:rFonts w:ascii="Times New Roman" w:cs="Times New Roman" w:eastAsia="Times New Roman" w:hAnsi="Times New Roman"/>
          <w:sz w:val="18"/>
          <w:szCs w:val="18"/>
          <w:color w:val="auto"/>
        </w:rPr>
        <w:t>” means any agreement between the Borrower and/or the Covenantors and the shareholders of the Borrower in relation to the Borrower in effect immediately prior to the Execution Date.</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means the term loan facility made available under this Agreement as described in Clause 2 (</w:t>
      </w:r>
      <w:r>
        <w:rPr>
          <w:rFonts w:ascii="Times New Roman" w:cs="Times New Roman" w:eastAsia="Times New Roman" w:hAnsi="Times New Roman"/>
          <w:sz w:val="18"/>
          <w:szCs w:val="18"/>
          <w:i w:val="1"/>
          <w:iCs w:val="1"/>
          <w:color w:val="auto"/>
        </w:rPr>
        <w:t>The Facility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right="2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Office</w:t>
      </w:r>
      <w:r>
        <w:rPr>
          <w:rFonts w:ascii="Times New Roman" w:cs="Times New Roman" w:eastAsia="Times New Roman" w:hAnsi="Times New Roman"/>
          <w:sz w:val="18"/>
          <w:szCs w:val="18"/>
          <w:color w:val="auto"/>
        </w:rPr>
        <w:t>” means the office or offices notified by the Lender to the Borrower in writing on or before the Execution Date (or, following that date, by not less than five (5) Business Days’ written notice) as the office or offices through which it will perform its obligations under this Agreement.</w:t>
      </w:r>
    </w:p>
    <w:p>
      <w:pPr>
        <w:sectPr>
          <w:pgSz w:w="11900" w:h="16838" w:orient="portrait"/>
          <w:cols w:equalWidth="0" w:num="1">
            <w:col w:w="11400"/>
          </w:cols>
          <w:pgMar w:left="240" w:top="118" w:right="259" w:bottom="0" w:gutter="0" w:footer="0" w:header="0"/>
        </w:sectPr>
      </w:pPr>
    </w:p>
    <w:bookmarkStart w:id="168" w:name="page169"/>
    <w:bookmarkEnd w:id="168"/>
    <w:p>
      <w:pPr>
        <w:ind w:right="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Maturity Date</w:t>
      </w:r>
      <w:r>
        <w:rPr>
          <w:rFonts w:ascii="Times New Roman" w:cs="Times New Roman" w:eastAsia="Times New Roman" w:hAnsi="Times New Roman"/>
          <w:sz w:val="18"/>
          <w:szCs w:val="18"/>
          <w:color w:val="auto"/>
        </w:rPr>
        <w:t>” means the earlier of (i) the date which falls six (6) Months from the relevant Utilisation Date or (ii) closing of another round of financing by the Borrower or any of its Subsidiaries after the Execution Date through the issuance and sale of any equity securities or securities convertible or exchangeable into equity securities of the Borrower or any of its Subsidiaries, provided that if such day is not a Business Day, the Final Maturity Date shall be the next Business Day in that calendar month (if there is one) or the preceding Business Day (if there is not).</w:t>
      </w:r>
    </w:p>
    <w:p>
      <w:pPr>
        <w:spacing w:after="0" w:line="17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Finance Documents</w:t>
      </w:r>
      <w:r>
        <w:rPr>
          <w:rFonts w:ascii="Times New Roman" w:cs="Times New Roman" w:eastAsia="Times New Roman" w:hAnsi="Times New Roman"/>
          <w:sz w:val="18"/>
          <w:szCs w:val="18"/>
          <w:color w:val="auto"/>
        </w:rPr>
        <w:t>” means collectively this Agreement, any Utilisation Request, any Transfer Certificate and any other document designated as such by the Lender and the Borrower, and “</w:t>
      </w:r>
      <w:r>
        <w:rPr>
          <w:rFonts w:ascii="Times New Roman" w:cs="Times New Roman" w:eastAsia="Times New Roman" w:hAnsi="Times New Roman"/>
          <w:sz w:val="18"/>
          <w:szCs w:val="18"/>
          <w:b w:val="1"/>
          <w:bCs w:val="1"/>
          <w:color w:val="auto"/>
        </w:rPr>
        <w:t>Finance Document</w:t>
      </w:r>
      <w:r>
        <w:rPr>
          <w:rFonts w:ascii="Times New Roman" w:cs="Times New Roman" w:eastAsia="Times New Roman" w:hAnsi="Times New Roman"/>
          <w:sz w:val="18"/>
          <w:szCs w:val="18"/>
          <w:color w:val="auto"/>
        </w:rPr>
        <w:t>” means any one of them.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Indebtedness</w:t>
      </w:r>
      <w:r>
        <w:rPr>
          <w:rFonts w:ascii="Times New Roman" w:cs="Times New Roman" w:eastAsia="Times New Roman" w:hAnsi="Times New Roman"/>
          <w:sz w:val="18"/>
          <w:szCs w:val="18"/>
          <w:color w:val="auto"/>
        </w:rPr>
        <w:t>” means any indebtedness for or in respect of:</w:t>
      </w:r>
    </w:p>
    <w:p>
      <w:pPr>
        <w:spacing w:after="0" w:line="229" w:lineRule="exact"/>
        <w:rPr>
          <w:sz w:val="20"/>
          <w:szCs w:val="20"/>
          <w:color w:val="auto"/>
        </w:rPr>
      </w:pPr>
    </w:p>
    <w:p>
      <w:pPr>
        <w:ind w:left="640" w:hanging="624"/>
        <w:spacing w:after="0"/>
        <w:tabs>
          <w:tab w:leader="none" w:pos="64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moneys borrowed;</w:t>
      </w:r>
    </w:p>
    <w:p>
      <w:pPr>
        <w:spacing w:after="0" w:line="225" w:lineRule="exact"/>
        <w:rPr>
          <w:rFonts w:ascii="Times New Roman" w:cs="Times New Roman" w:eastAsia="Times New Roman" w:hAnsi="Times New Roman"/>
          <w:sz w:val="18"/>
          <w:szCs w:val="18"/>
          <w:color w:val="auto"/>
        </w:rPr>
      </w:pPr>
    </w:p>
    <w:p>
      <w:pPr>
        <w:ind w:left="660" w:hanging="644"/>
        <w:spacing w:after="0"/>
        <w:tabs>
          <w:tab w:leader="none" w:pos="66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raised by acceptance under any acceptance credit facility or dematerialised equivalent;</w:t>
      </w:r>
    </w:p>
    <w:p>
      <w:pPr>
        <w:spacing w:after="0" w:line="225" w:lineRule="exact"/>
        <w:rPr>
          <w:rFonts w:ascii="Times New Roman" w:cs="Times New Roman" w:eastAsia="Times New Roman" w:hAnsi="Times New Roman"/>
          <w:sz w:val="18"/>
          <w:szCs w:val="18"/>
          <w:color w:val="auto"/>
        </w:rPr>
      </w:pPr>
    </w:p>
    <w:p>
      <w:pPr>
        <w:ind w:left="5020" w:right="420" w:hanging="5004"/>
        <w:spacing w:after="0" w:line="532" w:lineRule="auto"/>
        <w:tabs>
          <w:tab w:leader="none" w:pos="653"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raised pursuant to any note purchase facility or the issue of bonds, notes, debentures, loan stock or any similar instrument; 2</w:t>
      </w: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660" w:right="80" w:hanging="644"/>
        <w:spacing w:after="0" w:line="282" w:lineRule="auto"/>
        <w:tabs>
          <w:tab w:leader="none" w:pos="654"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liability in respect of any lease or hire purchase contract which would, in accordance with GAAP, be treated as a finance or capital lease;</w:t>
      </w:r>
    </w:p>
    <w:p>
      <w:pPr>
        <w:spacing w:after="0" w:line="161" w:lineRule="exact"/>
        <w:rPr>
          <w:rFonts w:ascii="Times New Roman" w:cs="Times New Roman" w:eastAsia="Times New Roman" w:hAnsi="Times New Roman"/>
          <w:sz w:val="18"/>
          <w:szCs w:val="18"/>
          <w:color w:val="auto"/>
        </w:rPr>
      </w:pPr>
    </w:p>
    <w:p>
      <w:pPr>
        <w:ind w:left="660" w:hanging="644"/>
        <w:spacing w:after="0"/>
        <w:tabs>
          <w:tab w:leader="none" w:pos="66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sold or discounted (other than any receivables to the extent they are sold on a non-recourse basis);</w:t>
      </w:r>
    </w:p>
    <w:p>
      <w:pPr>
        <w:spacing w:after="0" w:line="225" w:lineRule="exact"/>
        <w:rPr>
          <w:rFonts w:ascii="Times New Roman" w:cs="Times New Roman" w:eastAsia="Times New Roman" w:hAnsi="Times New Roman"/>
          <w:sz w:val="18"/>
          <w:szCs w:val="18"/>
          <w:color w:val="auto"/>
        </w:rPr>
      </w:pPr>
    </w:p>
    <w:p>
      <w:pPr>
        <w:ind w:left="660" w:right="540" w:hanging="644"/>
        <w:spacing w:after="0" w:line="282" w:lineRule="auto"/>
        <w:tabs>
          <w:tab w:leader="none" w:pos="651"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raised under any other transaction (including any forward sale or purchase agreement) having the commercial effect of a borrowing;</w:t>
      </w:r>
    </w:p>
    <w:p>
      <w:pPr>
        <w:spacing w:after="0" w:line="161" w:lineRule="exact"/>
        <w:rPr>
          <w:rFonts w:ascii="Times New Roman" w:cs="Times New Roman" w:eastAsia="Times New Roman" w:hAnsi="Times New Roman"/>
          <w:sz w:val="18"/>
          <w:szCs w:val="18"/>
          <w:color w:val="auto"/>
        </w:rPr>
      </w:pPr>
    </w:p>
    <w:p>
      <w:pPr>
        <w:ind w:left="660" w:right="400" w:hanging="644"/>
        <w:spacing w:after="0" w:line="282" w:lineRule="auto"/>
        <w:tabs>
          <w:tab w:leader="none" w:pos="667"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transaction entered into in connection with protection against or benefit from fluctuation in any rate or price (and, when calculating the value of any derivative transaction, only the marked to market value shall be taken into account);</w:t>
      </w:r>
    </w:p>
    <w:p>
      <w:pPr>
        <w:spacing w:after="0" w:line="161" w:lineRule="exact"/>
        <w:rPr>
          <w:rFonts w:ascii="Times New Roman" w:cs="Times New Roman" w:eastAsia="Times New Roman" w:hAnsi="Times New Roman"/>
          <w:sz w:val="18"/>
          <w:szCs w:val="18"/>
          <w:color w:val="auto"/>
        </w:rPr>
      </w:pPr>
    </w:p>
    <w:p>
      <w:pPr>
        <w:ind w:left="660" w:hanging="644"/>
        <w:spacing w:after="0" w:line="282" w:lineRule="auto"/>
        <w:tabs>
          <w:tab w:leader="none" w:pos="654"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counter-indemnity obligation in respect of a guarantee, indemnity, bond, standby or documentary letter of credit or any other instrument issued by a bank or financial institution; and</w:t>
      </w:r>
    </w:p>
    <w:p>
      <w:pPr>
        <w:spacing w:after="0" w:line="161" w:lineRule="exact"/>
        <w:rPr>
          <w:rFonts w:ascii="Times New Roman" w:cs="Times New Roman" w:eastAsia="Times New Roman" w:hAnsi="Times New Roman"/>
          <w:sz w:val="18"/>
          <w:szCs w:val="18"/>
          <w:color w:val="auto"/>
        </w:rPr>
      </w:pPr>
    </w:p>
    <w:p>
      <w:pPr>
        <w:ind w:left="680" w:hanging="664"/>
        <w:spacing w:after="0"/>
        <w:tabs>
          <w:tab w:leader="none" w:pos="6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double counting) the amount of any liability in respect of any guarantee or indemnity for any of the items referred to in paragraphs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 (h)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-2576830</wp:posOffset>
            </wp:positionV>
            <wp:extent cx="726757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8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Financing of Terrorism</w:t>
      </w:r>
      <w:r>
        <w:rPr>
          <w:rFonts w:ascii="Times New Roman" w:cs="Times New Roman" w:eastAsia="Times New Roman" w:hAnsi="Times New Roman"/>
          <w:sz w:val="18"/>
          <w:szCs w:val="18"/>
          <w:color w:val="auto"/>
        </w:rPr>
        <w:t>” means the act of providing or collecting funds with the intention that they be used, or in the knowledge that they are to be used, in order to carry out terrorist acts.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Fraudulent Practice”</w:t>
      </w:r>
      <w:r>
        <w:rPr>
          <w:rFonts w:ascii="Times New Roman" w:cs="Times New Roman" w:eastAsia="Times New Roman" w:hAnsi="Times New Roman"/>
          <w:sz w:val="18"/>
          <w:szCs w:val="18"/>
          <w:color w:val="auto"/>
        </w:rPr>
        <w:t xml:space="preserve"> means any action, including misrepresentation, to obtain a financial or other benefit or avoid an obligation, by deception.</w:t>
      </w:r>
    </w:p>
    <w:p>
      <w:pPr>
        <w:spacing w:after="0" w:line="2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 Raising</w:t>
      </w:r>
      <w:r>
        <w:rPr>
          <w:rFonts w:ascii="Times New Roman" w:cs="Times New Roman" w:eastAsia="Times New Roman" w:hAnsi="Times New Roman"/>
          <w:sz w:val="18"/>
          <w:szCs w:val="18"/>
          <w:color w:val="auto"/>
        </w:rPr>
        <w:t>” means the fund raising works that the Lender or its associated companies carried out for the purposes of advancing the Facility to the Borrower under this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USA or PRC.</w:t>
      </w:r>
    </w:p>
    <w:p>
      <w:pPr>
        <w:spacing w:after="0" w:line="2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Agency</w:t>
      </w:r>
      <w:r>
        <w:rPr>
          <w:rFonts w:ascii="Times New Roman" w:cs="Times New Roman" w:eastAsia="Times New Roman" w:hAnsi="Times New Roman"/>
          <w:sz w:val="18"/>
          <w:szCs w:val="18"/>
          <w:color w:val="auto"/>
        </w:rPr>
        <w:t>” means any government or any governmental agency, semi-governmental or judicial entity or authority (including any stock exchange or any self-regulatory organisation established under statute).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the Borrower and its Subsidiaries for the time being.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Holding Company</w:t>
      </w:r>
      <w:r>
        <w:rPr>
          <w:rFonts w:ascii="Times New Roman" w:cs="Times New Roman" w:eastAsia="Times New Roman" w:hAnsi="Times New Roman"/>
          <w:sz w:val="18"/>
          <w:szCs w:val="18"/>
          <w:color w:val="auto"/>
        </w:rPr>
        <w:t>” means, in relation to a company or corporation, any other company or corporation in respect of which it is a Subsidiary.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Hong Kong</w:t>
      </w:r>
      <w:r>
        <w:rPr>
          <w:rFonts w:ascii="Times New Roman" w:cs="Times New Roman" w:eastAsia="Times New Roman" w:hAnsi="Times New Roman"/>
          <w:sz w:val="18"/>
          <w:szCs w:val="18"/>
          <w:color w:val="auto"/>
        </w:rPr>
        <w:t>” means the Hong Kong Special Administrative Region of the People’s Republic of China.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Indirect Tax</w:t>
      </w:r>
      <w:r>
        <w:rPr>
          <w:rFonts w:ascii="Times New Roman" w:cs="Times New Roman" w:eastAsia="Times New Roman" w:hAnsi="Times New Roman"/>
          <w:sz w:val="18"/>
          <w:szCs w:val="18"/>
          <w:color w:val="auto"/>
        </w:rPr>
        <w:t>” means any goods and services tax, consumption tax, value added tax or any tax of a similar 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Reservations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60" w:right="240" w:hanging="653"/>
        <w:spacing w:after="0" w:line="261" w:lineRule="auto"/>
        <w:tabs>
          <w:tab w:leader="none" w:pos="647"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principle that equitable remedies (or remedies that are similar to equitable remedies in any Relevant Jurisdiction) may be granted or refused at the discretion of a court, the limitation of enforcement by laws relating to insolvency, reorganisation, liquidation, bankruptcy, moratoria, administration, court schemes and other laws generally affecting the rights of creditors and similar principles, rights, defences and limitations under the laws of any applicable jurisdiction;</w:t>
      </w:r>
    </w:p>
    <w:p>
      <w:pPr>
        <w:spacing w:after="0" w:line="180" w:lineRule="exact"/>
        <w:rPr>
          <w:rFonts w:ascii="Times New Roman" w:cs="Times New Roman" w:eastAsia="Times New Roman" w:hAnsi="Times New Roman"/>
          <w:sz w:val="18"/>
          <w:szCs w:val="18"/>
          <w:color w:val="auto"/>
        </w:rPr>
      </w:pPr>
    </w:p>
    <w:p>
      <w:pPr>
        <w:ind w:left="660" w:right="160" w:hanging="653"/>
        <w:spacing w:after="0" w:line="282" w:lineRule="auto"/>
        <w:tabs>
          <w:tab w:leader="none" w:pos="657"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barring of claims under any applicable limitation laws, the possibility that a court may strike out provisions of a contract as being invalid for reasons of</w:t>
      </w:r>
    </w:p>
    <w:p>
      <w:pPr>
        <w:spacing w:after="0" w:line="16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83820</wp:posOffset>
            </wp:positionV>
            <wp:extent cx="726757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66" w:lineRule="auto"/>
        <w:rPr>
          <w:sz w:val="20"/>
          <w:szCs w:val="20"/>
          <w:color w:val="auto"/>
        </w:rPr>
      </w:pPr>
      <w:r>
        <w:rPr>
          <w:rFonts w:ascii="Times New Roman" w:cs="Times New Roman" w:eastAsia="Times New Roman" w:hAnsi="Times New Roman"/>
          <w:sz w:val="18"/>
          <w:szCs w:val="18"/>
          <w:color w:val="auto"/>
        </w:rPr>
        <w:t>oppression, undue influence or similar reasons, the possibility that an undertaking to assume liability for or indemnify a person against non-payment of stamp duty may be void, defences of set off or counterclaim and similar principles, rights, defences and limitations under the laws of any applicable jurisdiction; and</w:t>
      </w:r>
    </w:p>
    <w:p>
      <w:pPr>
        <w:sectPr>
          <w:pgSz w:w="11900" w:h="16838" w:orient="portrait"/>
          <w:cols w:equalWidth="0" w:num="1">
            <w:col w:w="10760"/>
          </w:cols>
          <w:pgMar w:left="880" w:top="117" w:right="259" w:bottom="0" w:gutter="0" w:footer="0" w:header="0"/>
        </w:sectPr>
      </w:pPr>
    </w:p>
    <w:bookmarkStart w:id="169" w:name="page170"/>
    <w:bookmarkEnd w:id="169"/>
    <w:p>
      <w:pPr>
        <w:spacing w:after="0" w:line="27" w:lineRule="exact"/>
        <w:rPr>
          <w:sz w:val="20"/>
          <w:szCs w:val="20"/>
          <w:color w:val="auto"/>
        </w:rPr>
      </w:pPr>
    </w:p>
    <w:p>
      <w:pPr>
        <w:ind w:left="660" w:right="440" w:hanging="653"/>
        <w:spacing w:after="0" w:line="282" w:lineRule="auto"/>
        <w:tabs>
          <w:tab w:leader="none" w:pos="661"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general principles, reservations or qualifications, in each case, as to matters of law in any legal opinion delivered under or in connection with the Finance Documents.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60" w:hanging="654"/>
        <w:spacing w:after="0"/>
        <w:tabs>
          <w:tab w:leader="none" w:pos="66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Lender; and</w:t>
      </w:r>
    </w:p>
    <w:p>
      <w:pPr>
        <w:spacing w:after="0" w:line="223" w:lineRule="exact"/>
        <w:rPr>
          <w:rFonts w:ascii="Times New Roman" w:cs="Times New Roman" w:eastAsia="Times New Roman" w:hAnsi="Times New Roman"/>
          <w:sz w:val="18"/>
          <w:szCs w:val="18"/>
          <w:color w:val="auto"/>
        </w:rPr>
      </w:pPr>
    </w:p>
    <w:p>
      <w:pPr>
        <w:ind w:right="2880" w:firstLine="6"/>
        <w:spacing w:after="0" w:line="499" w:lineRule="auto"/>
        <w:tabs>
          <w:tab w:leader="none" w:pos="65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which has become a New Lender in accordance with Clause 18 (</w:t>
      </w:r>
      <w:r>
        <w:rPr>
          <w:rFonts w:ascii="Times New Roman" w:cs="Times New Roman" w:eastAsia="Times New Roman" w:hAnsi="Times New Roman"/>
          <w:sz w:val="18"/>
          <w:szCs w:val="18"/>
          <w:i w:val="1"/>
          <w:iCs w:val="1"/>
          <w:color w:val="auto"/>
        </w:rPr>
        <w:t>Changes to the Lender</w:t>
      </w:r>
      <w:r>
        <w:rPr>
          <w:rFonts w:ascii="Times New Roman" w:cs="Times New Roman" w:eastAsia="Times New Roman" w:hAnsi="Times New Roman"/>
          <w:sz w:val="18"/>
          <w:szCs w:val="18"/>
          <w:color w:val="auto"/>
        </w:rPr>
        <w:t>), which in each case has not ceased to be a Party in accordance with the terms of this Agreement.</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means the loan(s) made or to be made under the Facility or the aggregate principal amount outstanding for the time being of that loan.</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Period</w:t>
      </w:r>
      <w:r>
        <w:rPr>
          <w:rFonts w:ascii="Times New Roman" w:cs="Times New Roman" w:eastAsia="Times New Roman" w:hAnsi="Times New Roman"/>
          <w:sz w:val="18"/>
          <w:szCs w:val="18"/>
          <w:color w:val="auto"/>
        </w:rPr>
        <w:t>” means the period from the Execution Date to the date upon which all monies owing and/or payable by the Borrower to the Lender under the Finance Documents are fully, unconditionally and irrevocably paid and the Available Facility has been reduced to zero.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 material adverse effect on:</w:t>
      </w:r>
    </w:p>
    <w:p>
      <w:pPr>
        <w:spacing w:after="0" w:line="229" w:lineRule="exact"/>
        <w:rPr>
          <w:sz w:val="20"/>
          <w:szCs w:val="20"/>
          <w:color w:val="auto"/>
        </w:rPr>
      </w:pPr>
    </w:p>
    <w:p>
      <w:pPr>
        <w:ind w:left="640" w:hanging="634"/>
        <w:spacing w:after="0"/>
        <w:tabs>
          <w:tab w:leader="none" w:pos="64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operations, property,or condition (financial or otherwise) of the Group taken as a whole;</w:t>
      </w:r>
    </w:p>
    <w:p>
      <w:pPr>
        <w:spacing w:after="0" w:line="225"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Borrower to perform its payment obligations under the Finance Documents; or</w:t>
      </w:r>
    </w:p>
    <w:p>
      <w:pPr>
        <w:spacing w:after="0" w:line="225" w:lineRule="exact"/>
        <w:rPr>
          <w:rFonts w:ascii="Times New Roman" w:cs="Times New Roman" w:eastAsia="Times New Roman" w:hAnsi="Times New Roman"/>
          <w:sz w:val="18"/>
          <w:szCs w:val="18"/>
          <w:color w:val="auto"/>
        </w:rPr>
      </w:pPr>
    </w:p>
    <w:p>
      <w:pPr>
        <w:ind w:left="640" w:right="340" w:hanging="634"/>
        <w:spacing w:after="0" w:line="282" w:lineRule="auto"/>
        <w:tabs>
          <w:tab w:leader="none" w:pos="647"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Legal Reservations, the validity or enforceability of any of the Finance Documents or the rights or remedies of the Lender under any of the Finance Documents.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Money Laundering</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780" w:right="80" w:hanging="773"/>
        <w:spacing w:after="0" w:line="282" w:lineRule="auto"/>
        <w:tabs>
          <w:tab w:leader="none" w:pos="781"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or transfer of property, knowing it is derived from a criminal offence, for the purpose of concealing or disguising its illegal origin or of assisting any person who is involved in the commission of the crime to evade the legal consequences of its actions;</w:t>
      </w:r>
    </w:p>
    <w:p>
      <w:pPr>
        <w:spacing w:after="0" w:line="161" w:lineRule="exact"/>
        <w:rPr>
          <w:rFonts w:ascii="Times New Roman" w:cs="Times New Roman" w:eastAsia="Times New Roman" w:hAnsi="Times New Roman"/>
          <w:sz w:val="18"/>
          <w:szCs w:val="18"/>
          <w:color w:val="auto"/>
        </w:rPr>
      </w:pPr>
    </w:p>
    <w:p>
      <w:pPr>
        <w:ind w:left="780" w:right="220" w:hanging="774"/>
        <w:spacing w:after="0" w:line="282" w:lineRule="auto"/>
        <w:tabs>
          <w:tab w:leader="none" w:pos="792"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concealment or disguise of the true nature, source, location, disposition, movement, rights with respect to, or ownership of, property knowing that it is derived from a criminal offence; or</w:t>
      </w:r>
    </w:p>
    <w:p>
      <w:pPr>
        <w:spacing w:after="0" w:line="161" w:lineRule="exact"/>
        <w:rPr>
          <w:rFonts w:ascii="Times New Roman" w:cs="Times New Roman" w:eastAsia="Times New Roman" w:hAnsi="Times New Roman"/>
          <w:sz w:val="18"/>
          <w:szCs w:val="18"/>
          <w:color w:val="auto"/>
        </w:rPr>
      </w:pPr>
    </w:p>
    <w:p>
      <w:pPr>
        <w:ind w:left="780" w:hanging="774"/>
        <w:spacing w:after="0"/>
        <w:tabs>
          <w:tab w:leader="none" w:pos="78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possession or use of property knowing at the time of its receipt that it is derived from a criminal offence.</w:t>
      </w:r>
    </w:p>
    <w:p>
      <w:pPr>
        <w:spacing w:after="0" w:line="22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Month</w:t>
      </w:r>
      <w:r>
        <w:rPr>
          <w:rFonts w:ascii="Times New Roman" w:cs="Times New Roman" w:eastAsia="Times New Roman" w:hAnsi="Times New Roman"/>
          <w:sz w:val="18"/>
          <w:szCs w:val="18"/>
          <w:color w:val="auto"/>
        </w:rPr>
        <w:t>” means a period starting on one day in a calendar month and ending on the numerically corresponding day in the next calendar month, except that:</w:t>
      </w:r>
    </w:p>
    <w:p>
      <w:pPr>
        <w:spacing w:after="0" w:line="159" w:lineRule="exact"/>
        <w:rPr>
          <w:sz w:val="20"/>
          <w:szCs w:val="20"/>
          <w:color w:val="auto"/>
        </w:rPr>
      </w:pPr>
    </w:p>
    <w:p>
      <w:pPr>
        <w:ind w:left="780" w:hanging="774"/>
        <w:spacing w:after="0" w:line="282" w:lineRule="auto"/>
        <w:tabs>
          <w:tab w:leader="none" w:pos="782"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numerically corresponding day is not a Business Day, that period shall end on the next Business Day in that calendar month in which that period is to end if there is one, or if there is not, on the immediately preceding Business Day; and</w:t>
      </w:r>
    </w:p>
    <w:p>
      <w:pPr>
        <w:spacing w:after="0" w:line="16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83820</wp:posOffset>
            </wp:positionV>
            <wp:extent cx="726757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80" w:right="20" w:hanging="774"/>
        <w:spacing w:after="0" w:line="282" w:lineRule="auto"/>
        <w:tabs>
          <w:tab w:leader="none" w:pos="792"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numerically corresponding day in the calendar month in which that period is to end, that period shall end on the last Business Day in that calendar month.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rules will apply only to the last Month of any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Obligors</w:t>
      </w:r>
      <w:r>
        <w:rPr>
          <w:rFonts w:ascii="Times New Roman" w:cs="Times New Roman" w:eastAsia="Times New Roman" w:hAnsi="Times New Roman"/>
          <w:sz w:val="18"/>
          <w:szCs w:val="18"/>
          <w:color w:val="auto"/>
        </w:rPr>
        <w:t>” mean the Borrower and the Covenantors and “</w:t>
      </w:r>
      <w:r>
        <w:rPr>
          <w:rFonts w:ascii="Times New Roman" w:cs="Times New Roman" w:eastAsia="Times New Roman" w:hAnsi="Times New Roman"/>
          <w:sz w:val="18"/>
          <w:szCs w:val="18"/>
          <w:b w:val="1"/>
          <w:bCs w:val="1"/>
          <w:color w:val="auto"/>
        </w:rPr>
        <w:t>Obligor</w:t>
      </w:r>
      <w:r>
        <w:rPr>
          <w:rFonts w:ascii="Times New Roman" w:cs="Times New Roman" w:eastAsia="Times New Roman" w:hAnsi="Times New Roman"/>
          <w:sz w:val="18"/>
          <w:szCs w:val="18"/>
          <w:color w:val="auto"/>
        </w:rPr>
        <w:t>” means each one of them.</w:t>
      </w:r>
    </w:p>
    <w:p>
      <w:pPr>
        <w:spacing w:after="0" w:line="2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Financial Statements</w:t>
      </w:r>
      <w:r>
        <w:rPr>
          <w:rFonts w:ascii="Times New Roman" w:cs="Times New Roman" w:eastAsia="Times New Roman" w:hAnsi="Times New Roman"/>
          <w:sz w:val="18"/>
          <w:szCs w:val="18"/>
          <w:color w:val="auto"/>
        </w:rPr>
        <w:t>” means, in relation to the Borrower, financial statements for its financial year ended December 31, 2015 and its financial quarter ended March 31, 2016.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means a party to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means the People’s Republic of China.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Renminbi</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RMB</w:t>
      </w:r>
      <w:r>
        <w:rPr>
          <w:rFonts w:ascii="Times New Roman" w:cs="Times New Roman" w:eastAsia="Times New Roman" w:hAnsi="Times New Roman"/>
          <w:sz w:val="18"/>
          <w:szCs w:val="18"/>
          <w:color w:val="auto"/>
        </w:rPr>
        <w:t>” means the lawful currency for the time being of the PRC.</w:t>
      </w:r>
    </w:p>
    <w:p>
      <w:pPr>
        <w:spacing w:after="0" w:line="22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means a mortgage, charge, pledge, lien or other security interest securing any obligation of any person or any other agreement or arrangement having a similar effect.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in relation to any company or corporation, a company or corporation:</w:t>
      </w:r>
    </w:p>
    <w:p>
      <w:pPr>
        <w:spacing w:after="0" w:line="229" w:lineRule="exact"/>
        <w:rPr>
          <w:sz w:val="20"/>
          <w:szCs w:val="20"/>
          <w:color w:val="auto"/>
        </w:rPr>
      </w:pPr>
    </w:p>
    <w:p>
      <w:pPr>
        <w:ind w:left="780" w:right="680" w:hanging="774"/>
        <w:spacing w:after="0" w:line="282" w:lineRule="auto"/>
        <w:tabs>
          <w:tab w:leader="none" w:pos="782"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controlled, directly or indirectly, though equity ownership, contractual arrangements or otherwise, by the first mentioned company or corporation;</w:t>
      </w:r>
    </w:p>
    <w:p>
      <w:pPr>
        <w:spacing w:after="0" w:line="161" w:lineRule="exact"/>
        <w:rPr>
          <w:rFonts w:ascii="Times New Roman" w:cs="Times New Roman" w:eastAsia="Times New Roman" w:hAnsi="Times New Roman"/>
          <w:sz w:val="18"/>
          <w:szCs w:val="18"/>
          <w:color w:val="auto"/>
        </w:rPr>
      </w:pPr>
    </w:p>
    <w:p>
      <w:pPr>
        <w:ind w:left="780" w:right="340" w:hanging="774"/>
        <w:spacing w:after="0" w:line="282" w:lineRule="auto"/>
        <w:tabs>
          <w:tab w:leader="none" w:pos="792"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half the issued equity share capital of which is beneficially owned, directly or indirectly, by the first mentioned company or corporation; or</w:t>
      </w:r>
    </w:p>
    <w:p>
      <w:pPr>
        <w:spacing w:after="0" w:line="161" w:lineRule="exact"/>
        <w:rPr>
          <w:rFonts w:ascii="Times New Roman" w:cs="Times New Roman" w:eastAsia="Times New Roman" w:hAnsi="Times New Roman"/>
          <w:sz w:val="18"/>
          <w:szCs w:val="18"/>
          <w:color w:val="auto"/>
        </w:rPr>
      </w:pPr>
    </w:p>
    <w:p>
      <w:pPr>
        <w:ind w:left="780" w:hanging="774"/>
        <w:spacing w:after="0"/>
        <w:tabs>
          <w:tab w:leader="none" w:pos="78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 Subsidiary of another Subsidiary of the first mentioned company or corporation,</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and for this purpose, a company or corporation shall be treated as being controlled by another if that other company or corporation is able to direct its affairs and/or to control the composition of its board of directors or equivalent body.</w:t>
      </w:r>
    </w:p>
    <w:p>
      <w:pPr>
        <w:sectPr>
          <w:pgSz w:w="11900" w:h="16866" w:orient="portrait"/>
          <w:cols w:equalWidth="0" w:num="1">
            <w:col w:w="10780"/>
          </w:cols>
          <w:pgMar w:left="880" w:top="121" w:right="239" w:bottom="0" w:gutter="0" w:footer="0" w:header="0"/>
        </w:sectPr>
      </w:pPr>
    </w:p>
    <w:bookmarkStart w:id="170" w:name="page171"/>
    <w:bookmarkEnd w:id="170"/>
    <w:p>
      <w:pPr>
        <w:ind w:left="640" w:right="2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any tax, levy, impost, duty or other charge or withholding of a similar nature (including any penalty or interest payable in connection with any failure to pay or any delay in paying any of the same).</w:t>
      </w:r>
    </w:p>
    <w:p>
      <w:pPr>
        <w:spacing w:after="0" w:line="155" w:lineRule="exact"/>
        <w:rPr>
          <w:sz w:val="20"/>
          <w:szCs w:val="20"/>
          <w:color w:val="auto"/>
        </w:rPr>
      </w:pPr>
    </w:p>
    <w:p>
      <w:pPr>
        <w:ind w:left="640" w:right="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Certificate</w:t>
      </w:r>
      <w:r>
        <w:rPr>
          <w:rFonts w:ascii="Times New Roman" w:cs="Times New Roman" w:eastAsia="Times New Roman" w:hAnsi="Times New Roman"/>
          <w:sz w:val="18"/>
          <w:szCs w:val="18"/>
          <w:color w:val="auto"/>
        </w:rPr>
        <w:t>” means a certificate substantially in the form set out in Schedule 3 (</w:t>
      </w:r>
      <w:r>
        <w:rPr>
          <w:rFonts w:ascii="Times New Roman" w:cs="Times New Roman" w:eastAsia="Times New Roman" w:hAnsi="Times New Roman"/>
          <w:sz w:val="18"/>
          <w:szCs w:val="18"/>
          <w:i w:val="1"/>
          <w:iCs w:val="1"/>
          <w:color w:val="auto"/>
        </w:rPr>
        <w:t>Form of Transfer Certificate</w:t>
      </w:r>
      <w:r>
        <w:rPr>
          <w:rFonts w:ascii="Times New Roman" w:cs="Times New Roman" w:eastAsia="Times New Roman" w:hAnsi="Times New Roman"/>
          <w:sz w:val="18"/>
          <w:szCs w:val="18"/>
          <w:color w:val="auto"/>
        </w:rPr>
        <w:t>) or any other form agreed between the Lender and the Borrower.</w:t>
      </w:r>
    </w:p>
    <w:p>
      <w:pPr>
        <w:spacing w:after="0" w:line="155" w:lineRule="exact"/>
        <w:rPr>
          <w:sz w:val="20"/>
          <w:szCs w:val="20"/>
          <w:color w:val="auto"/>
        </w:rPr>
      </w:pPr>
    </w:p>
    <w:p>
      <w:pPr>
        <w:ind w:left="640" w:right="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Date</w:t>
      </w:r>
      <w:r>
        <w:rPr>
          <w:rFonts w:ascii="Times New Roman" w:cs="Times New Roman" w:eastAsia="Times New Roman" w:hAnsi="Times New Roman"/>
          <w:sz w:val="18"/>
          <w:szCs w:val="18"/>
          <w:color w:val="auto"/>
        </w:rPr>
        <w:t>” means, in relation to an assignment or a transfer, the proposed Transfer Date specified in the Transfer Certificate or in any other document agreed between the relevant assignor and assignee.</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Unpaid Sum</w:t>
      </w:r>
      <w:r>
        <w:rPr>
          <w:rFonts w:ascii="Times New Roman" w:cs="Times New Roman" w:eastAsia="Times New Roman" w:hAnsi="Times New Roman"/>
          <w:sz w:val="18"/>
          <w:szCs w:val="18"/>
          <w:color w:val="auto"/>
        </w:rPr>
        <w:t>” means any sum due and payable but unpaid by an Obligor under the Finance Documents.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USA</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Utilisation</w:t>
      </w:r>
      <w:r>
        <w:rPr>
          <w:rFonts w:ascii="Times New Roman" w:cs="Times New Roman" w:eastAsia="Times New Roman" w:hAnsi="Times New Roman"/>
          <w:sz w:val="18"/>
          <w:szCs w:val="18"/>
          <w:color w:val="auto"/>
        </w:rPr>
        <w:t>” means an utilisation of the Facility.</w:t>
      </w:r>
    </w:p>
    <w:p>
      <w:pPr>
        <w:spacing w:after="0" w:line="225" w:lineRule="exact"/>
        <w:rPr>
          <w:sz w:val="20"/>
          <w:szCs w:val="20"/>
          <w:color w:val="auto"/>
        </w:rPr>
      </w:pPr>
    </w:p>
    <w:p>
      <w:pPr>
        <w:ind w:left="640"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Utilisation Date</w:t>
      </w:r>
      <w:r>
        <w:rPr>
          <w:rFonts w:ascii="Times New Roman" w:cs="Times New Roman" w:eastAsia="Times New Roman" w:hAnsi="Times New Roman"/>
          <w:sz w:val="18"/>
          <w:szCs w:val="18"/>
          <w:color w:val="auto"/>
        </w:rPr>
        <w:t>” means the date of an Utilisation, being the date on which the Loan is to be made, which shall not be later than the last day of the Availability Period.</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Utilisation Request</w:t>
      </w:r>
      <w:r>
        <w:rPr>
          <w:rFonts w:ascii="Times New Roman" w:cs="Times New Roman" w:eastAsia="Times New Roman" w:hAnsi="Times New Roman"/>
          <w:sz w:val="18"/>
          <w:szCs w:val="18"/>
          <w:color w:val="auto"/>
        </w:rPr>
        <w:t>” means a notice substantially in the form set out in Schedule 2 (</w:t>
      </w:r>
      <w:r>
        <w:rPr>
          <w:rFonts w:ascii="Times New Roman" w:cs="Times New Roman" w:eastAsia="Times New Roman" w:hAnsi="Times New Roman"/>
          <w:sz w:val="18"/>
          <w:szCs w:val="18"/>
          <w:i w:val="1"/>
          <w:iCs w:val="1"/>
          <w:color w:val="auto"/>
        </w:rPr>
        <w:t>Requests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Construction</w:t>
      </w:r>
    </w:p>
    <w:p>
      <w:pPr>
        <w:spacing w:after="0" w:line="229" w:lineRule="exact"/>
        <w:rPr>
          <w:sz w:val="20"/>
          <w:szCs w:val="20"/>
          <w:color w:val="auto"/>
        </w:rPr>
      </w:pPr>
    </w:p>
    <w:p>
      <w:pPr>
        <w:ind w:left="1400" w:hanging="744"/>
        <w:spacing w:after="0"/>
        <w:tabs>
          <w:tab w:leader="none" w:pos="1400" w:val="left"/>
        </w:tabs>
        <w:numPr>
          <w:ilvl w:val="0"/>
          <w:numId w:val="2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a contrary indication appears, any reference in this Agreement to:</w:t>
      </w:r>
    </w:p>
    <w:p>
      <w:pPr>
        <w:spacing w:after="0" w:line="225" w:lineRule="exact"/>
        <w:rPr>
          <w:rFonts w:ascii="Times New Roman" w:cs="Times New Roman" w:eastAsia="Times New Roman" w:hAnsi="Times New Roman"/>
          <w:sz w:val="18"/>
          <w:szCs w:val="18"/>
          <w:b w:val="1"/>
          <w:bCs w:val="1"/>
          <w:color w:val="auto"/>
        </w:rPr>
      </w:pPr>
    </w:p>
    <w:p>
      <w:pPr>
        <w:ind w:left="2120" w:right="40" w:hanging="738"/>
        <w:spacing w:after="0" w:line="282" w:lineRule="auto"/>
        <w:tabs>
          <w:tab w:leader="none" w:pos="2138"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the “Lender”, any “Covenantor”, any “Obligor” or any “Party” shall be construed so as to include its successors in title, permitted assigns and permitted transferees;</w:t>
      </w:r>
    </w:p>
    <w:p>
      <w:pPr>
        <w:spacing w:after="0" w:line="161" w:lineRule="exact"/>
        <w:rPr>
          <w:rFonts w:ascii="Times New Roman" w:cs="Times New Roman" w:eastAsia="Times New Roman" w:hAnsi="Times New Roman"/>
          <w:sz w:val="18"/>
          <w:szCs w:val="18"/>
          <w:color w:val="auto"/>
        </w:rPr>
      </w:pPr>
    </w:p>
    <w:p>
      <w:pPr>
        <w:ind w:left="2140" w:hanging="758"/>
        <w:spacing w:after="0"/>
        <w:tabs>
          <w:tab w:leader="none" w:pos="2140"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includes present and future properties, revenues and rights of every description;</w:t>
      </w:r>
    </w:p>
    <w:p>
      <w:pPr>
        <w:spacing w:after="0" w:line="225" w:lineRule="exact"/>
        <w:rPr>
          <w:rFonts w:ascii="Times New Roman" w:cs="Times New Roman" w:eastAsia="Times New Roman" w:hAnsi="Times New Roman"/>
          <w:sz w:val="18"/>
          <w:szCs w:val="18"/>
          <w:color w:val="auto"/>
        </w:rPr>
      </w:pPr>
    </w:p>
    <w:p>
      <w:pPr>
        <w:ind w:left="2120" w:right="380" w:hanging="738"/>
        <w:spacing w:after="0" w:line="282" w:lineRule="auto"/>
        <w:tabs>
          <w:tab w:leader="none" w:pos="2157"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“Finance Document” or any other agreement or instrument is a reference to that Finance Document or other agreement or instrument as amended, novated, supplemented, extended or restated;</w:t>
      </w:r>
    </w:p>
    <w:p>
      <w:pPr>
        <w:spacing w:after="0" w:line="161" w:lineRule="exact"/>
        <w:rPr>
          <w:rFonts w:ascii="Times New Roman" w:cs="Times New Roman" w:eastAsia="Times New Roman" w:hAnsi="Times New Roman"/>
          <w:sz w:val="18"/>
          <w:szCs w:val="18"/>
          <w:color w:val="auto"/>
        </w:rPr>
      </w:pPr>
    </w:p>
    <w:p>
      <w:pPr>
        <w:ind w:left="2120" w:hanging="738"/>
        <w:spacing w:after="0"/>
        <w:tabs>
          <w:tab w:leader="none" w:pos="2120"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shall be construed as “including without limitation” (and cognate expressions shall be construed similarly);</w:t>
      </w:r>
    </w:p>
    <w:p>
      <w:pPr>
        <w:spacing w:after="0" w:line="225" w:lineRule="exact"/>
        <w:rPr>
          <w:rFonts w:ascii="Times New Roman" w:cs="Times New Roman" w:eastAsia="Times New Roman" w:hAnsi="Times New Roman"/>
          <w:sz w:val="18"/>
          <w:szCs w:val="18"/>
          <w:color w:val="auto"/>
        </w:rPr>
      </w:pPr>
    </w:p>
    <w:p>
      <w:pPr>
        <w:ind w:left="2120" w:right="400" w:hanging="738"/>
        <w:spacing w:after="0" w:line="282" w:lineRule="auto"/>
        <w:tabs>
          <w:tab w:leader="none" w:pos="2124"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includes any obligation (whether incurred as principal or as surety) for the payment or repayment of money, whether present or future, actual or contingent;</w:t>
      </w:r>
    </w:p>
    <w:p>
      <w:pPr>
        <w:spacing w:after="0" w:line="161" w:lineRule="exact"/>
        <w:rPr>
          <w:rFonts w:ascii="Times New Roman" w:cs="Times New Roman" w:eastAsia="Times New Roman" w:hAnsi="Times New Roman"/>
          <w:sz w:val="18"/>
          <w:szCs w:val="18"/>
          <w:color w:val="auto"/>
        </w:rPr>
      </w:pPr>
    </w:p>
    <w:p>
      <w:pPr>
        <w:ind w:left="2120" w:hanging="738"/>
        <w:spacing w:after="0" w:line="282" w:lineRule="auto"/>
        <w:tabs>
          <w:tab w:leader="none" w:pos="2133"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includes any person, firm, company, corporation, government, state or agency of a state or any association, trust, joint venture, consortium or partnership (whether or not having separate legal personality) or two or more of the foregoing;</w:t>
      </w:r>
    </w:p>
    <w:p>
      <w:pPr>
        <w:spacing w:after="0" w:line="161" w:lineRule="exact"/>
        <w:rPr>
          <w:rFonts w:ascii="Times New Roman" w:cs="Times New Roman" w:eastAsia="Times New Roman" w:hAnsi="Times New Roman"/>
          <w:sz w:val="18"/>
          <w:szCs w:val="18"/>
          <w:color w:val="auto"/>
        </w:rPr>
      </w:pPr>
    </w:p>
    <w:p>
      <w:pPr>
        <w:ind w:left="2120" w:right="100" w:hanging="738"/>
        <w:spacing w:after="0" w:line="266" w:lineRule="auto"/>
        <w:tabs>
          <w:tab w:leader="none" w:pos="2143"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“regulation” includes any regulation, rule, official directive, request or guideline (whether or not having the force of law) of any governmental, intergovernmental or supranational body, agency, department or regulatory, self-regulatory or other authority or organisation;</w:t>
      </w:r>
    </w:p>
    <w:p>
      <w:pPr>
        <w:spacing w:after="0" w:line="176" w:lineRule="exact"/>
        <w:rPr>
          <w:rFonts w:ascii="Times New Roman" w:cs="Times New Roman" w:eastAsia="Times New Roman" w:hAnsi="Times New Roman"/>
          <w:sz w:val="18"/>
          <w:szCs w:val="18"/>
          <w:color w:val="auto"/>
        </w:rPr>
      </w:pPr>
    </w:p>
    <w:p>
      <w:pPr>
        <w:ind w:left="2140" w:hanging="758"/>
        <w:spacing w:after="0"/>
        <w:tabs>
          <w:tab w:leader="none" w:pos="2140"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of law is a reference to that provision as amended or re-enacted;</w:t>
      </w:r>
    </w:p>
    <w:p>
      <w:pPr>
        <w:spacing w:after="0" w:line="225" w:lineRule="exact"/>
        <w:rPr>
          <w:rFonts w:ascii="Times New Roman" w:cs="Times New Roman" w:eastAsia="Times New Roman" w:hAnsi="Times New Roman"/>
          <w:sz w:val="18"/>
          <w:szCs w:val="18"/>
          <w:color w:val="auto"/>
        </w:rPr>
      </w:pPr>
    </w:p>
    <w:p>
      <w:pPr>
        <w:ind w:left="2120" w:hanging="738"/>
        <w:spacing w:after="0"/>
        <w:tabs>
          <w:tab w:leader="none" w:pos="2120"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one gender shall include the other genders;</w:t>
      </w:r>
    </w:p>
    <w:p>
      <w:pPr>
        <w:spacing w:after="0" w:line="225" w:lineRule="exact"/>
        <w:rPr>
          <w:rFonts w:ascii="Times New Roman" w:cs="Times New Roman" w:eastAsia="Times New Roman" w:hAnsi="Times New Roman"/>
          <w:sz w:val="18"/>
          <w:szCs w:val="18"/>
          <w:color w:val="auto"/>
        </w:rPr>
      </w:pPr>
    </w:p>
    <w:p>
      <w:pPr>
        <w:ind w:left="2120" w:hanging="738"/>
        <w:spacing w:after="0"/>
        <w:tabs>
          <w:tab w:leader="none" w:pos="2120"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shall include the plural and vice versa; and</w:t>
      </w:r>
    </w:p>
    <w:p>
      <w:pPr>
        <w:spacing w:after="0" w:line="225" w:lineRule="exact"/>
        <w:rPr>
          <w:rFonts w:ascii="Times New Roman" w:cs="Times New Roman" w:eastAsia="Times New Roman" w:hAnsi="Times New Roman"/>
          <w:sz w:val="18"/>
          <w:szCs w:val="18"/>
          <w:color w:val="auto"/>
        </w:rPr>
      </w:pPr>
    </w:p>
    <w:p>
      <w:pPr>
        <w:ind w:left="2120" w:hanging="738"/>
        <w:spacing w:after="0"/>
        <w:tabs>
          <w:tab w:leader="none" w:pos="2120"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time of day is a reference to Hong Kong time.</w:t>
      </w:r>
    </w:p>
    <w:p>
      <w:pPr>
        <w:spacing w:after="0" w:line="225"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0"/>
          <w:numId w:val="2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Clause and Schedule headings are for ease of reference only.</w:t>
      </w:r>
    </w:p>
    <w:p>
      <w:pPr>
        <w:spacing w:after="0" w:line="225" w:lineRule="exact"/>
        <w:rPr>
          <w:rFonts w:ascii="Times New Roman" w:cs="Times New Roman" w:eastAsia="Times New Roman" w:hAnsi="Times New Roman"/>
          <w:sz w:val="18"/>
          <w:szCs w:val="18"/>
          <w:b w:val="1"/>
          <w:bCs w:val="1"/>
          <w:color w:val="auto"/>
        </w:rPr>
      </w:pPr>
    </w:p>
    <w:p>
      <w:pPr>
        <w:ind w:left="1400" w:right="200" w:hanging="744"/>
        <w:spacing w:after="0" w:line="282" w:lineRule="auto"/>
        <w:tabs>
          <w:tab w:leader="none" w:pos="1413" w:val="left"/>
        </w:tabs>
        <w:numPr>
          <w:ilvl w:val="0"/>
          <w:numId w:val="2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161"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2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Default or an Event of Default is “continuing” if it has not been remedied or waived.</w:t>
      </w:r>
    </w:p>
    <w:p>
      <w:pPr>
        <w:spacing w:after="0" w:line="225" w:lineRule="exact"/>
        <w:rPr>
          <w:rFonts w:ascii="Times New Roman" w:cs="Times New Roman" w:eastAsia="Times New Roman" w:hAnsi="Times New Roman"/>
          <w:sz w:val="18"/>
          <w:szCs w:val="18"/>
          <w:b w:val="1"/>
          <w:bCs w:val="1"/>
          <w:color w:val="auto"/>
        </w:rPr>
      </w:pPr>
    </w:p>
    <w:p>
      <w:pPr>
        <w:jc w:val="both"/>
        <w:ind w:left="1400" w:right="600" w:hanging="744"/>
        <w:spacing w:after="0" w:line="261" w:lineRule="auto"/>
        <w:tabs>
          <w:tab w:leader="none" w:pos="1413" w:val="left"/>
        </w:tabs>
        <w:numPr>
          <w:ilvl w:val="0"/>
          <w:numId w:val="2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Where this Agreement specifies an amount in a given currency (the “specified currency”) “or its equivalent”, the “equivalent” is a reference to the amount of any other currency which, when converted into the specified currency utilising the Lender’s spot rate of exchange for the purchase of the specified currency with that other currency at or about 11 a.m. on the relevant date, is equal to the relevant amount in the specified currency.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Third party rights</w:t>
      </w:r>
    </w:p>
    <w:p>
      <w:pPr>
        <w:sectPr>
          <w:pgSz w:w="11900" w:h="16838" w:orient="portrait"/>
          <w:cols w:equalWidth="0" w:num="1">
            <w:col w:w="11420"/>
          </w:cols>
          <w:pgMar w:left="240" w:top="333" w:right="239" w:bottom="40" w:gutter="0" w:footer="0" w:header="0"/>
        </w:sectPr>
      </w:pPr>
    </w:p>
    <w:bookmarkStart w:id="171" w:name="page172"/>
    <w:bookmarkEnd w:id="171"/>
    <w:p>
      <w:pPr>
        <w:ind w:left="660" w:right="200"/>
        <w:spacing w:after="0" w:line="261" w:lineRule="auto"/>
        <w:rPr>
          <w:sz w:val="20"/>
          <w:szCs w:val="20"/>
          <w:color w:val="auto"/>
        </w:rPr>
      </w:pPr>
      <w:r>
        <w:rPr>
          <w:rFonts w:ascii="Times New Roman" w:cs="Times New Roman" w:eastAsia="Times New Roman" w:hAnsi="Times New Roman"/>
          <w:sz w:val="18"/>
          <w:szCs w:val="18"/>
          <w:color w:val="auto"/>
        </w:rPr>
        <w:t>A person who is not a Party has no right under the doctrine of privity of contract to enforce or to enjoy the benefit of any term of this Agreement. The provisions of the Contracts (Rights of Third Parties) Ordinance (Cap. 623) shall not apply to this Agreement and, unless specifically herein provided, no person other than the Parties to this Agreement shall have any rights under it nor shall it be enforceable by any person other than the Parties to it.</w:t>
      </w:r>
    </w:p>
    <w:p>
      <w:pPr>
        <w:spacing w:after="0" w:line="176" w:lineRule="exact"/>
        <w:rPr>
          <w:sz w:val="20"/>
          <w:szCs w:val="20"/>
          <w:color w:val="auto"/>
        </w:rPr>
      </w:pPr>
    </w:p>
    <w:p>
      <w:pPr>
        <w:ind w:left="660" w:hanging="652"/>
        <w:spacing w:after="0"/>
        <w:tabs>
          <w:tab w:leader="none" w:pos="660" w:val="left"/>
        </w:tabs>
        <w:numPr>
          <w:ilvl w:val="0"/>
          <w:numId w:val="2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FACILITY</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17"/>
          <w:szCs w:val="17"/>
          <w:b w:val="1"/>
          <w:bCs w:val="1"/>
          <w:color w:val="auto"/>
        </w:rPr>
        <w:t>The Facility</w:t>
      </w:r>
    </w:p>
    <w:p>
      <w:pPr>
        <w:spacing w:after="0" w:line="229" w:lineRule="exact"/>
        <w:rPr>
          <w:sz w:val="20"/>
          <w:szCs w:val="20"/>
          <w:color w:val="auto"/>
        </w:rPr>
      </w:pPr>
    </w:p>
    <w:p>
      <w:pPr>
        <w:ind w:left="660" w:right="160"/>
        <w:spacing w:after="0" w:line="266" w:lineRule="auto"/>
        <w:rPr>
          <w:sz w:val="20"/>
          <w:szCs w:val="20"/>
          <w:color w:val="auto"/>
        </w:rPr>
      </w:pPr>
      <w:r>
        <w:rPr>
          <w:rFonts w:ascii="Times New Roman" w:cs="Times New Roman" w:eastAsia="Times New Roman" w:hAnsi="Times New Roman"/>
          <w:sz w:val="18"/>
          <w:szCs w:val="18"/>
          <w:color w:val="auto"/>
        </w:rPr>
        <w:t>Subject to the terms of this Agreement, the Lender shall make available to the Borrower a term loan facility in aggregate amount of Forty-Six Million Yuan Renminbi (RMB46,000,000) or equivalent amount of Dollars calculated at exchange rates agreed to and confirmed by the Borrower and the Lender.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Term of the Facility</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term of the Facility is from the relevant Utilisation Date to the Final Maturity Date.</w:t>
      </w:r>
    </w:p>
    <w:p>
      <w:pPr>
        <w:spacing w:after="0" w:line="221" w:lineRule="exact"/>
        <w:rPr>
          <w:sz w:val="20"/>
          <w:szCs w:val="20"/>
          <w:color w:val="auto"/>
        </w:rPr>
      </w:pPr>
    </w:p>
    <w:p>
      <w:pPr>
        <w:ind w:left="660" w:hanging="652"/>
        <w:spacing w:after="0"/>
        <w:tabs>
          <w:tab w:leader="none" w:pos="660" w:val="left"/>
        </w:tabs>
        <w:numPr>
          <w:ilvl w:val="0"/>
          <w:numId w:val="3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3.1</w:t>
      </w:r>
      <w:r>
        <w:rPr>
          <w:rFonts w:ascii="Times New Roman" w:cs="Times New Roman" w:eastAsia="Times New Roman" w:hAnsi="Times New Roman"/>
          <w:sz w:val="17"/>
          <w:szCs w:val="17"/>
          <w:b w:val="1"/>
          <w:bCs w:val="1"/>
          <w:color w:val="auto"/>
        </w:rPr>
        <w:t>Purpose</w:t>
      </w:r>
    </w:p>
    <w:p>
      <w:pPr>
        <w:spacing w:after="0" w:line="229" w:lineRule="exact"/>
        <w:rPr>
          <w:sz w:val="20"/>
          <w:szCs w:val="20"/>
          <w:color w:val="auto"/>
        </w:rPr>
      </w:pPr>
    </w:p>
    <w:p>
      <w:pPr>
        <w:ind w:left="660" w:right="480"/>
        <w:spacing w:after="0" w:line="282" w:lineRule="auto"/>
        <w:rPr>
          <w:sz w:val="20"/>
          <w:szCs w:val="20"/>
          <w:color w:val="auto"/>
        </w:rPr>
      </w:pPr>
      <w:r>
        <w:rPr>
          <w:rFonts w:ascii="Times New Roman" w:cs="Times New Roman" w:eastAsia="Times New Roman" w:hAnsi="Times New Roman"/>
          <w:sz w:val="18"/>
          <w:szCs w:val="18"/>
          <w:color w:val="auto"/>
        </w:rPr>
        <w:t>The Borrower shall apply all amounts borrowed by it under the Facility for the Group’s working capital requirement arising from the Group’s ordinary course of business.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Monitoring</w:t>
      </w:r>
    </w:p>
    <w:p>
      <w:pPr>
        <w:spacing w:after="0" w:line="229"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The Lender is not bound to monitor or verify the application of any amount borrowed pursuant to this Agreement, nor shall it be responsible for the consequences of Utilisation of the Loan.</w:t>
      </w:r>
    </w:p>
    <w:p>
      <w:pPr>
        <w:spacing w:after="0" w:line="158" w:lineRule="exact"/>
        <w:rPr>
          <w:sz w:val="20"/>
          <w:szCs w:val="20"/>
          <w:color w:val="auto"/>
        </w:rPr>
      </w:pPr>
    </w:p>
    <w:p>
      <w:pPr>
        <w:ind w:left="660" w:hanging="652"/>
        <w:spacing w:after="0"/>
        <w:tabs>
          <w:tab w:leader="none" w:pos="660" w:val="left"/>
        </w:tabs>
        <w:numPr>
          <w:ilvl w:val="0"/>
          <w:numId w:val="3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OF UTILISATION</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4.1</w:t>
      </w:r>
      <w:r>
        <w:rPr>
          <w:rFonts w:ascii="Times New Roman" w:cs="Times New Roman" w:eastAsia="Times New Roman" w:hAnsi="Times New Roman"/>
          <w:sz w:val="17"/>
          <w:szCs w:val="17"/>
          <w:b w:val="1"/>
          <w:bCs w:val="1"/>
          <w:color w:val="auto"/>
        </w:rPr>
        <w:t>Initial conditions precedent</w:t>
      </w:r>
    </w:p>
    <w:p>
      <w:pPr>
        <w:spacing w:after="0" w:line="227" w:lineRule="exact"/>
        <w:rPr>
          <w:sz w:val="20"/>
          <w:szCs w:val="20"/>
          <w:color w:val="auto"/>
        </w:rPr>
      </w:pPr>
    </w:p>
    <w:p>
      <w:pPr>
        <w:ind w:left="660" w:right="40"/>
        <w:spacing w:after="0" w:line="290" w:lineRule="auto"/>
        <w:rPr>
          <w:sz w:val="20"/>
          <w:szCs w:val="20"/>
          <w:color w:val="auto"/>
        </w:rPr>
      </w:pPr>
      <w:r>
        <w:rPr>
          <w:rFonts w:ascii="Times New Roman" w:cs="Times New Roman" w:eastAsia="Times New Roman" w:hAnsi="Times New Roman"/>
          <w:sz w:val="17"/>
          <w:szCs w:val="17"/>
          <w:color w:val="auto"/>
        </w:rPr>
        <w:t>The Lender will be obliged to comply with Clause 5.4 (</w:t>
      </w:r>
      <w:r>
        <w:rPr>
          <w:rFonts w:ascii="Times New Roman" w:cs="Times New Roman" w:eastAsia="Times New Roman" w:hAnsi="Times New Roman"/>
          <w:sz w:val="17"/>
          <w:szCs w:val="17"/>
          <w:i w:val="1"/>
          <w:iCs w:val="1"/>
          <w:color w:val="auto"/>
        </w:rPr>
        <w:t>Lender’s disbursement</w:t>
      </w:r>
      <w:r>
        <w:rPr>
          <w:rFonts w:ascii="Times New Roman" w:cs="Times New Roman" w:eastAsia="Times New Roman" w:hAnsi="Times New Roman"/>
          <w:sz w:val="17"/>
          <w:szCs w:val="17"/>
          <w:color w:val="auto"/>
        </w:rPr>
        <w:t>) only if Lender has received all of the documents and other evidence listed on Schedule 1 (</w:t>
      </w:r>
      <w:r>
        <w:rPr>
          <w:rFonts w:ascii="Times New Roman" w:cs="Times New Roman" w:eastAsia="Times New Roman" w:hAnsi="Times New Roman"/>
          <w:sz w:val="17"/>
          <w:szCs w:val="17"/>
          <w:i w:val="1"/>
          <w:iCs w:val="1"/>
          <w:color w:val="auto"/>
        </w:rPr>
        <w:t>Conditions precedent</w:t>
      </w:r>
      <w:r>
        <w:rPr>
          <w:rFonts w:ascii="Times New Roman" w:cs="Times New Roman" w:eastAsia="Times New Roman" w:hAnsi="Times New Roman"/>
          <w:sz w:val="17"/>
          <w:szCs w:val="17"/>
          <w:color w:val="auto"/>
        </w:rPr>
        <w:t>) in form and substance reasonably satisfactory to the Lender (unless the requirement to provide any of such documents or other evidence is waived by the Lender). The Lender shall notify the Borrower promptly upon the Lender being so satisfied.</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Further conditions precedent</w:t>
      </w:r>
    </w:p>
    <w:p>
      <w:pPr>
        <w:spacing w:after="0" w:line="2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Lender will be obliged to comply with Clause 5.4 (</w:t>
      </w:r>
      <w:r>
        <w:rPr>
          <w:rFonts w:ascii="Times New Roman" w:cs="Times New Roman" w:eastAsia="Times New Roman" w:hAnsi="Times New Roman"/>
          <w:sz w:val="18"/>
          <w:szCs w:val="18"/>
          <w:i w:val="1"/>
          <w:iCs w:val="1"/>
          <w:color w:val="auto"/>
        </w:rPr>
        <w:t>Lender’s disbursement</w:t>
      </w:r>
      <w:r>
        <w:rPr>
          <w:rFonts w:ascii="Times New Roman" w:cs="Times New Roman" w:eastAsia="Times New Roman" w:hAnsi="Times New Roman"/>
          <w:sz w:val="18"/>
          <w:szCs w:val="18"/>
          <w:color w:val="auto"/>
        </w:rPr>
        <w:t>) only if on the date of the Utilisation Request and on the proposed</w:t>
      </w:r>
    </w:p>
    <w:p>
      <w:pPr>
        <w:spacing w:after="0" w:line="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Utilisation Date:</w:t>
      </w:r>
    </w:p>
    <w:p>
      <w:pPr>
        <w:spacing w:after="0" w:line="207" w:lineRule="exact"/>
        <w:rPr>
          <w:sz w:val="20"/>
          <w:szCs w:val="20"/>
          <w:color w:val="auto"/>
        </w:rPr>
      </w:pPr>
    </w:p>
    <w:p>
      <w:pPr>
        <w:ind w:left="1400" w:hanging="744"/>
        <w:spacing w:after="0"/>
        <w:tabs>
          <w:tab w:leader="none" w:pos="1400" w:val="left"/>
        </w:tabs>
        <w:numPr>
          <w:ilvl w:val="0"/>
          <w:numId w:val="3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Default is continuing or would result from the proposed Loan;</w:t>
      </w:r>
    </w:p>
    <w:p>
      <w:pPr>
        <w:spacing w:after="0" w:line="223"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3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representations made by the Obligors under Clause 14 (</w:t>
      </w:r>
      <w:r>
        <w:rPr>
          <w:rFonts w:ascii="Times New Roman" w:cs="Times New Roman" w:eastAsia="Times New Roman" w:hAnsi="Times New Roman"/>
          <w:sz w:val="18"/>
          <w:szCs w:val="18"/>
          <w:i w:val="1"/>
          <w:iCs w:val="1"/>
          <w:color w:val="auto"/>
        </w:rPr>
        <w:t>Representations</w:t>
      </w:r>
      <w:r>
        <w:rPr>
          <w:rFonts w:ascii="Times New Roman" w:cs="Times New Roman" w:eastAsia="Times New Roman" w:hAnsi="Times New Roman"/>
          <w:sz w:val="18"/>
          <w:szCs w:val="18"/>
          <w:color w:val="auto"/>
        </w:rPr>
        <w:t>) are true and accurate; and</w:t>
      </w:r>
    </w:p>
    <w:p>
      <w:pPr>
        <w:spacing w:after="0" w:line="227" w:lineRule="exact"/>
        <w:rPr>
          <w:rFonts w:ascii="Times New Roman" w:cs="Times New Roman" w:eastAsia="Times New Roman" w:hAnsi="Times New Roman"/>
          <w:sz w:val="18"/>
          <w:szCs w:val="18"/>
          <w:b w:val="1"/>
          <w:bCs w:val="1"/>
          <w:color w:val="auto"/>
        </w:rPr>
      </w:pPr>
    </w:p>
    <w:p>
      <w:pPr>
        <w:jc w:val="center"/>
        <w:ind w:left="5660" w:right="860" w:hanging="5004"/>
        <w:spacing w:after="0" w:line="532" w:lineRule="auto"/>
        <w:tabs>
          <w:tab w:leader="none" w:pos="1401" w:val="left"/>
        </w:tabs>
        <w:numPr>
          <w:ilvl w:val="0"/>
          <w:numId w:val="3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since the Execution Date, nothing has occurred which has or could reasonably be expected to have a Material Adverse Effect.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6757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Maximum number of Loan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is no maximum number of Loans that the Borrower may borrow under the Facility.</w:t>
      </w:r>
    </w:p>
    <w:p>
      <w:pPr>
        <w:spacing w:after="0" w:line="221" w:lineRule="exact"/>
        <w:rPr>
          <w:sz w:val="20"/>
          <w:szCs w:val="20"/>
          <w:color w:val="auto"/>
        </w:rPr>
      </w:pPr>
    </w:p>
    <w:p>
      <w:pPr>
        <w:ind w:left="660" w:hanging="652"/>
        <w:spacing w:after="0"/>
        <w:tabs>
          <w:tab w:leader="none" w:pos="660" w:val="left"/>
        </w:tabs>
        <w:numPr>
          <w:ilvl w:val="0"/>
          <w:numId w:val="3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UTILISATION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Delivery of a Utilisation Request</w:t>
      </w:r>
    </w:p>
    <w:p>
      <w:pPr>
        <w:spacing w:after="0" w:line="229"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The Borrower may utilise the Facility by delivering to the Lender a duly completed Utilisation Request and the Lender receives the Utilisation Request not later than 11 a.m. ten (10) Business Day before the proposed Utilisation Date, provided that the Borrower and the Lender shall agree on the Utilisation Date in advance.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Completion of a Utilisation Request</w:t>
      </w:r>
    </w:p>
    <w:p>
      <w:pPr>
        <w:spacing w:after="0" w:line="229" w:lineRule="exact"/>
        <w:rPr>
          <w:sz w:val="20"/>
          <w:szCs w:val="20"/>
          <w:color w:val="auto"/>
        </w:rPr>
      </w:pPr>
    </w:p>
    <w:p>
      <w:pPr>
        <w:ind w:left="1400" w:hanging="744"/>
        <w:spacing w:after="0"/>
        <w:tabs>
          <w:tab w:leader="none" w:pos="1400" w:val="left"/>
        </w:tabs>
        <w:numPr>
          <w:ilvl w:val="0"/>
          <w:numId w:val="3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Utilisation Request is irrevocable and will not be regarded as having been duly completed unless:</w:t>
      </w:r>
    </w:p>
    <w:p>
      <w:pPr>
        <w:spacing w:after="0" w:line="225" w:lineRule="exact"/>
        <w:rPr>
          <w:rFonts w:ascii="Times New Roman" w:cs="Times New Roman" w:eastAsia="Times New Roman" w:hAnsi="Times New Roman"/>
          <w:sz w:val="18"/>
          <w:szCs w:val="18"/>
          <w:b w:val="1"/>
          <w:bCs w:val="1"/>
          <w:color w:val="auto"/>
        </w:rPr>
      </w:pPr>
    </w:p>
    <w:p>
      <w:pPr>
        <w:ind w:left="1960" w:hanging="578"/>
        <w:spacing w:after="0"/>
        <w:tabs>
          <w:tab w:leader="none" w:pos="1960"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Utilisation Date is a Business Day within the Availability Period; and</w:t>
      </w:r>
    </w:p>
    <w:p>
      <w:pPr>
        <w:spacing w:after="0" w:line="223" w:lineRule="exact"/>
        <w:rPr>
          <w:rFonts w:ascii="Times New Roman" w:cs="Times New Roman" w:eastAsia="Times New Roman" w:hAnsi="Times New Roman"/>
          <w:sz w:val="18"/>
          <w:szCs w:val="18"/>
          <w:color w:val="auto"/>
        </w:rPr>
      </w:pPr>
    </w:p>
    <w:p>
      <w:pPr>
        <w:ind w:left="1960" w:hanging="578"/>
        <w:spacing w:after="0"/>
        <w:tabs>
          <w:tab w:leader="none" w:pos="1960"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and amount of the Utilisation comply with Clause 5.3 (</w:t>
      </w:r>
      <w:r>
        <w:rPr>
          <w:rFonts w:ascii="Times New Roman" w:cs="Times New Roman" w:eastAsia="Times New Roman" w:hAnsi="Times New Roman"/>
          <w:sz w:val="18"/>
          <w:szCs w:val="18"/>
          <w:i w:val="1"/>
          <w:iCs w:val="1"/>
          <w:color w:val="auto"/>
        </w:rPr>
        <w:t>Currency and amount</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0"/>
          <w:numId w:val="3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Only one Loan may be requested in the Utilisation Request.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7"/>
          <w:szCs w:val="17"/>
          <w:b w:val="1"/>
          <w:bCs w:val="1"/>
          <w:color w:val="auto"/>
        </w:rPr>
        <w:t>Currency and amount</w:t>
      </w:r>
    </w:p>
    <w:p>
      <w:pPr>
        <w:sectPr>
          <w:pgSz w:w="11900" w:h="16838" w:orient="portrait"/>
          <w:cols w:equalWidth="0" w:num="1">
            <w:col w:w="11320"/>
          </w:cols>
          <w:pgMar w:left="240" w:top="121" w:right="339" w:bottom="0" w:gutter="0" w:footer="0" w:header="0"/>
        </w:sectPr>
      </w:pPr>
    </w:p>
    <w:bookmarkStart w:id="172" w:name="page173"/>
    <w:bookmarkEnd w:id="172"/>
    <w:p>
      <w:pPr>
        <w:spacing w:after="0" w:line="28" w:lineRule="exact"/>
        <w:rPr>
          <w:sz w:val="20"/>
          <w:szCs w:val="20"/>
          <w:color w:val="auto"/>
        </w:rPr>
      </w:pPr>
    </w:p>
    <w:p>
      <w:pPr>
        <w:ind w:left="1400" w:hanging="744"/>
        <w:spacing w:after="0"/>
        <w:tabs>
          <w:tab w:leader="none" w:pos="1400" w:val="left"/>
        </w:tabs>
        <w:numPr>
          <w:ilvl w:val="0"/>
          <w:numId w:val="3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currency specified in an Utilisation Request must be Dollars.</w:t>
      </w:r>
    </w:p>
    <w:p>
      <w:pPr>
        <w:spacing w:after="0" w:line="225"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3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amount of the proposed Loan in an Utilisation Request shall be no more than the amount of the Available Facility.</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7"/>
          <w:szCs w:val="17"/>
          <w:b w:val="1"/>
          <w:bCs w:val="1"/>
          <w:color w:val="auto"/>
        </w:rPr>
        <w:t>Lender’s disbursement</w:t>
      </w:r>
    </w:p>
    <w:p>
      <w:pPr>
        <w:spacing w:after="0" w:line="227" w:lineRule="exact"/>
        <w:rPr>
          <w:sz w:val="20"/>
          <w:szCs w:val="20"/>
          <w:color w:val="auto"/>
        </w:rPr>
      </w:pPr>
    </w:p>
    <w:p>
      <w:pPr>
        <w:ind w:left="1400" w:hanging="744"/>
        <w:spacing w:after="0" w:line="267" w:lineRule="auto"/>
        <w:tabs>
          <w:tab w:leader="none" w:pos="1410" w:val="left"/>
        </w:tabs>
        <w:numPr>
          <w:ilvl w:val="0"/>
          <w:numId w:val="3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it is mutually agreed that the conditions set out in Clause 4 (</w:t>
      </w:r>
      <w:r>
        <w:rPr>
          <w:rFonts w:ascii="Times New Roman" w:cs="Times New Roman" w:eastAsia="Times New Roman" w:hAnsi="Times New Roman"/>
          <w:sz w:val="18"/>
          <w:szCs w:val="18"/>
          <w:i w:val="1"/>
          <w:iCs w:val="1"/>
          <w:color w:val="auto"/>
        </w:rPr>
        <w:t>Conditions of Utilisation</w:t>
      </w:r>
      <w:r>
        <w:rPr>
          <w:rFonts w:ascii="Times New Roman" w:cs="Times New Roman" w:eastAsia="Times New Roman" w:hAnsi="Times New Roman"/>
          <w:sz w:val="18"/>
          <w:szCs w:val="18"/>
          <w:color w:val="auto"/>
        </w:rPr>
        <w:t>) and Clause 5.1 (</w:t>
      </w:r>
      <w:r>
        <w:rPr>
          <w:rFonts w:ascii="Times New Roman" w:cs="Times New Roman" w:eastAsia="Times New Roman" w:hAnsi="Times New Roman"/>
          <w:sz w:val="18"/>
          <w:szCs w:val="18"/>
          <w:i w:val="1"/>
          <w:iCs w:val="1"/>
          <w:color w:val="auto"/>
        </w:rPr>
        <w:t>Delivery of a Utilisation Request</w:t>
      </w:r>
      <w:r>
        <w:rPr>
          <w:rFonts w:ascii="Times New Roman" w:cs="Times New Roman" w:eastAsia="Times New Roman" w:hAnsi="Times New Roman"/>
          <w:sz w:val="18"/>
          <w:szCs w:val="18"/>
          <w:color w:val="auto"/>
        </w:rPr>
        <w:t>) to Clause 5.3 (</w:t>
      </w:r>
      <w:r>
        <w:rPr>
          <w:rFonts w:ascii="Times New Roman" w:cs="Times New Roman" w:eastAsia="Times New Roman" w:hAnsi="Times New Roman"/>
          <w:sz w:val="18"/>
          <w:szCs w:val="18"/>
          <w:i w:val="1"/>
          <w:iCs w:val="1"/>
          <w:color w:val="auto"/>
        </w:rPr>
        <w:t>Currency and amount</w:t>
      </w:r>
      <w:r>
        <w:rPr>
          <w:rFonts w:ascii="Times New Roman" w:cs="Times New Roman" w:eastAsia="Times New Roman" w:hAnsi="Times New Roman"/>
          <w:sz w:val="18"/>
          <w:szCs w:val="18"/>
          <w:color w:val="auto"/>
        </w:rPr>
        <w:t>) above have been met, the Lender shall make the Loan available on the Utilisation Date through its Facility Office.</w:t>
      </w:r>
    </w:p>
    <w:p>
      <w:pPr>
        <w:spacing w:after="0" w:line="175"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3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amount of such Loan shall be equal to the amount of the Utilisation set forth in the Utilisation Request.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b w:val="1"/>
          <w:bCs w:val="1"/>
          <w:color w:val="auto"/>
        </w:rPr>
        <w:t>Cancellation of unutilised Facility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5:00 p.m. in Hong Kong on the last day of the Availability Period, the Available Facility shall be automatically cancelled.</w:t>
      </w:r>
    </w:p>
    <w:p>
      <w:pPr>
        <w:spacing w:after="0" w:line="221" w:lineRule="exact"/>
        <w:rPr>
          <w:sz w:val="20"/>
          <w:szCs w:val="20"/>
          <w:color w:val="auto"/>
        </w:rPr>
      </w:pPr>
    </w:p>
    <w:p>
      <w:pPr>
        <w:ind w:left="660" w:hanging="652"/>
        <w:spacing w:after="0"/>
        <w:tabs>
          <w:tab w:leader="none" w:pos="660" w:val="left"/>
        </w:tabs>
        <w:numPr>
          <w:ilvl w:val="0"/>
          <w:numId w:val="3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7"/>
          <w:szCs w:val="17"/>
          <w:b w:val="1"/>
          <w:bCs w:val="1"/>
          <w:color w:val="auto"/>
        </w:rPr>
        <w:t>Calculation of interest</w:t>
      </w:r>
    </w:p>
    <w:p>
      <w:pPr>
        <w:spacing w:after="0" w:line="225" w:lineRule="exact"/>
        <w:rPr>
          <w:sz w:val="20"/>
          <w:szCs w:val="20"/>
          <w:color w:val="auto"/>
        </w:rPr>
      </w:pPr>
    </w:p>
    <w:p>
      <w:pPr>
        <w:ind w:left="660" w:right="60"/>
        <w:spacing w:after="0" w:line="262" w:lineRule="auto"/>
        <w:rPr>
          <w:sz w:val="20"/>
          <w:szCs w:val="20"/>
          <w:color w:val="auto"/>
        </w:rPr>
      </w:pPr>
      <w:r>
        <w:rPr>
          <w:rFonts w:ascii="Times New Roman" w:cs="Times New Roman" w:eastAsia="Times New Roman" w:hAnsi="Times New Roman"/>
          <w:sz w:val="18"/>
          <w:szCs w:val="18"/>
          <w:color w:val="auto"/>
        </w:rPr>
        <w:t>The rate of interest on the Loan shall be 9 percent (9%) per annum (the “</w:t>
      </w:r>
      <w:r>
        <w:rPr>
          <w:rFonts w:ascii="Times New Roman" w:cs="Times New Roman" w:eastAsia="Times New Roman" w:hAnsi="Times New Roman"/>
          <w:sz w:val="18"/>
          <w:szCs w:val="18"/>
          <w:b w:val="1"/>
          <w:bCs w:val="1"/>
          <w:color w:val="auto"/>
        </w:rPr>
        <w:t>Interest Rate</w:t>
      </w:r>
      <w:r>
        <w:rPr>
          <w:rFonts w:ascii="Times New Roman" w:cs="Times New Roman" w:eastAsia="Times New Roman" w:hAnsi="Times New Roman"/>
          <w:sz w:val="18"/>
          <w:szCs w:val="18"/>
          <w:color w:val="auto"/>
        </w:rPr>
        <w:t>”). Each Loan shall accrue interest on each date on which it is outstanding at the Interest Rate before its due date except that, in the event a Loan is repaid before the Final Maturity Date for any reason (including but not limited to prepayments according to Clause 8 or acceleration upon an Event of Default according to Clause 17.14), the Loan shall accrue a special interest on the date of such early repayment that equals to the amount of interest that</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would have accrued from the date of such early repayment to the Final Maturity Date if the Loan were not repaid before the Final Maturity Date.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b w:val="1"/>
          <w:bCs w:val="1"/>
          <w:color w:val="auto"/>
        </w:rPr>
        <w:t>Payment of interest</w:t>
      </w:r>
    </w:p>
    <w:p>
      <w:pPr>
        <w:spacing w:after="0" w:line="229"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The Borrower shall pay all accrued interest on the Final Maturity Date. For the avoidance of doubt, the amount of interest payable by the Borrower shall be based on the actual amount of the Loan disbursed by the Lender to the Borrower.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7"/>
          <w:szCs w:val="17"/>
          <w:b w:val="1"/>
          <w:bCs w:val="1"/>
          <w:color w:val="auto"/>
        </w:rPr>
        <w:t>Default interest</w:t>
      </w:r>
    </w:p>
    <w:p>
      <w:pPr>
        <w:spacing w:after="0" w:line="229" w:lineRule="exact"/>
        <w:rPr>
          <w:sz w:val="20"/>
          <w:szCs w:val="20"/>
          <w:color w:val="auto"/>
        </w:rPr>
      </w:pPr>
    </w:p>
    <w:p>
      <w:pPr>
        <w:ind w:left="1400" w:right="40" w:hanging="744"/>
        <w:spacing w:after="0" w:line="272" w:lineRule="auto"/>
        <w:tabs>
          <w:tab w:leader="none" w:pos="1410" w:val="left"/>
        </w:tabs>
        <w:numPr>
          <w:ilvl w:val="1"/>
          <w:numId w:val="3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Without prejudice to any other remedies available to the Lender under this Agreement or otherwise (and to the maximum extent permitted by applicable law), if the Borrower fails to pay any amount payable by it under a Finance Document on its due date, interest shall accrue on the Unpaid Sum from the due date to the date of actual payment (both before and after judgment) at a rate which, subject to sub-clause</w:t>
      </w:r>
    </w:p>
    <w:p>
      <w:pPr>
        <w:spacing w:after="0" w:line="1" w:lineRule="exact"/>
        <w:rPr>
          <w:rFonts w:ascii="Times New Roman" w:cs="Times New Roman" w:eastAsia="Times New Roman" w:hAnsi="Times New Roman"/>
          <w:sz w:val="17"/>
          <w:szCs w:val="17"/>
          <w:b w:val="1"/>
          <w:bCs w:val="1"/>
          <w:color w:val="auto"/>
        </w:rPr>
      </w:pPr>
    </w:p>
    <w:p>
      <w:pPr>
        <w:ind w:left="1400" w:right="66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(b) below, shall be 0.02 per cent (0.02%) per day. Any interest accruing under this Clause 6.3 shall be immediately payable by the Borrower on demand by the Lender.</w:t>
      </w:r>
    </w:p>
    <w:p>
      <w:pPr>
        <w:spacing w:after="0" w:line="179" w:lineRule="exact"/>
        <w:rPr>
          <w:rFonts w:ascii="Times New Roman" w:cs="Times New Roman" w:eastAsia="Times New Roman" w:hAnsi="Times New Roman"/>
          <w:sz w:val="17"/>
          <w:szCs w:val="17"/>
          <w:b w:val="1"/>
          <w:bCs w:val="1"/>
          <w:color w:val="auto"/>
        </w:rPr>
      </w:pPr>
    </w:p>
    <w:p>
      <w:pPr>
        <w:ind w:left="1400" w:right="60" w:hanging="744"/>
        <w:spacing w:after="0" w:line="282" w:lineRule="auto"/>
        <w:tabs>
          <w:tab w:leader="none" w:pos="1420" w:val="left"/>
        </w:tabs>
        <w:numPr>
          <w:ilvl w:val="1"/>
          <w:numId w:val="3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Default interest (if unpaid) arising on an Unpaid Sum will be compounded with the Unpaid Sum at the end of each Month but will remain immediately due and payable.</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REPAYMENT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7"/>
          <w:szCs w:val="17"/>
          <w:b w:val="1"/>
          <w:bCs w:val="1"/>
          <w:color w:val="auto"/>
        </w:rPr>
        <w:t>Repayment of Loan</w:t>
      </w:r>
    </w:p>
    <w:p>
      <w:pPr>
        <w:spacing w:after="0" w:line="229"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18"/>
          <w:szCs w:val="18"/>
          <w:color w:val="auto"/>
        </w:rPr>
        <w:t>The Borrower shall repay the Loan and all outstanding amounts with respect to the Loan on the Final Maturity Date. For the avoidance of doubt, this obligation of the Borrower shall not be avoided or excused in any way, whether due to issues relating to (a) the legality of the Loan or the use of the Loan, (b) any conflict of interests or the relationship between the Lender and the Borrower and their respective Affiliates and related parties, (c) the violation or breach of any laws and regulations in relation to the Loan, or (d) any other issue otherwise in relation to the Loan and the Finance Documents.</w:t>
      </w:r>
    </w:p>
    <w:p>
      <w:pPr>
        <w:spacing w:after="0" w:line="180" w:lineRule="exact"/>
        <w:rPr>
          <w:sz w:val="20"/>
          <w:szCs w:val="20"/>
          <w:color w:val="auto"/>
        </w:rPr>
      </w:pPr>
    </w:p>
    <w:p>
      <w:pPr>
        <w:ind w:left="660" w:hanging="652"/>
        <w:spacing w:after="0"/>
        <w:tabs>
          <w:tab w:leader="none" w:pos="660" w:val="left"/>
        </w:tabs>
        <w:numPr>
          <w:ilvl w:val="0"/>
          <w:numId w:val="3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PREPAYMENT AND CANCELLATION</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8.1</w:t>
      </w:r>
      <w:r>
        <w:rPr>
          <w:rFonts w:ascii="Times New Roman" w:cs="Times New Roman" w:eastAsia="Times New Roman" w:hAnsi="Times New Roman"/>
          <w:sz w:val="17"/>
          <w:szCs w:val="17"/>
          <w:b w:val="1"/>
          <w:bCs w:val="1"/>
          <w:color w:val="auto"/>
        </w:rPr>
        <w:t>Illegality and Mandatory Prepayment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at any time, it is or will become unlawful in any applicable jurisdiction for the Lender to perform any of its obligations as contemplated by this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Agreement or to fund or maintain its participation in any Loan or it is or will become unlawful for the Lender to do so:</w:t>
      </w:r>
    </w:p>
    <w:p>
      <w:pPr>
        <w:spacing w:after="0" w:line="207" w:lineRule="exact"/>
        <w:rPr>
          <w:sz w:val="20"/>
          <w:szCs w:val="20"/>
          <w:color w:val="auto"/>
        </w:rPr>
      </w:pPr>
    </w:p>
    <w:p>
      <w:pPr>
        <w:ind w:left="1320" w:hanging="664"/>
        <w:spacing w:after="0"/>
        <w:tabs>
          <w:tab w:leader="none" w:pos="1320" w:val="left"/>
        </w:tabs>
        <w:numPr>
          <w:ilvl w:val="0"/>
          <w:numId w:val="3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Lender shall promptly notify the Borrower upon becoming aware of that event;</w:t>
      </w:r>
    </w:p>
    <w:p>
      <w:pPr>
        <w:spacing w:after="0" w:line="225" w:lineRule="exact"/>
        <w:rPr>
          <w:rFonts w:ascii="Times New Roman" w:cs="Times New Roman" w:eastAsia="Times New Roman" w:hAnsi="Times New Roman"/>
          <w:sz w:val="18"/>
          <w:szCs w:val="18"/>
          <w:b w:val="1"/>
          <w:bCs w:val="1"/>
          <w:color w:val="auto"/>
        </w:rPr>
      </w:pPr>
    </w:p>
    <w:p>
      <w:pPr>
        <w:ind w:left="1320" w:hanging="664"/>
        <w:spacing w:after="0"/>
        <w:tabs>
          <w:tab w:leader="none" w:pos="1320" w:val="left"/>
        </w:tabs>
        <w:numPr>
          <w:ilvl w:val="0"/>
          <w:numId w:val="3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the Lender notifying the Borrower, the Available Facility of the Lender will be immediately cancelled; and</w:t>
      </w:r>
    </w:p>
    <w:p>
      <w:pPr>
        <w:spacing w:after="0" w:line="225" w:lineRule="exact"/>
        <w:rPr>
          <w:rFonts w:ascii="Times New Roman" w:cs="Times New Roman" w:eastAsia="Times New Roman" w:hAnsi="Times New Roman"/>
          <w:sz w:val="18"/>
          <w:szCs w:val="18"/>
          <w:b w:val="1"/>
          <w:bCs w:val="1"/>
          <w:color w:val="auto"/>
        </w:rPr>
      </w:pPr>
    </w:p>
    <w:p>
      <w:pPr>
        <w:ind w:left="1300" w:right="160" w:hanging="644"/>
        <w:spacing w:after="0" w:line="266" w:lineRule="auto"/>
        <w:tabs>
          <w:tab w:leader="none" w:pos="1310" w:val="left"/>
        </w:tabs>
        <w:numPr>
          <w:ilvl w:val="0"/>
          <w:numId w:val="3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Borrower shall repay or pay the Lender on the date specified by the Lender (being no earlier than the last day of any applicable grace period permitted by law) the outstanding Loan together with the interest accrued up to the repayment or, as the case may be, payment date and all other amounts accrued under the Finance Documents.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7"/>
          <w:szCs w:val="17"/>
          <w:b w:val="1"/>
          <w:bCs w:val="1"/>
          <w:color w:val="auto"/>
        </w:rPr>
        <w:t>Voluntary prepayment of Loan</w:t>
      </w:r>
    </w:p>
    <w:p>
      <w:pPr>
        <w:spacing w:after="0" w:line="229"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The Borrower may, if it gives the Lender not less than five (5) Business Days’ (or such shorter period as the Lender may agree) prior notice, prepay all or any portion of the Loan. When</w:t>
      </w:r>
    </w:p>
    <w:p>
      <w:pPr>
        <w:sectPr>
          <w:pgSz w:w="11900" w:h="16866" w:orient="portrait"/>
          <w:cols w:equalWidth="0" w:num="1">
            <w:col w:w="11400"/>
          </w:cols>
          <w:pgMar w:left="240" w:top="122" w:right="259" w:bottom="0" w:gutter="0" w:footer="0" w:header="0"/>
        </w:sectPr>
      </w:pPr>
    </w:p>
    <w:bookmarkStart w:id="173" w:name="page174"/>
    <w:bookmarkEnd w:id="173"/>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40"/>
        <w:spacing w:after="0" w:line="282" w:lineRule="auto"/>
        <w:rPr>
          <w:sz w:val="20"/>
          <w:szCs w:val="20"/>
          <w:color w:val="auto"/>
        </w:rPr>
      </w:pPr>
      <w:r>
        <w:rPr>
          <w:rFonts w:ascii="Times New Roman" w:cs="Times New Roman" w:eastAsia="Times New Roman" w:hAnsi="Times New Roman"/>
          <w:sz w:val="18"/>
          <w:szCs w:val="18"/>
          <w:color w:val="auto"/>
        </w:rPr>
        <w:t>the Borrower makes the prepayment of the Loan, the Borrower shall also pay the interest accrued on the amount prepaid to the Lender at the same time.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8"/>
          <w:szCs w:val="18"/>
          <w:b w:val="1"/>
          <w:bCs w:val="1"/>
          <w:color w:val="auto"/>
        </w:rPr>
        <w:t>Restrictions</w:t>
      </w:r>
    </w:p>
    <w:p>
      <w:pPr>
        <w:spacing w:after="0" w:line="229" w:lineRule="exact"/>
        <w:rPr>
          <w:sz w:val="20"/>
          <w:szCs w:val="20"/>
          <w:color w:val="auto"/>
        </w:rPr>
      </w:pPr>
    </w:p>
    <w:p>
      <w:pPr>
        <w:ind w:left="1400" w:right="220" w:hanging="744"/>
        <w:spacing w:after="0" w:line="282" w:lineRule="auto"/>
        <w:tabs>
          <w:tab w:leader="none" w:pos="1410" w:val="left"/>
        </w:tabs>
        <w:numPr>
          <w:ilvl w:val="1"/>
          <w:numId w:val="3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notice of cancellation or mandatory prepayment given by the Lender under this Clause 8 shall specify the date or dates upon which the relevant cancellation or mandatory prepayment is to be made and the amount of that cancellation or mandatory prepayment.</w:t>
      </w:r>
    </w:p>
    <w:p>
      <w:pPr>
        <w:spacing w:after="0" w:line="161"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1"/>
          <w:numId w:val="3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Borrower may not reborrow any part of the Facility which is prepaid.</w:t>
      </w:r>
    </w:p>
    <w:p>
      <w:pPr>
        <w:spacing w:after="0" w:line="225" w:lineRule="exact"/>
        <w:rPr>
          <w:rFonts w:ascii="Times New Roman" w:cs="Times New Roman" w:eastAsia="Times New Roman" w:hAnsi="Times New Roman"/>
          <w:sz w:val="18"/>
          <w:szCs w:val="18"/>
          <w:b w:val="1"/>
          <w:bCs w:val="1"/>
          <w:color w:val="auto"/>
        </w:rPr>
      </w:pPr>
    </w:p>
    <w:p>
      <w:pPr>
        <w:ind w:left="1400" w:hanging="744"/>
        <w:spacing w:after="0" w:line="282" w:lineRule="auto"/>
        <w:tabs>
          <w:tab w:leader="none" w:pos="1413" w:val="left"/>
        </w:tabs>
        <w:numPr>
          <w:ilvl w:val="1"/>
          <w:numId w:val="3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Borrower shall not repay or prepay all or any part of the Loan or cancel all or any part of the Available Facility except at the times and in the manner expressly provided for in this Agreement.</w:t>
      </w:r>
    </w:p>
    <w:p>
      <w:pPr>
        <w:spacing w:after="0" w:line="161"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1"/>
          <w:numId w:val="3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amount of the Available Facility cancelled under this Agreement may be subsequently reinstated.</w:t>
      </w:r>
    </w:p>
    <w:p>
      <w:pPr>
        <w:spacing w:after="0" w:line="22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GROSS UP AND INDEMNITIES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ind w:left="1400" w:hanging="744"/>
        <w:spacing w:after="0"/>
        <w:tabs>
          <w:tab w:leader="none" w:pos="1400" w:val="left"/>
        </w:tabs>
        <w:numPr>
          <w:ilvl w:val="0"/>
          <w:numId w:val="3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this Clause 9:</w:t>
      </w:r>
    </w:p>
    <w:p>
      <w:pPr>
        <w:spacing w:after="0" w:line="221" w:lineRule="exact"/>
        <w:rPr>
          <w:rFonts w:ascii="Times New Roman" w:cs="Times New Roman" w:eastAsia="Times New Roman" w:hAnsi="Times New Roman"/>
          <w:sz w:val="18"/>
          <w:szCs w:val="18"/>
          <w:b w:val="1"/>
          <w:bCs w:val="1"/>
          <w:color w:val="auto"/>
        </w:rPr>
      </w:pPr>
    </w:p>
    <w:p>
      <w:pPr>
        <w:ind w:left="1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Credit</w:t>
      </w:r>
      <w:r>
        <w:rPr>
          <w:rFonts w:ascii="Times New Roman" w:cs="Times New Roman" w:eastAsia="Times New Roman" w:hAnsi="Times New Roman"/>
          <w:sz w:val="18"/>
          <w:szCs w:val="18"/>
          <w:color w:val="auto"/>
        </w:rPr>
        <w:t>” means a credit against, relief or remission for, or repayment of any Tax.</w:t>
      </w:r>
    </w:p>
    <w:p>
      <w:pPr>
        <w:spacing w:after="0" w:line="225" w:lineRule="exact"/>
        <w:rPr>
          <w:rFonts w:ascii="Times New Roman" w:cs="Times New Roman" w:eastAsia="Times New Roman" w:hAnsi="Times New Roman"/>
          <w:sz w:val="18"/>
          <w:szCs w:val="18"/>
          <w:b w:val="1"/>
          <w:bCs w:val="1"/>
          <w:color w:val="auto"/>
        </w:rPr>
      </w:pPr>
    </w:p>
    <w:p>
      <w:pPr>
        <w:ind w:left="1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Deduction</w:t>
      </w:r>
      <w:r>
        <w:rPr>
          <w:rFonts w:ascii="Times New Roman" w:cs="Times New Roman" w:eastAsia="Times New Roman" w:hAnsi="Times New Roman"/>
          <w:sz w:val="18"/>
          <w:szCs w:val="18"/>
          <w:color w:val="auto"/>
        </w:rPr>
        <w:t>” means a deduction or withholding for or on account of Tax from a payment under a Finance Document.</w:t>
      </w:r>
    </w:p>
    <w:p>
      <w:pPr>
        <w:spacing w:after="0" w:line="225" w:lineRule="exact"/>
        <w:rPr>
          <w:rFonts w:ascii="Times New Roman" w:cs="Times New Roman" w:eastAsia="Times New Roman" w:hAnsi="Times New Roman"/>
          <w:sz w:val="18"/>
          <w:szCs w:val="18"/>
          <w:b w:val="1"/>
          <w:bCs w:val="1"/>
          <w:color w:val="auto"/>
        </w:rPr>
      </w:pPr>
    </w:p>
    <w:p>
      <w:pPr>
        <w:ind w:left="1420" w:right="4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Payment</w:t>
      </w:r>
      <w:r>
        <w:rPr>
          <w:rFonts w:ascii="Times New Roman" w:cs="Times New Roman" w:eastAsia="Times New Roman" w:hAnsi="Times New Roman"/>
          <w:sz w:val="18"/>
          <w:szCs w:val="18"/>
          <w:color w:val="auto"/>
        </w:rPr>
        <w:t>” means an increased payment made by an Obligor to the Lender under Clause 9.2 (</w:t>
      </w:r>
      <w:r>
        <w:rPr>
          <w:rFonts w:ascii="Times New Roman" w:cs="Times New Roman" w:eastAsia="Times New Roman" w:hAnsi="Times New Roman"/>
          <w:sz w:val="18"/>
          <w:szCs w:val="18"/>
          <w:i w:val="1"/>
          <w:iCs w:val="1"/>
          <w:color w:val="auto"/>
        </w:rPr>
        <w:t>Tax gross-up</w:t>
      </w:r>
      <w:r>
        <w:rPr>
          <w:rFonts w:ascii="Times New Roman" w:cs="Times New Roman" w:eastAsia="Times New Roman" w:hAnsi="Times New Roman"/>
          <w:sz w:val="18"/>
          <w:szCs w:val="18"/>
          <w:color w:val="auto"/>
        </w:rPr>
        <w:t>) or a payment under Clause 9.3 (</w:t>
      </w: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b w:val="1"/>
          <w:bCs w:val="1"/>
          <w:color w:val="auto"/>
        </w:rPr>
      </w:pPr>
    </w:p>
    <w:p>
      <w:pPr>
        <w:ind w:left="1400" w:right="400" w:hanging="744"/>
        <w:spacing w:after="0" w:line="282" w:lineRule="auto"/>
        <w:tabs>
          <w:tab w:leader="none" w:pos="1420" w:val="left"/>
        </w:tabs>
        <w:numPr>
          <w:ilvl w:val="0"/>
          <w:numId w:val="3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a contrary indication appears, in this Clause 9 a reference to “determines” or “determined” means a determination made in the absolute discretion of the person making the determination.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7"/>
          <w:szCs w:val="17"/>
          <w:b w:val="1"/>
          <w:bCs w:val="1"/>
          <w:color w:val="auto"/>
        </w:rPr>
        <w:t>Tax gross-up</w:t>
      </w:r>
    </w:p>
    <w:p>
      <w:pPr>
        <w:spacing w:after="0" w:line="229" w:lineRule="exact"/>
        <w:rPr>
          <w:sz w:val="20"/>
          <w:szCs w:val="20"/>
          <w:color w:val="auto"/>
        </w:rPr>
      </w:pPr>
    </w:p>
    <w:p>
      <w:pPr>
        <w:jc w:val="both"/>
        <w:ind w:left="1400" w:right="160" w:hanging="744"/>
        <w:spacing w:after="0" w:line="281" w:lineRule="auto"/>
        <w:tabs>
          <w:tab w:leader="none" w:pos="1410" w:val="left"/>
        </w:tabs>
        <w:numPr>
          <w:ilvl w:val="0"/>
          <w:numId w:val="3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All payments to be made by an Obligor to the Lender under the Finance Documents shall be made free and clear of and without any Tax Deduction unless such Obligor is required to make a Tax Deduction, in which case the sum payable by such Obligor (in respect of which such Tax Deduction is required to be made) shall be increased to the extent necessary to ensure that the Lender receives a sum net of any deduction or withholding equal to the sum which it would have received had no such Tax Deduction been made or required to be made.</w:t>
      </w:r>
    </w:p>
    <w:p>
      <w:pPr>
        <w:spacing w:after="0" w:line="164" w:lineRule="exact"/>
        <w:rPr>
          <w:rFonts w:ascii="Times New Roman" w:cs="Times New Roman" w:eastAsia="Times New Roman" w:hAnsi="Times New Roman"/>
          <w:sz w:val="17"/>
          <w:szCs w:val="17"/>
          <w:b w:val="1"/>
          <w:bCs w:val="1"/>
          <w:color w:val="auto"/>
        </w:rPr>
      </w:pPr>
    </w:p>
    <w:p>
      <w:pPr>
        <w:ind w:left="1400" w:right="100" w:hanging="744"/>
        <w:spacing w:after="0" w:line="266" w:lineRule="auto"/>
        <w:tabs>
          <w:tab w:leader="none" w:pos="1420" w:val="left"/>
        </w:tabs>
        <w:numPr>
          <w:ilvl w:val="0"/>
          <w:numId w:val="3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Borrower shall promptly upon becoming aware that an Obligor must make a Tax Deduction (or that there is any change in the rate or the basis of a Tax Deduction) notify the Lender accordingly. Similarly, the Lender shall notify the Borrower on becoming so aware in respect of a payment payable to the Lender.</w:t>
      </w:r>
    </w:p>
    <w:p>
      <w:pPr>
        <w:spacing w:after="0" w:line="176" w:lineRule="exact"/>
        <w:rPr>
          <w:rFonts w:ascii="Times New Roman" w:cs="Times New Roman" w:eastAsia="Times New Roman" w:hAnsi="Times New Roman"/>
          <w:sz w:val="18"/>
          <w:szCs w:val="18"/>
          <w:b w:val="1"/>
          <w:bCs w:val="1"/>
          <w:color w:val="auto"/>
        </w:rPr>
      </w:pPr>
    </w:p>
    <w:p>
      <w:pPr>
        <w:ind w:left="1400" w:right="260" w:hanging="744"/>
        <w:spacing w:after="0" w:line="282" w:lineRule="auto"/>
        <w:tabs>
          <w:tab w:leader="none" w:pos="1413" w:val="left"/>
        </w:tabs>
        <w:numPr>
          <w:ilvl w:val="0"/>
          <w:numId w:val="3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 Obligor is required to make a Tax Deduction, that Obligor shall make that Tax Deduction and any payment required in connection with that Tax Deduction within the time allowed and in the minimum amount required by law.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0" w:right="140" w:hanging="744"/>
        <w:spacing w:after="0" w:line="266" w:lineRule="auto"/>
        <w:tabs>
          <w:tab w:leader="none" w:pos="1420" w:val="left"/>
        </w:tabs>
        <w:numPr>
          <w:ilvl w:val="0"/>
          <w:numId w:val="3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Within thirty (30) days of making either a Tax Deduction or any payment required in connection with that Tax Deduction, the Obligor making that Tax Deduction shall deliver to the Lender entitled to the payment evidence reasonably satisfactory to the Lender that the Tax Deduction has been made or (as applicable) any appropriate payment paid to the relevant taxing authority.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7"/>
          <w:szCs w:val="17"/>
          <w:b w:val="1"/>
          <w:bCs w:val="1"/>
          <w:color w:val="auto"/>
        </w:rPr>
        <w:t>Tax indemnity</w:t>
      </w:r>
    </w:p>
    <w:p>
      <w:pPr>
        <w:spacing w:after="0" w:line="227" w:lineRule="exact"/>
        <w:rPr>
          <w:sz w:val="20"/>
          <w:szCs w:val="20"/>
          <w:color w:val="auto"/>
        </w:rPr>
      </w:pPr>
    </w:p>
    <w:p>
      <w:pPr>
        <w:ind w:left="1400" w:right="60" w:hanging="744"/>
        <w:spacing w:after="0" w:line="257" w:lineRule="auto"/>
        <w:tabs>
          <w:tab w:leader="none" w:pos="1410" w:val="left"/>
        </w:tabs>
        <w:numPr>
          <w:ilvl w:val="0"/>
          <w:numId w:val="3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Without prejudice to Clause 9.2 (</w:t>
      </w:r>
      <w:r>
        <w:rPr>
          <w:rFonts w:ascii="Times New Roman" w:cs="Times New Roman" w:eastAsia="Times New Roman" w:hAnsi="Times New Roman"/>
          <w:sz w:val="18"/>
          <w:szCs w:val="18"/>
          <w:i w:val="1"/>
          <w:iCs w:val="1"/>
          <w:color w:val="auto"/>
        </w:rPr>
        <w:t>Tax gross-up</w:t>
      </w:r>
      <w:r>
        <w:rPr>
          <w:rFonts w:ascii="Times New Roman" w:cs="Times New Roman" w:eastAsia="Times New Roman" w:hAnsi="Times New Roman"/>
          <w:sz w:val="18"/>
          <w:szCs w:val="18"/>
          <w:color w:val="auto"/>
        </w:rPr>
        <w:t>), if the Lender is required to make any payment of or on account of Tax on or in relation to any sum received or receivable under the Finance Documents (including any sum deemed for purposes of Tax to be received or receivable by the Lender whether or not actually received or receivable) or if any liability in respect of any such payment is asserted, imposed, levied or assessed against the Lender, the Borrower shall, within three (3) Business Days of demand of the Lender, promptly indemnify the Lender which suffers a loss or liability as a result against such payment or liability, together with any interest, penalties, costs and expenses payable or incurred in connection therewith, provided that this Clause 9.3 shall not apply to:</w:t>
      </w:r>
    </w:p>
    <w:p>
      <w:pPr>
        <w:spacing w:after="0" w:line="184" w:lineRule="exact"/>
        <w:rPr>
          <w:rFonts w:ascii="Times New Roman" w:cs="Times New Roman" w:eastAsia="Times New Roman" w:hAnsi="Times New Roman"/>
          <w:sz w:val="18"/>
          <w:szCs w:val="18"/>
          <w:b w:val="1"/>
          <w:bCs w:val="1"/>
          <w:color w:val="auto"/>
        </w:rPr>
      </w:pPr>
    </w:p>
    <w:p>
      <w:pPr>
        <w:ind w:left="2040" w:hanging="658"/>
        <w:spacing w:after="0" w:line="266" w:lineRule="auto"/>
        <w:tabs>
          <w:tab w:leader="none" w:pos="2055"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imposed on and calculated by reference to the net income actually received or receivable by the Lender (but, for the avoidance of doubt, not including any sum deemed for purposes of Tax to be received or receivable by the Lender but not actually receivable) by the jurisdiction in which the Lender is incorporated; or</w:t>
      </w:r>
    </w:p>
    <w:p>
      <w:pPr>
        <w:spacing w:after="0" w:line="176" w:lineRule="exact"/>
        <w:rPr>
          <w:rFonts w:ascii="Times New Roman" w:cs="Times New Roman" w:eastAsia="Times New Roman" w:hAnsi="Times New Roman"/>
          <w:sz w:val="18"/>
          <w:szCs w:val="18"/>
          <w:color w:val="auto"/>
        </w:rPr>
      </w:pPr>
    </w:p>
    <w:p>
      <w:pPr>
        <w:ind w:left="2040" w:right="260" w:hanging="658"/>
        <w:spacing w:after="0" w:line="266" w:lineRule="auto"/>
        <w:tabs>
          <w:tab w:leader="none" w:pos="2065"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imposed on and calculated by reference to the net income of the Facility Office of the Lender actually received or receivable by the Lender (but, for the avoidance of doubt, not including any sum deemed for purposes of Tax to be received or receivable by the Lender but not actually receivable) by the jurisdiction in which its Facility Office is located.</w:t>
      </w:r>
    </w:p>
    <w:p>
      <w:pPr>
        <w:spacing w:after="0" w:line="176"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0"/>
          <w:numId w:val="3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Lender intends to make a claim under sub-clause (a), it shall notify the Borrower of the event giving rise to the claim.</w:t>
      </w:r>
    </w:p>
    <w:p>
      <w:pPr>
        <w:sectPr>
          <w:pgSz w:w="11900" w:h="16870" w:orient="portrait"/>
          <w:cols w:equalWidth="0" w:num="1">
            <w:col w:w="11420"/>
          </w:cols>
          <w:pgMar w:left="240" w:top="337" w:right="239" w:bottom="0" w:gutter="0" w:footer="0" w:header="0"/>
        </w:sectPr>
      </w:pPr>
    </w:p>
    <w:bookmarkStart w:id="174" w:name="page175"/>
    <w:bookmarkEnd w:id="174"/>
    <w:p>
      <w:pPr>
        <w:spacing w:after="0" w:line="9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9.4</w:t>
      </w:r>
      <w:r>
        <w:rPr>
          <w:sz w:val="20"/>
          <w:szCs w:val="20"/>
          <w:color w:val="auto"/>
        </w:rPr>
        <w:tab/>
      </w:r>
      <w:r>
        <w:rPr>
          <w:rFonts w:ascii="Times New Roman" w:cs="Times New Roman" w:eastAsia="Times New Roman" w:hAnsi="Times New Roman"/>
          <w:sz w:val="17"/>
          <w:szCs w:val="17"/>
          <w:b w:val="1"/>
          <w:bCs w:val="1"/>
          <w:color w:val="auto"/>
        </w:rPr>
        <w:t>Tax credit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 Obligor makes a Tax Payment and the Lender determines that:</w:t>
      </w:r>
    </w:p>
    <w:p>
      <w:pPr>
        <w:spacing w:after="0" w:line="225" w:lineRule="exact"/>
        <w:rPr>
          <w:sz w:val="20"/>
          <w:szCs w:val="20"/>
          <w:color w:val="auto"/>
        </w:rPr>
      </w:pPr>
    </w:p>
    <w:p>
      <w:pPr>
        <w:ind w:left="1400" w:hanging="744"/>
        <w:spacing w:after="0"/>
        <w:tabs>
          <w:tab w:leader="none" w:pos="1400" w:val="left"/>
        </w:tabs>
        <w:numPr>
          <w:ilvl w:val="0"/>
          <w:numId w:val="3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Tax Credit is attributable to that Tax Payment; and</w:t>
      </w:r>
    </w:p>
    <w:p>
      <w:pPr>
        <w:spacing w:after="0" w:line="225"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3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Lender has obtained, utilised and retained that Tax Credit,</w:t>
      </w:r>
    </w:p>
    <w:p>
      <w:pPr>
        <w:spacing w:after="0" w:line="225" w:lineRule="exact"/>
        <w:rPr>
          <w:sz w:val="20"/>
          <w:szCs w:val="20"/>
          <w:color w:val="auto"/>
        </w:rPr>
      </w:pPr>
    </w:p>
    <w:p>
      <w:pPr>
        <w:ind w:left="660" w:right="340"/>
        <w:spacing w:after="0" w:line="282" w:lineRule="auto"/>
        <w:rPr>
          <w:sz w:val="20"/>
          <w:szCs w:val="20"/>
          <w:color w:val="auto"/>
        </w:rPr>
      </w:pPr>
      <w:r>
        <w:rPr>
          <w:rFonts w:ascii="Times New Roman" w:cs="Times New Roman" w:eastAsia="Times New Roman" w:hAnsi="Times New Roman"/>
          <w:sz w:val="18"/>
          <w:szCs w:val="18"/>
          <w:color w:val="auto"/>
        </w:rPr>
        <w:t>the Lender shall pay an amount to the Obligor which the Lender determines will leave it (after that payment) in the same after-Tax position as it would have been in had the Tax Payment not been required to be made by the Obligor.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9.5</w:t>
      </w:r>
      <w:r>
        <w:rPr>
          <w:sz w:val="20"/>
          <w:szCs w:val="20"/>
          <w:color w:val="auto"/>
        </w:rPr>
        <w:tab/>
      </w:r>
      <w:r>
        <w:rPr>
          <w:rFonts w:ascii="Times New Roman" w:cs="Times New Roman" w:eastAsia="Times New Roman" w:hAnsi="Times New Roman"/>
          <w:sz w:val="17"/>
          <w:szCs w:val="17"/>
          <w:b w:val="1"/>
          <w:bCs w:val="1"/>
          <w:color w:val="auto"/>
        </w:rPr>
        <w:t>Stamp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shall:</w:t>
      </w:r>
    </w:p>
    <w:p>
      <w:pPr>
        <w:spacing w:after="0" w:line="225" w:lineRule="exact"/>
        <w:rPr>
          <w:sz w:val="20"/>
          <w:szCs w:val="20"/>
          <w:color w:val="auto"/>
        </w:rPr>
      </w:pPr>
    </w:p>
    <w:p>
      <w:pPr>
        <w:ind w:left="1400" w:hanging="744"/>
        <w:spacing w:after="0"/>
        <w:tabs>
          <w:tab w:leader="none" w:pos="1400" w:val="left"/>
        </w:tabs>
        <w:numPr>
          <w:ilvl w:val="0"/>
          <w:numId w:val="3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pay all stamp duty, registration and other similar Taxes payable in respect of any Finance Document, and</w:t>
      </w:r>
    </w:p>
    <w:p>
      <w:pPr>
        <w:spacing w:after="0" w:line="225" w:lineRule="exact"/>
        <w:rPr>
          <w:rFonts w:ascii="Times New Roman" w:cs="Times New Roman" w:eastAsia="Times New Roman" w:hAnsi="Times New Roman"/>
          <w:sz w:val="18"/>
          <w:szCs w:val="18"/>
          <w:b w:val="1"/>
          <w:bCs w:val="1"/>
          <w:color w:val="auto"/>
        </w:rPr>
      </w:pPr>
    </w:p>
    <w:p>
      <w:pPr>
        <w:ind w:left="1400" w:right="100" w:hanging="744"/>
        <w:spacing w:after="0" w:line="282" w:lineRule="auto"/>
        <w:tabs>
          <w:tab w:leader="none" w:pos="1422" w:val="left"/>
        </w:tabs>
        <w:numPr>
          <w:ilvl w:val="0"/>
          <w:numId w:val="3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within three (3) Business Days of demand, indemnify the Lender against any cost, loss or liability that the Lender incurs in relation to all stamp duty, registration and other similar Taxes payable in respect of any Finance Document.</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9.6</w:t>
      </w:r>
      <w:r>
        <w:rPr>
          <w:sz w:val="20"/>
          <w:szCs w:val="20"/>
          <w:color w:val="auto"/>
        </w:rPr>
        <w:tab/>
      </w:r>
      <w:r>
        <w:rPr>
          <w:rFonts w:ascii="Times New Roman" w:cs="Times New Roman" w:eastAsia="Times New Roman" w:hAnsi="Times New Roman"/>
          <w:sz w:val="17"/>
          <w:szCs w:val="17"/>
          <w:b w:val="1"/>
          <w:bCs w:val="1"/>
          <w:color w:val="auto"/>
        </w:rPr>
        <w:t>Indirect tax</w:t>
      </w:r>
    </w:p>
    <w:p>
      <w:pPr>
        <w:spacing w:after="0" w:line="229" w:lineRule="exact"/>
        <w:rPr>
          <w:sz w:val="20"/>
          <w:szCs w:val="20"/>
          <w:color w:val="auto"/>
        </w:rPr>
      </w:pPr>
    </w:p>
    <w:p>
      <w:pPr>
        <w:jc w:val="both"/>
        <w:ind w:left="1400" w:hanging="744"/>
        <w:spacing w:after="0" w:line="261" w:lineRule="auto"/>
        <w:tabs>
          <w:tab w:leader="none" w:pos="1412" w:val="left"/>
        </w:tabs>
        <w:numPr>
          <w:ilvl w:val="1"/>
          <w:numId w:val="3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consideration expressed to be payable under a Finance Document by any Obligor to the Lender shall be deemed to be exclusive of any Indirect Tax. If any Indirect Tax is chargeable on any supply made by the Lender to any Obligor in connection with a Finance Document, that Obligor shall pay to the Lender (in addition to and at the same time as paying the consideration) an amount equal to the amount of the Indirect Tax.</w:t>
      </w:r>
    </w:p>
    <w:p>
      <w:pPr>
        <w:spacing w:after="0" w:line="180" w:lineRule="exact"/>
        <w:rPr>
          <w:rFonts w:ascii="Times New Roman" w:cs="Times New Roman" w:eastAsia="Times New Roman" w:hAnsi="Times New Roman"/>
          <w:sz w:val="18"/>
          <w:szCs w:val="18"/>
          <w:b w:val="1"/>
          <w:bCs w:val="1"/>
          <w:color w:val="auto"/>
        </w:rPr>
      </w:pPr>
    </w:p>
    <w:p>
      <w:pPr>
        <w:ind w:left="1400" w:right="240" w:hanging="744"/>
        <w:spacing w:after="0" w:line="266" w:lineRule="auto"/>
        <w:tabs>
          <w:tab w:leader="none" w:pos="1422" w:val="left"/>
        </w:tabs>
        <w:numPr>
          <w:ilvl w:val="1"/>
          <w:numId w:val="3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Where a Finance Document requires any Obligor to reimburse the Lender for any costs or expenses, that Obligor shall also at the same time pay and indemnify the Lender against all Indirect Tax incurred by the Lender in respect of the costs or expenses to the extent the Lender reasonably determines that it is not entitled to credit or repayment in respect of the Indirect Tax.</w:t>
      </w:r>
    </w:p>
    <w:p>
      <w:pPr>
        <w:spacing w:after="0" w:line="172"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INCREASED COSTS</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7"/>
          <w:szCs w:val="17"/>
          <w:b w:val="1"/>
          <w:bCs w:val="1"/>
          <w:color w:val="auto"/>
        </w:rPr>
        <w:t>Increased costs</w:t>
      </w:r>
    </w:p>
    <w:p>
      <w:pPr>
        <w:spacing w:after="0" w:line="227" w:lineRule="exact"/>
        <w:rPr>
          <w:sz w:val="20"/>
          <w:szCs w:val="20"/>
          <w:color w:val="auto"/>
        </w:rPr>
      </w:pPr>
    </w:p>
    <w:p>
      <w:pPr>
        <w:jc w:val="both"/>
        <w:ind w:left="1400" w:right="100" w:hanging="744"/>
        <w:spacing w:after="0" w:line="267" w:lineRule="auto"/>
        <w:tabs>
          <w:tab w:leader="none" w:pos="1412" w:val="left"/>
        </w:tabs>
        <w:numPr>
          <w:ilvl w:val="0"/>
          <w:numId w:val="3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Clause 10.3 (</w:t>
      </w:r>
      <w:r>
        <w:rPr>
          <w:rFonts w:ascii="Times New Roman" w:cs="Times New Roman" w:eastAsia="Times New Roman" w:hAnsi="Times New Roman"/>
          <w:sz w:val="18"/>
          <w:szCs w:val="18"/>
          <w:i w:val="1"/>
          <w:iCs w:val="1"/>
          <w:color w:val="auto"/>
        </w:rPr>
        <w:t>Exceptions</w:t>
      </w:r>
      <w:r>
        <w:rPr>
          <w:rFonts w:ascii="Times New Roman" w:cs="Times New Roman" w:eastAsia="Times New Roman" w:hAnsi="Times New Roman"/>
          <w:sz w:val="18"/>
          <w:szCs w:val="18"/>
          <w:color w:val="auto"/>
        </w:rPr>
        <w:t>) the Borrower shall, within three (3) Business Days of a demand by the Lender, pay to the Lender the amount of any Increased Costs incurred by the Lender as a result of (A) any Fund Raising, (B) the introduction of or any change in (or in the interpretation, administration or application of) any law or regulation after the Execution Date and the compliance thereof.</w:t>
      </w:r>
    </w:p>
    <w:p>
      <w:pPr>
        <w:spacing w:after="0" w:line="171"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3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this Agreement “</w:t>
      </w:r>
      <w:r>
        <w:rPr>
          <w:rFonts w:ascii="Times New Roman" w:cs="Times New Roman" w:eastAsia="Times New Roman" w:hAnsi="Times New Roman"/>
          <w:sz w:val="18"/>
          <w:szCs w:val="18"/>
          <w:b w:val="1"/>
          <w:bCs w:val="1"/>
          <w:color w:val="auto"/>
        </w:rPr>
        <w:t>Increased Costs</w:t>
      </w:r>
      <w:r>
        <w:rPr>
          <w:rFonts w:ascii="Times New Roman" w:cs="Times New Roman" w:eastAsia="Times New Roman" w:hAnsi="Times New Roman"/>
          <w:sz w:val="18"/>
          <w:szCs w:val="18"/>
          <w:color w:val="auto"/>
        </w:rPr>
        <w:t>” means:</w:t>
      </w:r>
    </w:p>
    <w:p>
      <w:pPr>
        <w:spacing w:after="0" w:line="229" w:lineRule="exact"/>
        <w:rPr>
          <w:rFonts w:ascii="Times New Roman" w:cs="Times New Roman" w:eastAsia="Times New Roman" w:hAnsi="Times New Roman"/>
          <w:sz w:val="18"/>
          <w:szCs w:val="18"/>
          <w:b w:val="1"/>
          <w:bCs w:val="1"/>
          <w:color w:val="auto"/>
        </w:rPr>
      </w:pPr>
    </w:p>
    <w:p>
      <w:pPr>
        <w:ind w:left="2120" w:right="240" w:hanging="728"/>
        <w:spacing w:after="0" w:line="282" w:lineRule="auto"/>
        <w:tabs>
          <w:tab w:leader="none" w:pos="2148"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rate of return from the Facility or on the Lender’s (or its Affiliate’s) overall capital (including as a result of any reduction in the rate of return on capital brought about by more capital being required to be allocated by the Lender);</w:t>
      </w:r>
    </w:p>
    <w:p>
      <w:pPr>
        <w:spacing w:after="0" w:line="161" w:lineRule="exact"/>
        <w:rPr>
          <w:rFonts w:ascii="Times New Roman" w:cs="Times New Roman" w:eastAsia="Times New Roman" w:hAnsi="Times New Roman"/>
          <w:sz w:val="18"/>
          <w:szCs w:val="18"/>
          <w:color w:val="auto"/>
        </w:rPr>
      </w:pPr>
    </w:p>
    <w:p>
      <w:pPr>
        <w:ind w:left="2160" w:hanging="768"/>
        <w:spacing w:after="0"/>
        <w:tabs>
          <w:tab w:leader="none" w:pos="2160"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or increased cost as a result of, among others, any Fund Raising; or</w:t>
      </w:r>
    </w:p>
    <w:p>
      <w:pPr>
        <w:spacing w:after="0" w:line="225" w:lineRule="exact"/>
        <w:rPr>
          <w:rFonts w:ascii="Times New Roman" w:cs="Times New Roman" w:eastAsia="Times New Roman" w:hAnsi="Times New Roman"/>
          <w:sz w:val="18"/>
          <w:szCs w:val="18"/>
          <w:color w:val="auto"/>
        </w:rPr>
      </w:pPr>
    </w:p>
    <w:p>
      <w:pPr>
        <w:ind w:left="2160" w:hanging="768"/>
        <w:spacing w:after="0"/>
        <w:tabs>
          <w:tab w:leader="none" w:pos="2160"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of any amount due and payable under any Finance Document,</w:t>
      </w:r>
    </w:p>
    <w:p>
      <w:pPr>
        <w:spacing w:after="0" w:line="225" w:lineRule="exact"/>
        <w:rPr>
          <w:sz w:val="20"/>
          <w:szCs w:val="20"/>
          <w:color w:val="auto"/>
        </w:rPr>
      </w:pPr>
    </w:p>
    <w:p>
      <w:pPr>
        <w:ind w:left="1420" w:right="140"/>
        <w:spacing w:after="0" w:line="282" w:lineRule="auto"/>
        <w:rPr>
          <w:sz w:val="20"/>
          <w:szCs w:val="20"/>
          <w:color w:val="auto"/>
        </w:rPr>
      </w:pPr>
      <w:r>
        <w:rPr>
          <w:rFonts w:ascii="Times New Roman" w:cs="Times New Roman" w:eastAsia="Times New Roman" w:hAnsi="Times New Roman"/>
          <w:sz w:val="18"/>
          <w:szCs w:val="18"/>
          <w:color w:val="auto"/>
        </w:rPr>
        <w:t>which is incurred or suffered by the Lender or any of its Affiliates to the extent that it is attributable to the Lender having entered into or funding or performing its obligations under any Finance Document.</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8"/>
          <w:szCs w:val="18"/>
          <w:b w:val="1"/>
          <w:bCs w:val="1"/>
          <w:color w:val="auto"/>
        </w:rPr>
        <w:t>Increased cost claims</w:t>
      </w:r>
    </w:p>
    <w:p>
      <w:pPr>
        <w:spacing w:after="0" w:line="227" w:lineRule="exact"/>
        <w:rPr>
          <w:sz w:val="20"/>
          <w:szCs w:val="20"/>
          <w:color w:val="auto"/>
        </w:rPr>
      </w:pPr>
    </w:p>
    <w:p>
      <w:pPr>
        <w:ind w:left="1400" w:right="40" w:hanging="744"/>
        <w:spacing w:after="0" w:line="284" w:lineRule="auto"/>
        <w:tabs>
          <w:tab w:leader="none" w:pos="1412" w:val="left"/>
        </w:tabs>
        <w:numPr>
          <w:ilvl w:val="0"/>
          <w:numId w:val="3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Lender intends to make a claim pursuant to Clause 10.1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it shall notify the Borrower of the event giving rise to the claim.</w:t>
      </w:r>
    </w:p>
    <w:p>
      <w:pPr>
        <w:spacing w:after="0" w:line="160" w:lineRule="exact"/>
        <w:rPr>
          <w:rFonts w:ascii="Times New Roman" w:cs="Times New Roman" w:eastAsia="Times New Roman" w:hAnsi="Times New Roman"/>
          <w:sz w:val="18"/>
          <w:szCs w:val="18"/>
          <w:b w:val="1"/>
          <w:bCs w:val="1"/>
          <w:color w:val="auto"/>
        </w:rPr>
      </w:pPr>
    </w:p>
    <w:p>
      <w:pPr>
        <w:ind w:left="1400" w:right="360" w:hanging="744"/>
        <w:spacing w:after="0" w:line="282" w:lineRule="auto"/>
        <w:tabs>
          <w:tab w:leader="none" w:pos="1422" w:val="left"/>
        </w:tabs>
        <w:numPr>
          <w:ilvl w:val="0"/>
          <w:numId w:val="3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Lender shall, as soon as practicable after a demand by the Borrower, provide a certificate confirming the amount of its Increased Costs.</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7"/>
          <w:szCs w:val="17"/>
          <w:b w:val="1"/>
          <w:bCs w:val="1"/>
          <w:color w:val="auto"/>
        </w:rPr>
        <w:t>Exceptions</w:t>
      </w:r>
    </w:p>
    <w:p>
      <w:pPr>
        <w:spacing w:after="0" w:line="227" w:lineRule="exact"/>
        <w:rPr>
          <w:sz w:val="20"/>
          <w:szCs w:val="20"/>
          <w:color w:val="auto"/>
        </w:rPr>
      </w:pPr>
    </w:p>
    <w:p>
      <w:pPr>
        <w:ind w:left="1400" w:hanging="744"/>
        <w:spacing w:after="0"/>
        <w:tabs>
          <w:tab w:leader="none" w:pos="1400" w:val="left"/>
        </w:tabs>
        <w:numPr>
          <w:ilvl w:val="0"/>
          <w:numId w:val="3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Clause 10.1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does not apply to the extent any Increased Cost is:</w:t>
      </w:r>
    </w:p>
    <w:p>
      <w:pPr>
        <w:spacing w:after="0" w:line="227" w:lineRule="exact"/>
        <w:rPr>
          <w:rFonts w:ascii="Times New Roman" w:cs="Times New Roman" w:eastAsia="Times New Roman" w:hAnsi="Times New Roman"/>
          <w:sz w:val="18"/>
          <w:szCs w:val="18"/>
          <w:b w:val="1"/>
          <w:bCs w:val="1"/>
          <w:color w:val="auto"/>
        </w:rPr>
      </w:pPr>
    </w:p>
    <w:p>
      <w:pPr>
        <w:ind w:left="5620" w:right="3700" w:hanging="4238"/>
        <w:spacing w:after="0" w:line="532" w:lineRule="auto"/>
        <w:tabs>
          <w:tab w:leader="none" w:pos="2129"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to a Tax Deduction required by law to be made by an Obligor; or 12</w:t>
      </w:r>
    </w:p>
    <w:p>
      <w:pPr>
        <w:spacing w:after="0" w:line="200" w:lineRule="exact"/>
        <w:rPr>
          <w:rFonts w:ascii="Times New Roman" w:cs="Times New Roman" w:eastAsia="Times New Roman" w:hAnsi="Times New Roman"/>
          <w:sz w:val="18"/>
          <w:szCs w:val="18"/>
          <w:color w:val="auto"/>
        </w:rPr>
      </w:pPr>
    </w:p>
    <w:p>
      <w:pPr>
        <w:spacing w:after="0" w:line="244" w:lineRule="exact"/>
        <w:rPr>
          <w:rFonts w:ascii="Times New Roman" w:cs="Times New Roman" w:eastAsia="Times New Roman" w:hAnsi="Times New Roman"/>
          <w:sz w:val="18"/>
          <w:szCs w:val="18"/>
          <w:color w:val="auto"/>
        </w:rPr>
      </w:pPr>
    </w:p>
    <w:p>
      <w:pPr>
        <w:ind w:left="2120" w:right="20" w:hanging="738"/>
        <w:spacing w:after="0" w:line="284" w:lineRule="auto"/>
        <w:tabs>
          <w:tab w:leader="none" w:pos="2147"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compensated for by Clause 9.3 (</w:t>
      </w: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 (or would have been compensated for under Clause 9.3 (</w:t>
      </w: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 but was not so compensated solely because the exclusion in sub-clause (a) applied).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-685800</wp:posOffset>
            </wp:positionV>
            <wp:extent cx="726757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935" w:orient="portrait"/>
          <w:cols w:equalWidth="0" w:num="1">
            <w:col w:w="11360"/>
          </w:cols>
          <w:pgMar w:left="240" w:top="334" w:right="299" w:bottom="0" w:gutter="0" w:footer="0" w:header="0"/>
        </w:sectPr>
      </w:pPr>
    </w:p>
    <w:bookmarkStart w:id="175" w:name="page176"/>
    <w:bookmarkEnd w:id="175"/>
    <w:p>
      <w:pPr>
        <w:spacing w:after="0" w:line="13" w:lineRule="exact"/>
        <w:rPr>
          <w:sz w:val="20"/>
          <w:szCs w:val="20"/>
          <w:color w:val="auto"/>
        </w:rPr>
      </w:pPr>
    </w:p>
    <w:p>
      <w:pPr>
        <w:ind w:left="1420" w:hanging="764"/>
        <w:spacing w:after="0"/>
        <w:tabs>
          <w:tab w:leader="none" w:pos="1420" w:val="left"/>
        </w:tabs>
        <w:numPr>
          <w:ilvl w:val="1"/>
          <w:numId w:val="3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this Clause 10.3, a reference to a “Tax Deduction” has the same meaning given to the term in Clause 9.1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b w:val="1"/>
          <w:bCs w:val="1"/>
          <w:color w:val="auto"/>
        </w:rPr>
      </w:pPr>
    </w:p>
    <w:p>
      <w:pPr>
        <w:ind w:left="640" w:hanging="632"/>
        <w:spacing w:after="0"/>
        <w:tabs>
          <w:tab w:leader="none" w:pos="640" w:val="left"/>
        </w:tabs>
        <w:numPr>
          <w:ilvl w:val="0"/>
          <w:numId w:val="3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MITIGATION BY THE LENDER</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11.1</w:t>
      </w:r>
      <w:r>
        <w:rPr>
          <w:sz w:val="20"/>
          <w:szCs w:val="20"/>
          <w:color w:val="auto"/>
        </w:rPr>
        <w:tab/>
      </w:r>
      <w:r>
        <w:rPr>
          <w:rFonts w:ascii="Times New Roman" w:cs="Times New Roman" w:eastAsia="Times New Roman" w:hAnsi="Times New Roman"/>
          <w:sz w:val="17"/>
          <w:szCs w:val="17"/>
          <w:b w:val="1"/>
          <w:bCs w:val="1"/>
          <w:color w:val="auto"/>
        </w:rPr>
        <w:t>Mitigation</w:t>
      </w:r>
    </w:p>
    <w:p>
      <w:pPr>
        <w:spacing w:after="0" w:line="229" w:lineRule="exact"/>
        <w:rPr>
          <w:sz w:val="20"/>
          <w:szCs w:val="20"/>
          <w:color w:val="auto"/>
        </w:rPr>
      </w:pPr>
    </w:p>
    <w:p>
      <w:pPr>
        <w:ind w:left="1400" w:right="60" w:hanging="744"/>
        <w:spacing w:after="0" w:line="258" w:lineRule="auto"/>
        <w:tabs>
          <w:tab w:leader="none" w:pos="1410" w:val="left"/>
        </w:tabs>
        <w:numPr>
          <w:ilvl w:val="0"/>
          <w:numId w:val="3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Lender shall, in consultation with the Borrower, take all reasonable steps to mitigate any circumstances which arise and which would result in any amount becoming payable under or pursuant to, or cancelled pursuant to, any of Clause 8.1 (</w:t>
      </w:r>
      <w:r>
        <w:rPr>
          <w:rFonts w:ascii="Times New Roman" w:cs="Times New Roman" w:eastAsia="Times New Roman" w:hAnsi="Times New Roman"/>
          <w:sz w:val="18"/>
          <w:szCs w:val="18"/>
          <w:i w:val="1"/>
          <w:iCs w:val="1"/>
          <w:color w:val="auto"/>
        </w:rPr>
        <w:t>Illegality and Mandatory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Prepayment</w:t>
      </w:r>
      <w:r>
        <w:rPr>
          <w:rFonts w:ascii="Times New Roman" w:cs="Times New Roman" w:eastAsia="Times New Roman" w:hAnsi="Times New Roman"/>
          <w:sz w:val="18"/>
          <w:szCs w:val="18"/>
          <w:color w:val="auto"/>
        </w:rPr>
        <w:t>), Clause 9 (</w:t>
      </w:r>
      <w:r>
        <w:rPr>
          <w:rFonts w:ascii="Times New Roman" w:cs="Times New Roman" w:eastAsia="Times New Roman" w:hAnsi="Times New Roman"/>
          <w:sz w:val="18"/>
          <w:szCs w:val="18"/>
          <w:i w:val="1"/>
          <w:iCs w:val="1"/>
          <w:color w:val="auto"/>
        </w:rPr>
        <w:t>Tax gross-up and indemnities</w:t>
      </w:r>
      <w:r>
        <w:rPr>
          <w:rFonts w:ascii="Times New Roman" w:cs="Times New Roman" w:eastAsia="Times New Roman" w:hAnsi="Times New Roman"/>
          <w:sz w:val="18"/>
          <w:szCs w:val="18"/>
          <w:color w:val="auto"/>
        </w:rPr>
        <w:t>) or Clause 10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including transferring its rights and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Finance Documents to another Affiliate or Facility Office in relation to any circumstances which arise following the Execution Date.</w:t>
      </w:r>
    </w:p>
    <w:p>
      <w:pPr>
        <w:spacing w:after="0" w:line="183"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3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Sub-clause (a) above does not in any way limit the obligations of any Obligor under the Finance Documents.</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11.2</w:t>
      </w:r>
      <w:r>
        <w:rPr>
          <w:sz w:val="20"/>
          <w:szCs w:val="20"/>
          <w:color w:val="auto"/>
        </w:rPr>
        <w:tab/>
      </w:r>
      <w:r>
        <w:rPr>
          <w:rFonts w:ascii="Times New Roman" w:cs="Times New Roman" w:eastAsia="Times New Roman" w:hAnsi="Times New Roman"/>
          <w:sz w:val="17"/>
          <w:szCs w:val="17"/>
          <w:b w:val="1"/>
          <w:bCs w:val="1"/>
          <w:color w:val="auto"/>
        </w:rPr>
        <w:t>Limitation of liability</w:t>
      </w:r>
    </w:p>
    <w:p>
      <w:pPr>
        <w:spacing w:after="0" w:line="229" w:lineRule="exact"/>
        <w:rPr>
          <w:sz w:val="20"/>
          <w:szCs w:val="20"/>
          <w:color w:val="auto"/>
        </w:rPr>
      </w:pPr>
    </w:p>
    <w:p>
      <w:pPr>
        <w:ind w:left="1400" w:right="60" w:hanging="744"/>
        <w:spacing w:after="0" w:line="282" w:lineRule="auto"/>
        <w:tabs>
          <w:tab w:leader="none" w:pos="1410" w:val="left"/>
        </w:tabs>
        <w:numPr>
          <w:ilvl w:val="0"/>
          <w:numId w:val="3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Borrower shall promptly indemnify the Lender for all costs and expenses incurred by the Lender as a result of steps taken by it under Clause 11.1 (</w:t>
      </w:r>
      <w:r>
        <w:rPr>
          <w:rFonts w:ascii="Times New Roman" w:cs="Times New Roman" w:eastAsia="Times New Roman" w:hAnsi="Times New Roman"/>
          <w:sz w:val="18"/>
          <w:szCs w:val="18"/>
          <w:i w:val="1"/>
          <w:iCs w:val="1"/>
          <w:color w:val="auto"/>
        </w:rPr>
        <w:t>Mitigation</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b w:val="1"/>
          <w:bCs w:val="1"/>
          <w:color w:val="auto"/>
        </w:rPr>
      </w:pPr>
    </w:p>
    <w:p>
      <w:pPr>
        <w:ind w:left="1400" w:hanging="744"/>
        <w:spacing w:after="0" w:line="284" w:lineRule="auto"/>
        <w:tabs>
          <w:tab w:leader="none" w:pos="1420" w:val="left"/>
        </w:tabs>
        <w:numPr>
          <w:ilvl w:val="0"/>
          <w:numId w:val="3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Lender is not obliged to take any steps under Clause 11.1 (</w:t>
      </w:r>
      <w:r>
        <w:rPr>
          <w:rFonts w:ascii="Times New Roman" w:cs="Times New Roman" w:eastAsia="Times New Roman" w:hAnsi="Times New Roman"/>
          <w:sz w:val="18"/>
          <w:szCs w:val="18"/>
          <w:i w:val="1"/>
          <w:iCs w:val="1"/>
          <w:color w:val="auto"/>
        </w:rPr>
        <w:t>Mitigation</w:t>
      </w:r>
      <w:r>
        <w:rPr>
          <w:rFonts w:ascii="Times New Roman" w:cs="Times New Roman" w:eastAsia="Times New Roman" w:hAnsi="Times New Roman"/>
          <w:sz w:val="18"/>
          <w:szCs w:val="18"/>
          <w:color w:val="auto"/>
        </w:rPr>
        <w:t>) if, in the opinion of the Lender, to do so might be prejudicial to it.</w:t>
      </w:r>
    </w:p>
    <w:p>
      <w:pPr>
        <w:spacing w:after="0" w:line="1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11.3</w:t>
      </w:r>
      <w:r>
        <w:rPr>
          <w:sz w:val="20"/>
          <w:szCs w:val="20"/>
          <w:color w:val="auto"/>
        </w:rPr>
        <w:tab/>
      </w:r>
      <w:r>
        <w:rPr>
          <w:rFonts w:ascii="Times New Roman" w:cs="Times New Roman" w:eastAsia="Times New Roman" w:hAnsi="Times New Roman"/>
          <w:sz w:val="17"/>
          <w:szCs w:val="17"/>
          <w:b w:val="1"/>
          <w:bCs w:val="1"/>
          <w:color w:val="auto"/>
        </w:rPr>
        <w:t>Conduct of business by the Lender</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 provision of this Agreement will:</w:t>
      </w:r>
    </w:p>
    <w:p>
      <w:pPr>
        <w:spacing w:after="0" w:line="225" w:lineRule="exact"/>
        <w:rPr>
          <w:sz w:val="20"/>
          <w:szCs w:val="20"/>
          <w:color w:val="auto"/>
        </w:rPr>
      </w:pPr>
    </w:p>
    <w:p>
      <w:pPr>
        <w:ind w:left="1400" w:hanging="744"/>
        <w:spacing w:after="0"/>
        <w:tabs>
          <w:tab w:leader="none" w:pos="1400" w:val="left"/>
        </w:tabs>
        <w:numPr>
          <w:ilvl w:val="1"/>
          <w:numId w:val="3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interfere with the right of the Lender to arrange its affairs (tax or otherwise) in whatever manner it thinks fit;</w:t>
      </w:r>
    </w:p>
    <w:p>
      <w:pPr>
        <w:spacing w:after="0" w:line="225" w:lineRule="exact"/>
        <w:rPr>
          <w:rFonts w:ascii="Times New Roman" w:cs="Times New Roman" w:eastAsia="Times New Roman" w:hAnsi="Times New Roman"/>
          <w:sz w:val="18"/>
          <w:szCs w:val="18"/>
          <w:b w:val="1"/>
          <w:bCs w:val="1"/>
          <w:color w:val="auto"/>
        </w:rPr>
      </w:pPr>
    </w:p>
    <w:p>
      <w:pPr>
        <w:ind w:left="1400" w:right="200" w:hanging="744"/>
        <w:spacing w:after="0" w:line="282" w:lineRule="auto"/>
        <w:tabs>
          <w:tab w:leader="none" w:pos="1420" w:val="left"/>
        </w:tabs>
        <w:numPr>
          <w:ilvl w:val="1"/>
          <w:numId w:val="3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oblige the Lender to investigate or claim any credit, relief, remission or repayment available to it or the extent, order and manner of any claim; or</w:t>
      </w:r>
    </w:p>
    <w:p>
      <w:pPr>
        <w:spacing w:after="0" w:line="161" w:lineRule="exact"/>
        <w:rPr>
          <w:rFonts w:ascii="Times New Roman" w:cs="Times New Roman" w:eastAsia="Times New Roman" w:hAnsi="Times New Roman"/>
          <w:sz w:val="18"/>
          <w:szCs w:val="18"/>
          <w:b w:val="1"/>
          <w:bCs w:val="1"/>
          <w:color w:val="auto"/>
        </w:rPr>
      </w:pPr>
    </w:p>
    <w:p>
      <w:pPr>
        <w:ind w:left="1400" w:right="80" w:hanging="744"/>
        <w:spacing w:after="0" w:line="282" w:lineRule="auto"/>
        <w:tabs>
          <w:tab w:leader="none" w:pos="1413" w:val="left"/>
        </w:tabs>
        <w:numPr>
          <w:ilvl w:val="1"/>
          <w:numId w:val="3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oblige the Lender to disclose any information relating to its affairs (tax, foreign exchange or otherwise) or any computations in respect of Tax.</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INDEMNITIES</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12.1</w:t>
      </w:r>
      <w:r>
        <w:rPr>
          <w:sz w:val="20"/>
          <w:szCs w:val="20"/>
          <w:color w:val="auto"/>
        </w:rPr>
        <w:tab/>
      </w:r>
      <w:r>
        <w:rPr>
          <w:rFonts w:ascii="Times New Roman" w:cs="Times New Roman" w:eastAsia="Times New Roman" w:hAnsi="Times New Roman"/>
          <w:sz w:val="17"/>
          <w:szCs w:val="17"/>
          <w:b w:val="1"/>
          <w:bCs w:val="1"/>
          <w:color w:val="auto"/>
        </w:rPr>
        <w:t>Currency indemnity</w:t>
      </w:r>
    </w:p>
    <w:p>
      <w:pPr>
        <w:spacing w:after="0" w:line="225" w:lineRule="exact"/>
        <w:rPr>
          <w:sz w:val="20"/>
          <w:szCs w:val="20"/>
          <w:color w:val="auto"/>
        </w:rPr>
      </w:pPr>
    </w:p>
    <w:p>
      <w:pPr>
        <w:ind w:left="1400" w:right="100" w:hanging="744"/>
        <w:spacing w:after="0" w:line="268" w:lineRule="auto"/>
        <w:tabs>
          <w:tab w:leader="none" w:pos="1410" w:val="left"/>
        </w:tabs>
        <w:numPr>
          <w:ilvl w:val="0"/>
          <w:numId w:val="3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sum due from an Obligor under the Finance Documents (a “</w:t>
      </w:r>
      <w:r>
        <w:rPr>
          <w:rFonts w:ascii="Times New Roman" w:cs="Times New Roman" w:eastAsia="Times New Roman" w:hAnsi="Times New Roman"/>
          <w:sz w:val="18"/>
          <w:szCs w:val="18"/>
          <w:b w:val="1"/>
          <w:bCs w:val="1"/>
          <w:color w:val="auto"/>
        </w:rPr>
        <w:t>Sum</w:t>
      </w:r>
      <w:r>
        <w:rPr>
          <w:rFonts w:ascii="Times New Roman" w:cs="Times New Roman" w:eastAsia="Times New Roman" w:hAnsi="Times New Roman"/>
          <w:sz w:val="18"/>
          <w:szCs w:val="18"/>
          <w:color w:val="auto"/>
        </w:rPr>
        <w:t>”), or any order, judgment or award given or made in relation to a Sum, has to be converted from the currency (the “</w:t>
      </w:r>
      <w:r>
        <w:rPr>
          <w:rFonts w:ascii="Times New Roman" w:cs="Times New Roman" w:eastAsia="Times New Roman" w:hAnsi="Times New Roman"/>
          <w:sz w:val="18"/>
          <w:szCs w:val="18"/>
          <w:b w:val="1"/>
          <w:bCs w:val="1"/>
          <w:color w:val="auto"/>
        </w:rPr>
        <w:t>First Currency</w:t>
      </w:r>
      <w:r>
        <w:rPr>
          <w:rFonts w:ascii="Times New Roman" w:cs="Times New Roman" w:eastAsia="Times New Roman" w:hAnsi="Times New Roman"/>
          <w:sz w:val="18"/>
          <w:szCs w:val="18"/>
          <w:color w:val="auto"/>
        </w:rPr>
        <w:t>”) in which that Sum is payable into another currency (the “</w:t>
      </w: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Currency</w:t>
      </w:r>
      <w:r>
        <w:rPr>
          <w:rFonts w:ascii="Times New Roman" w:cs="Times New Roman" w:eastAsia="Times New Roman" w:hAnsi="Times New Roman"/>
          <w:sz w:val="18"/>
          <w:szCs w:val="18"/>
          <w:color w:val="auto"/>
        </w:rPr>
        <w:t>”) for the purpose of:</w:t>
      </w:r>
    </w:p>
    <w:p>
      <w:pPr>
        <w:spacing w:after="0" w:line="174" w:lineRule="exact"/>
        <w:rPr>
          <w:rFonts w:ascii="Times New Roman" w:cs="Times New Roman" w:eastAsia="Times New Roman" w:hAnsi="Times New Roman"/>
          <w:sz w:val="18"/>
          <w:szCs w:val="18"/>
          <w:b w:val="1"/>
          <w:bCs w:val="1"/>
          <w:color w:val="auto"/>
        </w:rPr>
      </w:pPr>
    </w:p>
    <w:p>
      <w:pPr>
        <w:ind w:left="2140" w:hanging="745"/>
        <w:spacing w:after="0"/>
        <w:tabs>
          <w:tab w:leader="none" w:pos="2140"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or filing a claim or proof against that Obligor; or</w:t>
      </w:r>
    </w:p>
    <w:p>
      <w:pPr>
        <w:spacing w:after="0" w:line="225" w:lineRule="exact"/>
        <w:rPr>
          <w:rFonts w:ascii="Times New Roman" w:cs="Times New Roman" w:eastAsia="Times New Roman" w:hAnsi="Times New Roman"/>
          <w:sz w:val="18"/>
          <w:szCs w:val="18"/>
          <w:color w:val="auto"/>
        </w:rPr>
      </w:pPr>
    </w:p>
    <w:p>
      <w:pPr>
        <w:ind w:left="2140" w:hanging="745"/>
        <w:spacing w:after="0"/>
        <w:tabs>
          <w:tab w:leader="none" w:pos="2140"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or enforcing an order, judgment or award in relation to any litigation or arbitration proceedings,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20"/>
        <w:spacing w:after="0" w:line="261" w:lineRule="auto"/>
        <w:rPr>
          <w:sz w:val="20"/>
          <w:szCs w:val="20"/>
          <w:color w:val="auto"/>
        </w:rPr>
      </w:pPr>
      <w:r>
        <w:rPr>
          <w:rFonts w:ascii="Times New Roman" w:cs="Times New Roman" w:eastAsia="Times New Roman" w:hAnsi="Times New Roman"/>
          <w:sz w:val="18"/>
          <w:szCs w:val="18"/>
          <w:color w:val="auto"/>
        </w:rPr>
        <w:t>the Obligor shall, as an independent obligation, within three (3) Business Days of demand, indemnify the Lender to whom that Sum is due against any cost, loss or liability arising out of or as a result of the conversion including any discrepancy between (i) the rate of exchange used to convert that Sum from the First Currency into the Second Currency and (ii) the rate or rates of exchange available to that person at the time of its receipt of that Sum.</w:t>
      </w:r>
    </w:p>
    <w:p>
      <w:pPr>
        <w:spacing w:after="0" w:line="180" w:lineRule="exact"/>
        <w:rPr>
          <w:sz w:val="20"/>
          <w:szCs w:val="20"/>
          <w:color w:val="auto"/>
        </w:rPr>
      </w:pPr>
    </w:p>
    <w:p>
      <w:pPr>
        <w:ind w:left="1400" w:right="100" w:hanging="744"/>
        <w:spacing w:after="0" w:line="282" w:lineRule="auto"/>
        <w:tabs>
          <w:tab w:leader="none" w:pos="1420" w:val="left"/>
        </w:tabs>
        <w:numPr>
          <w:ilvl w:val="0"/>
          <w:numId w:val="3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Obligor waives any right it may have in any jurisdiction to pay any amount under the Finance Documents in a currency or currency unit other than that in which it is expressed to be payable.</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12.2</w:t>
      </w:r>
      <w:r>
        <w:rPr>
          <w:sz w:val="20"/>
          <w:szCs w:val="20"/>
          <w:color w:val="auto"/>
        </w:rPr>
        <w:tab/>
      </w:r>
      <w:r>
        <w:rPr>
          <w:rFonts w:ascii="Times New Roman" w:cs="Times New Roman" w:eastAsia="Times New Roman" w:hAnsi="Times New Roman"/>
          <w:sz w:val="18"/>
          <w:szCs w:val="18"/>
          <w:b w:val="1"/>
          <w:bCs w:val="1"/>
          <w:color w:val="auto"/>
        </w:rPr>
        <w:t>Other indemnities</w:t>
      </w:r>
    </w:p>
    <w:p>
      <w:pPr>
        <w:spacing w:after="0" w:line="229" w:lineRule="exact"/>
        <w:rPr>
          <w:sz w:val="20"/>
          <w:szCs w:val="20"/>
          <w:color w:val="auto"/>
        </w:rPr>
      </w:pPr>
    </w:p>
    <w:p>
      <w:pPr>
        <w:ind w:left="640" w:right="200"/>
        <w:spacing w:after="0" w:line="282" w:lineRule="auto"/>
        <w:rPr>
          <w:sz w:val="20"/>
          <w:szCs w:val="20"/>
          <w:color w:val="auto"/>
        </w:rPr>
      </w:pPr>
      <w:r>
        <w:rPr>
          <w:rFonts w:ascii="Times New Roman" w:cs="Times New Roman" w:eastAsia="Times New Roman" w:hAnsi="Times New Roman"/>
          <w:sz w:val="18"/>
          <w:szCs w:val="18"/>
          <w:color w:val="auto"/>
        </w:rPr>
        <w:t>The Borrower shall, within three (3) Business Days of demand, indemnify the Lender against any cost, loss or liability incurred by the Lender as a result of:</w:t>
      </w:r>
    </w:p>
    <w:p>
      <w:pPr>
        <w:spacing w:after="0" w:line="162" w:lineRule="exact"/>
        <w:rPr>
          <w:sz w:val="20"/>
          <w:szCs w:val="20"/>
          <w:color w:val="auto"/>
        </w:rPr>
      </w:pPr>
    </w:p>
    <w:p>
      <w:pPr>
        <w:ind w:left="1400" w:hanging="744"/>
        <w:spacing w:after="0"/>
        <w:tabs>
          <w:tab w:leader="none" w:pos="1400" w:val="left"/>
        </w:tabs>
        <w:numPr>
          <w:ilvl w:val="0"/>
          <w:numId w:val="3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occurrence of any Event of Default;</w:t>
      </w:r>
    </w:p>
    <w:p>
      <w:pPr>
        <w:spacing w:after="0" w:line="225"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3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information produced or approved by the Borrower being or being alleged to be misleading and/or deceptive in any respect;</w:t>
      </w:r>
    </w:p>
    <w:p>
      <w:pPr>
        <w:spacing w:after="0" w:line="225" w:lineRule="exact"/>
        <w:rPr>
          <w:rFonts w:ascii="Times New Roman" w:cs="Times New Roman" w:eastAsia="Times New Roman" w:hAnsi="Times New Roman"/>
          <w:sz w:val="18"/>
          <w:szCs w:val="18"/>
          <w:b w:val="1"/>
          <w:bCs w:val="1"/>
          <w:color w:val="auto"/>
        </w:rPr>
      </w:pPr>
    </w:p>
    <w:p>
      <w:pPr>
        <w:ind w:left="1400" w:right="680" w:hanging="744"/>
        <w:spacing w:after="0" w:line="282" w:lineRule="auto"/>
        <w:tabs>
          <w:tab w:leader="none" w:pos="1413" w:val="left"/>
        </w:tabs>
        <w:numPr>
          <w:ilvl w:val="0"/>
          <w:numId w:val="3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enquiry, investigation, subpoena (or similar order) or litigation with respect to any Obligor or with respect to the transactions contemplated or financed under any of the Finance Documents;</w:t>
      </w:r>
    </w:p>
    <w:p>
      <w:pPr>
        <w:spacing w:after="0" w:line="161"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3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failure by an Obligor to pay any amount due under a Finance Document on its due date or in the relevant currency;</w:t>
      </w:r>
    </w:p>
    <w:p>
      <w:pPr>
        <w:spacing w:after="0" w:line="225" w:lineRule="exact"/>
        <w:rPr>
          <w:rFonts w:ascii="Times New Roman" w:cs="Times New Roman" w:eastAsia="Times New Roman" w:hAnsi="Times New Roman"/>
          <w:sz w:val="18"/>
          <w:szCs w:val="18"/>
          <w:b w:val="1"/>
          <w:bCs w:val="1"/>
          <w:color w:val="auto"/>
        </w:rPr>
      </w:pPr>
    </w:p>
    <w:p>
      <w:pPr>
        <w:ind w:left="1400" w:right="160" w:hanging="744"/>
        <w:spacing w:after="0" w:line="266" w:lineRule="auto"/>
        <w:tabs>
          <w:tab w:leader="none" w:pos="1413" w:val="left"/>
        </w:tabs>
        <w:numPr>
          <w:ilvl w:val="0"/>
          <w:numId w:val="3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funding, or making arrangements to fund, its participation in a Loan requested by the Borrower in a Utilisation Request but not made by reason of the operation of any one or more of the provisions of this Agreement (other than by reason of default or negligence by the Lender alone);</w:t>
      </w:r>
    </w:p>
    <w:p>
      <w:pPr>
        <w:sectPr>
          <w:pgSz w:w="11900" w:h="16852" w:orient="portrait"/>
          <w:cols w:equalWidth="0" w:num="1">
            <w:col w:w="11380"/>
          </w:cols>
          <w:pgMar w:left="240" w:top="335" w:right="279" w:bottom="0" w:gutter="0" w:footer="0" w:header="0"/>
        </w:sectPr>
      </w:pPr>
    </w:p>
    <w:bookmarkStart w:id="176" w:name="page177"/>
    <w:bookmarkEnd w:id="176"/>
    <w:p>
      <w:pPr>
        <w:ind w:left="1400" w:hanging="744"/>
        <w:spacing w:after="0"/>
        <w:tabs>
          <w:tab w:leader="none" w:pos="1400" w:val="left"/>
        </w:tabs>
        <w:numPr>
          <w:ilvl w:val="0"/>
          <w:numId w:val="3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Loan (or part of a Loan) not being prepaid in accordance with a notice of mandatory prepayment given by the Lender;</w:t>
      </w:r>
    </w:p>
    <w:p>
      <w:pPr>
        <w:spacing w:after="0" w:line="225" w:lineRule="exact"/>
        <w:rPr>
          <w:rFonts w:ascii="Times New Roman" w:cs="Times New Roman" w:eastAsia="Times New Roman" w:hAnsi="Times New Roman"/>
          <w:sz w:val="18"/>
          <w:szCs w:val="18"/>
          <w:b w:val="1"/>
          <w:bCs w:val="1"/>
          <w:color w:val="auto"/>
        </w:rPr>
      </w:pPr>
    </w:p>
    <w:p>
      <w:pPr>
        <w:ind w:left="1400" w:hanging="744"/>
        <w:spacing w:after="0"/>
        <w:tabs>
          <w:tab w:leader="none" w:pos="1400" w:val="left"/>
        </w:tabs>
        <w:numPr>
          <w:ilvl w:val="0"/>
          <w:numId w:val="3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investigating any event which it reasonably believes is a Default; or</w:t>
      </w:r>
    </w:p>
    <w:p>
      <w:pPr>
        <w:spacing w:after="0" w:line="221"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(h)</w:t>
      </w:r>
      <w:r>
        <w:rPr>
          <w:sz w:val="20"/>
          <w:szCs w:val="20"/>
          <w:color w:val="auto"/>
        </w:rPr>
        <w:tab/>
      </w:r>
      <w:r>
        <w:rPr>
          <w:rFonts w:ascii="Times New Roman" w:cs="Times New Roman" w:eastAsia="Times New Roman" w:hAnsi="Times New Roman"/>
          <w:sz w:val="18"/>
          <w:szCs w:val="18"/>
          <w:color w:val="auto"/>
        </w:rPr>
        <w:t>acting or relying on any notice, request or instruction which it reasonably  believes to be genuine, correct and appropriately authorised.</w:t>
      </w:r>
    </w:p>
    <w:p>
      <w:pPr>
        <w:spacing w:after="0" w:line="225" w:lineRule="exact"/>
        <w:rPr>
          <w:sz w:val="20"/>
          <w:szCs w:val="20"/>
          <w:color w:val="auto"/>
        </w:rPr>
      </w:pPr>
    </w:p>
    <w:p>
      <w:pPr>
        <w:ind w:right="8300" w:firstLine="8"/>
        <w:spacing w:after="0" w:line="503" w:lineRule="auto"/>
        <w:tabs>
          <w:tab w:leader="none" w:pos="644" w:val="left"/>
        </w:tabs>
        <w:numPr>
          <w:ilvl w:val="0"/>
          <w:numId w:val="3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COSTS, EXPENSES AND FEE 13.1 Fund Raising costs</w:t>
      </w:r>
    </w:p>
    <w:p>
      <w:pPr>
        <w:spacing w:after="0" w:line="1" w:lineRule="exact"/>
        <w:rPr>
          <w:sz w:val="20"/>
          <w:szCs w:val="20"/>
          <w:color w:val="auto"/>
        </w:rPr>
      </w:pPr>
    </w:p>
    <w:p>
      <w:pPr>
        <w:ind w:left="660" w:right="120"/>
        <w:spacing w:after="0" w:line="258" w:lineRule="auto"/>
        <w:rPr>
          <w:sz w:val="20"/>
          <w:szCs w:val="20"/>
          <w:color w:val="auto"/>
        </w:rPr>
      </w:pPr>
      <w:r>
        <w:rPr>
          <w:rFonts w:ascii="Times New Roman" w:cs="Times New Roman" w:eastAsia="Times New Roman" w:hAnsi="Times New Roman"/>
          <w:sz w:val="18"/>
          <w:szCs w:val="18"/>
          <w:color w:val="auto"/>
        </w:rPr>
        <w:t>The Borrower shall, within three (3) Business Days of demand, pay to the Lender the amount of all reasonable costs and expenses (including legal fees) incurred by the Lender in connection with any Fund Raising (which, for the avoidance of doubt, shall include but not limit to fees and charges of any bank or other financial institution with which the Lender enters into “foreign loan with domestic security” arrangement for the purpose of deploying funds offshore in order to advance the Facility to the Borrower) irrespective of whether such costs and expenses are incurred prior to or after the Execution Date or the Utilisation Date.</w:t>
      </w:r>
    </w:p>
    <w:p>
      <w:pPr>
        <w:spacing w:after="0" w:line="184" w:lineRule="exact"/>
        <w:rPr>
          <w:sz w:val="20"/>
          <w:szCs w:val="20"/>
          <w:color w:val="auto"/>
        </w:rPr>
      </w:pPr>
    </w:p>
    <w:p>
      <w:pPr>
        <w:ind w:left="660" w:right="140"/>
        <w:spacing w:after="0" w:line="261" w:lineRule="auto"/>
        <w:rPr>
          <w:sz w:val="20"/>
          <w:szCs w:val="20"/>
          <w:color w:val="auto"/>
        </w:rPr>
      </w:pPr>
      <w:r>
        <w:rPr>
          <w:rFonts w:ascii="Times New Roman" w:cs="Times New Roman" w:eastAsia="Times New Roman" w:hAnsi="Times New Roman"/>
          <w:sz w:val="18"/>
          <w:szCs w:val="18"/>
          <w:color w:val="auto"/>
        </w:rPr>
        <w:t>For the avoidance of doubt, if the Lender has entered into a “foreign loan with domestic security” arrangement before the Execution Date or the Utilisation Date for the purpose of deploying funds offshore in order to advance the Facility to the Borrower, the amount of costs and expenses that the Borrower shall pay to the Lender pursuant to the first paragraph of this Section 13.1 shall include, among others, all reasonable costs and expenses (including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60"/>
        <w:spacing w:after="0" w:line="282" w:lineRule="auto"/>
        <w:rPr>
          <w:sz w:val="20"/>
          <w:szCs w:val="20"/>
          <w:color w:val="auto"/>
        </w:rPr>
      </w:pPr>
      <w:r>
        <w:rPr>
          <w:rFonts w:ascii="Times New Roman" w:cs="Times New Roman" w:eastAsia="Times New Roman" w:hAnsi="Times New Roman"/>
          <w:sz w:val="18"/>
          <w:szCs w:val="18"/>
          <w:color w:val="auto"/>
        </w:rPr>
        <w:t>legal fees) incurred by the Lender in connection with such “foreign loan with domestic security” arrangement before the Execution Date or the Utilisation Date.</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13.2</w:t>
      </w:r>
      <w:r>
        <w:rPr>
          <w:sz w:val="20"/>
          <w:szCs w:val="20"/>
          <w:color w:val="auto"/>
        </w:rPr>
        <w:tab/>
      </w:r>
      <w:r>
        <w:rPr>
          <w:rFonts w:ascii="Times New Roman" w:cs="Times New Roman" w:eastAsia="Times New Roman" w:hAnsi="Times New Roman"/>
          <w:sz w:val="18"/>
          <w:szCs w:val="18"/>
          <w:b w:val="1"/>
          <w:bCs w:val="1"/>
          <w:color w:val="auto"/>
        </w:rPr>
        <w:t>Amendment costs</w:t>
      </w:r>
    </w:p>
    <w:p>
      <w:pPr>
        <w:spacing w:after="0" w:line="229"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If an Obligor requests an amendment, waiver or consent, the Borrower shall, within three (3) Business Days of demand, reimburse the Lender for the amount of all costs and expenses (including legal fees) incurred by the Lender in responding to, evaluating, negotiating or complying with that request or requirement.</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13.3</w:t>
      </w:r>
      <w:r>
        <w:rPr>
          <w:sz w:val="20"/>
          <w:szCs w:val="20"/>
          <w:color w:val="auto"/>
        </w:rPr>
        <w:tab/>
      </w:r>
      <w:r>
        <w:rPr>
          <w:rFonts w:ascii="Times New Roman" w:cs="Times New Roman" w:eastAsia="Times New Roman" w:hAnsi="Times New Roman"/>
          <w:sz w:val="18"/>
          <w:szCs w:val="18"/>
          <w:b w:val="1"/>
          <w:bCs w:val="1"/>
          <w:color w:val="auto"/>
        </w:rPr>
        <w:t>Legal fees and enforcement costs</w:t>
      </w:r>
    </w:p>
    <w:p>
      <w:pPr>
        <w:spacing w:after="0" w:line="229" w:lineRule="exact"/>
        <w:rPr>
          <w:sz w:val="20"/>
          <w:szCs w:val="20"/>
          <w:color w:val="auto"/>
        </w:rPr>
      </w:pPr>
    </w:p>
    <w:p>
      <w:pPr>
        <w:ind w:left="660" w:right="40"/>
        <w:spacing w:after="0" w:line="266" w:lineRule="auto"/>
        <w:rPr>
          <w:sz w:val="20"/>
          <w:szCs w:val="20"/>
          <w:color w:val="auto"/>
        </w:rPr>
      </w:pPr>
      <w:r>
        <w:rPr>
          <w:rFonts w:ascii="Times New Roman" w:cs="Times New Roman" w:eastAsia="Times New Roman" w:hAnsi="Times New Roman"/>
          <w:sz w:val="18"/>
          <w:szCs w:val="18"/>
          <w:color w:val="auto"/>
        </w:rPr>
        <w:t>The Borrower shall, within three (3) Business Days of demand, pay to the Lender the amount of all legal fees incurred by the Lender in connection with the preparation, negotiation and execution of the Finance Documents and the amount of all reasonable costs and expenses (including legal fees) incurred by the Lender in connection with the enforcement of, or the preservation of any rights under, any Finance Document.</w:t>
      </w:r>
    </w:p>
    <w:p>
      <w:pPr>
        <w:spacing w:after="0" w:line="172" w:lineRule="exact"/>
        <w:rPr>
          <w:sz w:val="20"/>
          <w:szCs w:val="20"/>
          <w:color w:val="auto"/>
        </w:rPr>
      </w:pPr>
    </w:p>
    <w:p>
      <w:pPr>
        <w:ind w:left="660" w:hanging="652"/>
        <w:spacing w:after="0"/>
        <w:tabs>
          <w:tab w:leader="none" w:pos="660" w:val="left"/>
        </w:tabs>
        <w:numPr>
          <w:ilvl w:val="0"/>
          <w:numId w:val="3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Obligors hereby, joint and severally, make the representations and warranties set out in this Clause 14 to the Lender.</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14.1</w:t>
      </w:r>
      <w:r>
        <w:rPr>
          <w:sz w:val="20"/>
          <w:szCs w:val="20"/>
          <w:color w:val="auto"/>
        </w:rPr>
        <w:tab/>
      </w:r>
      <w:r>
        <w:rPr>
          <w:rFonts w:ascii="Times New Roman" w:cs="Times New Roman" w:eastAsia="Times New Roman" w:hAnsi="Times New Roman"/>
          <w:sz w:val="17"/>
          <w:szCs w:val="17"/>
          <w:b w:val="1"/>
          <w:bCs w:val="1"/>
          <w:color w:val="auto"/>
        </w:rPr>
        <w:t>Status</w:t>
      </w:r>
    </w:p>
    <w:p>
      <w:pPr>
        <w:spacing w:after="0" w:line="229" w:lineRule="exact"/>
        <w:rPr>
          <w:sz w:val="20"/>
          <w:szCs w:val="20"/>
          <w:color w:val="auto"/>
        </w:rPr>
      </w:pPr>
    </w:p>
    <w:p>
      <w:pPr>
        <w:ind w:left="1400" w:right="60" w:hanging="744"/>
        <w:spacing w:after="0" w:line="282" w:lineRule="auto"/>
        <w:tabs>
          <w:tab w:leader="none" w:pos="1410" w:val="left"/>
        </w:tabs>
        <w:numPr>
          <w:ilvl w:val="0"/>
          <w:numId w:val="3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the Obligors is a corporation, duly incorporated and validly existing and (where applicable) in good standing under the laws of its jurisdiction of incorporation.</w:t>
      </w:r>
    </w:p>
    <w:p>
      <w:pPr>
        <w:spacing w:after="0" w:line="161"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3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the Obligors and their Subsidiaries has the capacity and power to own its assets and carry on its business as it is being conducted.</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14.2</w:t>
      </w:r>
      <w:r>
        <w:rPr>
          <w:sz w:val="20"/>
          <w:szCs w:val="20"/>
          <w:color w:val="auto"/>
        </w:rPr>
        <w:tab/>
      </w:r>
      <w:r>
        <w:rPr>
          <w:rFonts w:ascii="Times New Roman" w:cs="Times New Roman" w:eastAsia="Times New Roman" w:hAnsi="Times New Roman"/>
          <w:sz w:val="18"/>
          <w:szCs w:val="18"/>
          <w:b w:val="1"/>
          <w:bCs w:val="1"/>
          <w:color w:val="auto"/>
        </w:rPr>
        <w:t>Binding obligations</w:t>
      </w:r>
    </w:p>
    <w:p>
      <w:pPr>
        <w:spacing w:after="0" w:line="229"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The obligations expressed to be assumed by each of the Obligors in each Finance Document are, subject to any general principles of law limiting its obligations including the Legal Reservations, legal, valid, binding and enforceable obligations.</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14.3</w:t>
      </w:r>
      <w:r>
        <w:rPr>
          <w:sz w:val="20"/>
          <w:szCs w:val="20"/>
          <w:color w:val="auto"/>
        </w:rPr>
        <w:tab/>
      </w:r>
      <w:r>
        <w:rPr>
          <w:rFonts w:ascii="Times New Roman" w:cs="Times New Roman" w:eastAsia="Times New Roman" w:hAnsi="Times New Roman"/>
          <w:sz w:val="18"/>
          <w:szCs w:val="18"/>
          <w:b w:val="1"/>
          <w:bCs w:val="1"/>
          <w:color w:val="auto"/>
        </w:rPr>
        <w:t>Non-conflict with other obligations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entry into and performance by each of the Obligors of, and the transactions contemplated by, the Finance Documents do not and will not conflict with:</w:t>
      </w:r>
    </w:p>
    <w:p>
      <w:pPr>
        <w:spacing w:after="0" w:line="162" w:lineRule="exact"/>
        <w:rPr>
          <w:sz w:val="20"/>
          <w:szCs w:val="20"/>
          <w:color w:val="auto"/>
        </w:rPr>
      </w:pPr>
    </w:p>
    <w:p>
      <w:pPr>
        <w:ind w:left="1400" w:hanging="744"/>
        <w:spacing w:after="0"/>
        <w:tabs>
          <w:tab w:leader="none" w:pos="1400" w:val="left"/>
        </w:tabs>
        <w:numPr>
          <w:ilvl w:val="0"/>
          <w:numId w:val="3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law or regulation applicable to any of the Obligors;</w:t>
      </w:r>
    </w:p>
    <w:p>
      <w:pPr>
        <w:spacing w:after="0" w:line="225"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3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constitutional documents of any of the Obligors; or</w:t>
      </w:r>
    </w:p>
    <w:p>
      <w:pPr>
        <w:spacing w:after="0" w:line="225" w:lineRule="exact"/>
        <w:rPr>
          <w:rFonts w:ascii="Times New Roman" w:cs="Times New Roman" w:eastAsia="Times New Roman" w:hAnsi="Times New Roman"/>
          <w:sz w:val="18"/>
          <w:szCs w:val="18"/>
          <w:b w:val="1"/>
          <w:bCs w:val="1"/>
          <w:color w:val="auto"/>
        </w:rPr>
      </w:pPr>
    </w:p>
    <w:p>
      <w:pPr>
        <w:ind w:left="1400" w:hanging="744"/>
        <w:spacing w:after="0"/>
        <w:tabs>
          <w:tab w:leader="none" w:pos="1400" w:val="left"/>
        </w:tabs>
        <w:numPr>
          <w:ilvl w:val="0"/>
          <w:numId w:val="3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agreement or instrument binding upon any of the Obligors or any of its assets.</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14.4</w:t>
      </w:r>
      <w:r>
        <w:rPr>
          <w:sz w:val="20"/>
          <w:szCs w:val="20"/>
          <w:color w:val="auto"/>
        </w:rPr>
        <w:tab/>
      </w:r>
      <w:r>
        <w:rPr>
          <w:rFonts w:ascii="Times New Roman" w:cs="Times New Roman" w:eastAsia="Times New Roman" w:hAnsi="Times New Roman"/>
          <w:sz w:val="18"/>
          <w:szCs w:val="18"/>
          <w:b w:val="1"/>
          <w:bCs w:val="1"/>
          <w:color w:val="auto"/>
        </w:rPr>
        <w:t>Power and authority</w:t>
      </w:r>
    </w:p>
    <w:p>
      <w:pPr>
        <w:spacing w:after="0" w:line="229" w:lineRule="exact"/>
        <w:rPr>
          <w:sz w:val="20"/>
          <w:szCs w:val="20"/>
          <w:color w:val="auto"/>
        </w:rPr>
      </w:pPr>
    </w:p>
    <w:p>
      <w:pPr>
        <w:ind w:left="660" w:right="540"/>
        <w:spacing w:after="0" w:line="266" w:lineRule="auto"/>
        <w:rPr>
          <w:sz w:val="20"/>
          <w:szCs w:val="20"/>
          <w:color w:val="auto"/>
        </w:rPr>
      </w:pPr>
      <w:r>
        <w:rPr>
          <w:rFonts w:ascii="Times New Roman" w:cs="Times New Roman" w:eastAsia="Times New Roman" w:hAnsi="Times New Roman"/>
          <w:sz w:val="18"/>
          <w:szCs w:val="18"/>
          <w:color w:val="auto"/>
        </w:rPr>
        <w:t>Each of the Obligors has the capacity, corporate power and authority to enter into, perform and deliver, and has taken all necessary action to authorise its entry into, performance and delivery of, the Finance Documents to which it is a party and the transactions contemplated by those Finance Documents.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0" w:gutter="0" w:footer="0" w:header="0"/>
        </w:sectPr>
      </w:pPr>
    </w:p>
    <w:bookmarkStart w:id="177" w:name="page178"/>
    <w:bookmarkEnd w:id="177"/>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14.5</w:t>
      </w:r>
      <w:r>
        <w:rPr>
          <w:sz w:val="20"/>
          <w:szCs w:val="20"/>
          <w:color w:val="auto"/>
        </w:rPr>
        <w:tab/>
      </w:r>
      <w:r>
        <w:rPr>
          <w:rFonts w:ascii="Times New Roman" w:cs="Times New Roman" w:eastAsia="Times New Roman" w:hAnsi="Times New Roman"/>
          <w:sz w:val="17"/>
          <w:szCs w:val="17"/>
          <w:b w:val="1"/>
          <w:bCs w:val="1"/>
          <w:color w:val="auto"/>
        </w:rPr>
        <w:t>Validity and admissibility in evidence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Legal Reservations, all Authorisations required or desirable:</w:t>
      </w:r>
    </w:p>
    <w:p>
      <w:pPr>
        <w:spacing w:after="0" w:line="225" w:lineRule="exact"/>
        <w:rPr>
          <w:sz w:val="20"/>
          <w:szCs w:val="20"/>
          <w:color w:val="auto"/>
        </w:rPr>
      </w:pPr>
    </w:p>
    <w:p>
      <w:pPr>
        <w:ind w:left="1400" w:right="20" w:hanging="744"/>
        <w:spacing w:after="0" w:line="282" w:lineRule="auto"/>
        <w:tabs>
          <w:tab w:leader="none" w:pos="1410" w:val="left"/>
        </w:tabs>
        <w:numPr>
          <w:ilvl w:val="0"/>
          <w:numId w:val="3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enable each of the Obligors lawfully to enter into, exercise its rights and comply with its obligations in the Finance Documents to which it is a party,</w:t>
      </w:r>
    </w:p>
    <w:p>
      <w:pPr>
        <w:spacing w:after="0" w:line="161"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3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make the Finance Documents to which it is a party admissible in evidence in its jurisdiction of incorporation, and</w:t>
      </w:r>
    </w:p>
    <w:p>
      <w:pPr>
        <w:spacing w:after="0" w:line="225" w:lineRule="exact"/>
        <w:rPr>
          <w:rFonts w:ascii="Times New Roman" w:cs="Times New Roman" w:eastAsia="Times New Roman" w:hAnsi="Times New Roman"/>
          <w:sz w:val="18"/>
          <w:szCs w:val="18"/>
          <w:b w:val="1"/>
          <w:bCs w:val="1"/>
          <w:color w:val="auto"/>
        </w:rPr>
      </w:pPr>
    </w:p>
    <w:p>
      <w:pPr>
        <w:ind w:left="1400" w:hanging="744"/>
        <w:spacing w:after="0"/>
        <w:tabs>
          <w:tab w:leader="none" w:pos="1400" w:val="left"/>
        </w:tabs>
        <w:numPr>
          <w:ilvl w:val="0"/>
          <w:numId w:val="3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it to carry on its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have been obtained or effected and are in full force and effect.</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14.6</w:t>
      </w:r>
      <w:r>
        <w:rPr>
          <w:sz w:val="20"/>
          <w:szCs w:val="20"/>
          <w:color w:val="auto"/>
        </w:rPr>
        <w:tab/>
      </w:r>
      <w:r>
        <w:rPr>
          <w:rFonts w:ascii="Times New Roman" w:cs="Times New Roman" w:eastAsia="Times New Roman" w:hAnsi="Times New Roman"/>
          <w:sz w:val="18"/>
          <w:szCs w:val="18"/>
          <w:b w:val="1"/>
          <w:bCs w:val="1"/>
          <w:color w:val="auto"/>
        </w:rPr>
        <w:t>Governing law and enforcement</w:t>
      </w:r>
    </w:p>
    <w:p>
      <w:pPr>
        <w:spacing w:after="0" w:line="229" w:lineRule="exact"/>
        <w:rPr>
          <w:sz w:val="20"/>
          <w:szCs w:val="20"/>
          <w:color w:val="auto"/>
        </w:rPr>
      </w:pPr>
    </w:p>
    <w:p>
      <w:pPr>
        <w:ind w:left="1400" w:right="320" w:hanging="744"/>
        <w:spacing w:after="0" w:line="282" w:lineRule="auto"/>
        <w:tabs>
          <w:tab w:leader="none" w:pos="1410" w:val="left"/>
        </w:tabs>
        <w:numPr>
          <w:ilvl w:val="0"/>
          <w:numId w:val="3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choice of law specified as the governing law of each Finance Document will, subject to the Legal Reservations, be recognised and enforced in the jurisdiction of incorporation of each of the Obligors.</w:t>
      </w:r>
    </w:p>
    <w:p>
      <w:pPr>
        <w:spacing w:after="0" w:line="161" w:lineRule="exact"/>
        <w:rPr>
          <w:rFonts w:ascii="Times New Roman" w:cs="Times New Roman" w:eastAsia="Times New Roman" w:hAnsi="Times New Roman"/>
          <w:sz w:val="18"/>
          <w:szCs w:val="18"/>
          <w:b w:val="1"/>
          <w:bCs w:val="1"/>
          <w:color w:val="auto"/>
        </w:rPr>
      </w:pPr>
    </w:p>
    <w:p>
      <w:pPr>
        <w:ind w:left="1400" w:right="700" w:hanging="744"/>
        <w:spacing w:after="0" w:line="282" w:lineRule="auto"/>
        <w:tabs>
          <w:tab w:leader="none" w:pos="1420" w:val="left"/>
        </w:tabs>
        <w:numPr>
          <w:ilvl w:val="0"/>
          <w:numId w:val="3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monetary judgment or arbitration award obtained in Hong Kong in relation to a Finance Document will, subject to the Legal Reservations, be recognised and enforced in the jurisdiction of incorporation of each of the Obligors.</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14.7</w:t>
      </w:r>
      <w:r>
        <w:rPr>
          <w:sz w:val="20"/>
          <w:szCs w:val="20"/>
          <w:color w:val="auto"/>
        </w:rPr>
        <w:tab/>
      </w:r>
      <w:r>
        <w:rPr>
          <w:rFonts w:ascii="Times New Roman" w:cs="Times New Roman" w:eastAsia="Times New Roman" w:hAnsi="Times New Roman"/>
          <w:sz w:val="17"/>
          <w:szCs w:val="17"/>
          <w:b w:val="1"/>
          <w:bCs w:val="1"/>
          <w:color w:val="auto"/>
        </w:rPr>
        <w:t>Deduction of Tax</w:t>
      </w:r>
    </w:p>
    <w:p>
      <w:pPr>
        <w:spacing w:after="0" w:line="229"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It is not required under the law currently applicable where each of the Obligors is incorporated or at the address specified in this Agreement to make any deduction for or on account of Tax from any payment it may make under any Finance Document.</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14.8</w:t>
      </w:r>
      <w:r>
        <w:rPr>
          <w:sz w:val="20"/>
          <w:szCs w:val="20"/>
          <w:color w:val="auto"/>
        </w:rPr>
        <w:tab/>
      </w:r>
      <w:r>
        <w:rPr>
          <w:rFonts w:ascii="Times New Roman" w:cs="Times New Roman" w:eastAsia="Times New Roman" w:hAnsi="Times New Roman"/>
          <w:sz w:val="17"/>
          <w:szCs w:val="17"/>
          <w:b w:val="1"/>
          <w:bCs w:val="1"/>
          <w:color w:val="auto"/>
        </w:rPr>
        <w:t>No filing or stamp taxes or announcement</w:t>
      </w:r>
    </w:p>
    <w:p>
      <w:pPr>
        <w:spacing w:after="0" w:line="229" w:lineRule="exact"/>
        <w:rPr>
          <w:sz w:val="20"/>
          <w:szCs w:val="20"/>
          <w:color w:val="auto"/>
        </w:rPr>
      </w:pPr>
    </w:p>
    <w:p>
      <w:pPr>
        <w:ind w:left="660" w:right="380"/>
        <w:spacing w:after="0" w:line="266" w:lineRule="auto"/>
        <w:rPr>
          <w:sz w:val="20"/>
          <w:szCs w:val="20"/>
          <w:color w:val="auto"/>
        </w:rPr>
      </w:pPr>
      <w:r>
        <w:rPr>
          <w:rFonts w:ascii="Times New Roman" w:cs="Times New Roman" w:eastAsia="Times New Roman" w:hAnsi="Times New Roman"/>
          <w:sz w:val="18"/>
          <w:szCs w:val="18"/>
          <w:color w:val="auto"/>
        </w:rPr>
        <w:t>Under the law of the jurisdiction of incorporation of each of the Obligors, it is not necessary that the Finance Documents be filed, recorded or enrolled with any court or other authority in that jurisdiction or that any stamp, registration or similar tax be paid on or in relation to the Finance Documents or the transactions contemplated by the Finance Documents, or that any public announcement be made.</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14.9</w:t>
      </w:r>
      <w:r>
        <w:rPr>
          <w:sz w:val="20"/>
          <w:szCs w:val="20"/>
          <w:color w:val="auto"/>
        </w:rPr>
        <w:tab/>
      </w:r>
      <w:r>
        <w:rPr>
          <w:rFonts w:ascii="Times New Roman" w:cs="Times New Roman" w:eastAsia="Times New Roman" w:hAnsi="Times New Roman"/>
          <w:sz w:val="18"/>
          <w:szCs w:val="18"/>
          <w:b w:val="1"/>
          <w:bCs w:val="1"/>
          <w:color w:val="auto"/>
        </w:rPr>
        <w:t>No default</w:t>
      </w:r>
    </w:p>
    <w:p>
      <w:pPr>
        <w:spacing w:after="0" w:line="229" w:lineRule="exact"/>
        <w:rPr>
          <w:sz w:val="20"/>
          <w:szCs w:val="20"/>
          <w:color w:val="auto"/>
        </w:rPr>
      </w:pPr>
    </w:p>
    <w:p>
      <w:pPr>
        <w:ind w:left="1400" w:hanging="744"/>
        <w:spacing w:after="0"/>
        <w:tabs>
          <w:tab w:leader="none" w:pos="1400" w:val="left"/>
        </w:tabs>
        <w:numPr>
          <w:ilvl w:val="0"/>
          <w:numId w:val="3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NoEvent of Default is continuing or might reasonably be expected to result from the making of any Utilisation.</w:t>
      </w:r>
    </w:p>
    <w:p>
      <w:pPr>
        <w:spacing w:after="0" w:line="225" w:lineRule="exact"/>
        <w:rPr>
          <w:rFonts w:ascii="Times New Roman" w:cs="Times New Roman" w:eastAsia="Times New Roman" w:hAnsi="Times New Roman"/>
          <w:sz w:val="18"/>
          <w:szCs w:val="18"/>
          <w:b w:val="1"/>
          <w:bCs w:val="1"/>
          <w:color w:val="auto"/>
        </w:rPr>
      </w:pPr>
    </w:p>
    <w:p>
      <w:pPr>
        <w:jc w:val="both"/>
        <w:ind w:left="1400" w:right="280" w:hanging="744"/>
        <w:spacing w:after="0" w:line="266" w:lineRule="auto"/>
        <w:tabs>
          <w:tab w:leader="none" w:pos="1420" w:val="left"/>
        </w:tabs>
        <w:numPr>
          <w:ilvl w:val="0"/>
          <w:numId w:val="3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other event or circumstance is outstanding which constitutes a default under any other agreement or instrument which is binding on any of the Obligors or to which any of the Obligors’ assets are subject which would reasonably be expected to have a Material Adverse Effect.</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14.10</w:t>
      </w:r>
      <w:r>
        <w:rPr>
          <w:sz w:val="20"/>
          <w:szCs w:val="20"/>
          <w:color w:val="auto"/>
        </w:rPr>
        <w:tab/>
      </w:r>
      <w:r>
        <w:rPr>
          <w:rFonts w:ascii="Times New Roman" w:cs="Times New Roman" w:eastAsia="Times New Roman" w:hAnsi="Times New Roman"/>
          <w:sz w:val="17"/>
          <w:szCs w:val="17"/>
          <w:b w:val="1"/>
          <w:bCs w:val="1"/>
          <w:color w:val="auto"/>
        </w:rPr>
        <w:t>No misleading information</w:t>
      </w:r>
    </w:p>
    <w:p>
      <w:pPr>
        <w:spacing w:after="0" w:line="229" w:lineRule="exact"/>
        <w:rPr>
          <w:sz w:val="20"/>
          <w:szCs w:val="20"/>
          <w:color w:val="auto"/>
        </w:rPr>
      </w:pPr>
    </w:p>
    <w:p>
      <w:pPr>
        <w:ind w:left="660" w:right="320"/>
        <w:spacing w:after="0" w:line="282" w:lineRule="auto"/>
        <w:rPr>
          <w:sz w:val="20"/>
          <w:szCs w:val="20"/>
          <w:color w:val="auto"/>
        </w:rPr>
      </w:pPr>
      <w:r>
        <w:rPr>
          <w:rFonts w:ascii="Times New Roman" w:cs="Times New Roman" w:eastAsia="Times New Roman" w:hAnsi="Times New Roman"/>
          <w:sz w:val="18"/>
          <w:szCs w:val="18"/>
          <w:color w:val="auto"/>
        </w:rPr>
        <w:t>All written information supplied by any of the Obligors or on its behalf is true, complete and accurate in all material respects as at the date it was given and is not misleading in any material respect.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14.11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1400" w:right="420" w:hanging="744"/>
        <w:spacing w:after="0" w:line="282" w:lineRule="auto"/>
        <w:tabs>
          <w:tab w:leader="none" w:pos="1410" w:val="left"/>
        </w:tabs>
        <w:numPr>
          <w:ilvl w:val="0"/>
          <w:numId w:val="3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Original Financial Statements give a true and fair view of the financial condition and operations of the Group during the relevant financial period save to the extent expressly disclosed in such Original Financial Statements.</w:t>
      </w:r>
    </w:p>
    <w:p>
      <w:pPr>
        <w:spacing w:after="0" w:line="161"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3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has been no Material Adverse Effect since the date of the Original Financial Statements.</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14.12</w:t>
      </w:r>
      <w:r>
        <w:rPr>
          <w:sz w:val="20"/>
          <w:szCs w:val="20"/>
          <w:color w:val="auto"/>
        </w:rPr>
        <w:tab/>
      </w:r>
      <w:r>
        <w:rPr>
          <w:rFonts w:ascii="Times New Roman" w:cs="Times New Roman" w:eastAsia="Times New Roman" w:hAnsi="Times New Roman"/>
          <w:sz w:val="17"/>
          <w:szCs w:val="17"/>
          <w:b w:val="1"/>
          <w:bCs w:val="1"/>
          <w:color w:val="auto"/>
        </w:rPr>
        <w:t>Pari passu ranking</w:t>
      </w:r>
    </w:p>
    <w:p>
      <w:pPr>
        <w:spacing w:after="0" w:line="229" w:lineRule="exact"/>
        <w:rPr>
          <w:sz w:val="20"/>
          <w:szCs w:val="20"/>
          <w:color w:val="auto"/>
        </w:rPr>
      </w:pPr>
    </w:p>
    <w:p>
      <w:pPr>
        <w:ind w:left="660" w:right="340"/>
        <w:spacing w:after="0" w:line="282" w:lineRule="auto"/>
        <w:rPr>
          <w:sz w:val="20"/>
          <w:szCs w:val="20"/>
          <w:color w:val="auto"/>
        </w:rPr>
      </w:pPr>
      <w:r>
        <w:rPr>
          <w:rFonts w:ascii="Times New Roman" w:cs="Times New Roman" w:eastAsia="Times New Roman" w:hAnsi="Times New Roman"/>
          <w:sz w:val="18"/>
          <w:szCs w:val="18"/>
          <w:color w:val="auto"/>
        </w:rPr>
        <w:t>Each of the Obligors’ payment obligations under the Finance Documents rank at least pari passu with the claims of all of its other unsecured and unsubordinated creditors, except for obligations mandatorily preferred by law applying to companies generally.</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14.13</w:t>
      </w:r>
      <w:r>
        <w:rPr>
          <w:sz w:val="20"/>
          <w:szCs w:val="20"/>
          <w:color w:val="auto"/>
        </w:rPr>
        <w:tab/>
      </w:r>
      <w:r>
        <w:rPr>
          <w:rFonts w:ascii="Times New Roman" w:cs="Times New Roman" w:eastAsia="Times New Roman" w:hAnsi="Times New Roman"/>
          <w:sz w:val="17"/>
          <w:szCs w:val="17"/>
          <w:b w:val="1"/>
          <w:bCs w:val="1"/>
          <w:color w:val="auto"/>
        </w:rPr>
        <w:t>No proceedings pending or threatened</w:t>
      </w:r>
    </w:p>
    <w:p>
      <w:pPr>
        <w:spacing w:after="0" w:line="229" w:lineRule="exact"/>
        <w:rPr>
          <w:sz w:val="20"/>
          <w:szCs w:val="20"/>
          <w:color w:val="auto"/>
        </w:rPr>
      </w:pPr>
    </w:p>
    <w:p>
      <w:pPr>
        <w:ind w:left="660" w:right="40"/>
        <w:spacing w:after="0" w:line="266" w:lineRule="auto"/>
        <w:rPr>
          <w:sz w:val="20"/>
          <w:szCs w:val="20"/>
          <w:color w:val="auto"/>
        </w:rPr>
      </w:pPr>
      <w:r>
        <w:rPr>
          <w:rFonts w:ascii="Times New Roman" w:cs="Times New Roman" w:eastAsia="Times New Roman" w:hAnsi="Times New Roman"/>
          <w:sz w:val="18"/>
          <w:szCs w:val="18"/>
          <w:color w:val="auto"/>
        </w:rPr>
        <w:t>No litigation, arbitration or administrative proceedings of or before any court, arbitral body or agency which, if adversely determined, might reasonably be expected to have a Material Adverse Effect, (to the best of the Obligors’ knowledge and belief) have been started or threatened against any of the Obligors or any of their Subsidiaries.</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14.14</w:t>
      </w:r>
      <w:r>
        <w:rPr>
          <w:sz w:val="20"/>
          <w:szCs w:val="20"/>
          <w:color w:val="auto"/>
        </w:rPr>
        <w:tab/>
      </w:r>
      <w:r>
        <w:rPr>
          <w:rFonts w:ascii="Times New Roman" w:cs="Times New Roman" w:eastAsia="Times New Roman" w:hAnsi="Times New Roman"/>
          <w:sz w:val="17"/>
          <w:szCs w:val="17"/>
          <w:b w:val="1"/>
          <w:bCs w:val="1"/>
          <w:color w:val="auto"/>
        </w:rPr>
        <w:t>Authorised Signatures</w:t>
      </w:r>
    </w:p>
    <w:p>
      <w:pPr>
        <w:spacing w:after="0" w:line="227" w:lineRule="exact"/>
        <w:rPr>
          <w:sz w:val="20"/>
          <w:szCs w:val="20"/>
          <w:color w:val="auto"/>
        </w:rPr>
      </w:pPr>
    </w:p>
    <w:p>
      <w:pPr>
        <w:ind w:left="660"/>
        <w:spacing w:after="0" w:line="267" w:lineRule="auto"/>
        <w:rPr>
          <w:sz w:val="20"/>
          <w:szCs w:val="20"/>
          <w:color w:val="auto"/>
        </w:rPr>
      </w:pPr>
      <w:r>
        <w:rPr>
          <w:rFonts w:ascii="Times New Roman" w:cs="Times New Roman" w:eastAsia="Times New Roman" w:hAnsi="Times New Roman"/>
          <w:sz w:val="18"/>
          <w:szCs w:val="18"/>
          <w:color w:val="auto"/>
        </w:rPr>
        <w:t>Any person specified as the authorised signatory of an Obligor under Schedule 1 (</w:t>
      </w:r>
      <w:r>
        <w:rPr>
          <w:rFonts w:ascii="Times New Roman" w:cs="Times New Roman" w:eastAsia="Times New Roman" w:hAnsi="Times New Roman"/>
          <w:sz w:val="18"/>
          <w:szCs w:val="18"/>
          <w:i w:val="1"/>
          <w:iCs w:val="1"/>
          <w:color w:val="auto"/>
        </w:rPr>
        <w:t>Conditions precedent</w:t>
      </w:r>
      <w:r>
        <w:rPr>
          <w:rFonts w:ascii="Times New Roman" w:cs="Times New Roman" w:eastAsia="Times New Roman" w:hAnsi="Times New Roman"/>
          <w:sz w:val="18"/>
          <w:szCs w:val="18"/>
          <w:color w:val="auto"/>
        </w:rPr>
        <w:t>), as such schedule may be updated, or Clause 15.1 (</w:t>
      </w:r>
      <w:r>
        <w:rPr>
          <w:rFonts w:ascii="Times New Roman" w:cs="Times New Roman" w:eastAsia="Times New Roman" w:hAnsi="Times New Roman"/>
          <w:sz w:val="18"/>
          <w:szCs w:val="18"/>
          <w:i w:val="1"/>
          <w:iCs w:val="1"/>
          <w:color w:val="auto"/>
        </w:rPr>
        <w:t>Information: miscellaneous</w:t>
      </w:r>
      <w:r>
        <w:rPr>
          <w:rFonts w:ascii="Times New Roman" w:cs="Times New Roman" w:eastAsia="Times New Roman" w:hAnsi="Times New Roman"/>
          <w:sz w:val="18"/>
          <w:szCs w:val="18"/>
          <w:color w:val="auto"/>
        </w:rPr>
        <w:t>) is authorised to sign Utilisation Requests (in the case of the Borrower only) and other notices on such Obligor’s behalf.</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14.15</w:t>
        <w:tab/>
        <w:t>No immunity</w:t>
      </w:r>
    </w:p>
    <w:p>
      <w:pPr>
        <w:sectPr>
          <w:pgSz w:w="11900" w:h="16838" w:orient="portrait"/>
          <w:cols w:equalWidth="0" w:num="1">
            <w:col w:w="11420"/>
          </w:cols>
          <w:pgMar w:left="240" w:top="577" w:right="239" w:bottom="0" w:gutter="0" w:footer="0" w:header="0"/>
        </w:sectPr>
      </w:pPr>
    </w:p>
    <w:bookmarkStart w:id="178" w:name="page179"/>
    <w:bookmarkEnd w:id="178"/>
    <w:p>
      <w:pPr>
        <w:ind w:left="660" w:right="360"/>
        <w:spacing w:after="0" w:line="261" w:lineRule="auto"/>
        <w:rPr>
          <w:sz w:val="20"/>
          <w:szCs w:val="20"/>
          <w:color w:val="auto"/>
        </w:rPr>
      </w:pPr>
      <w:r>
        <w:rPr>
          <w:rFonts w:ascii="Times New Roman" w:cs="Times New Roman" w:eastAsia="Times New Roman" w:hAnsi="Times New Roman"/>
          <w:sz w:val="18"/>
          <w:szCs w:val="18"/>
          <w:color w:val="auto"/>
        </w:rPr>
        <w:t>Each of the Obligors is generally subject to civil and commercial law and to set-off, suit, judgment and execution with respect to their respective obligations under this Agreement and neither the Obligors nor any of their assets has or is entitled to any immunity or privilege, whether characterised as sovereign immunity or otherwise from any set-off, suit, legal action, proceeding, judgment, execution, attachment or other legal process.</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14.16</w:t>
      </w:r>
      <w:r>
        <w:rPr>
          <w:sz w:val="20"/>
          <w:szCs w:val="20"/>
          <w:color w:val="auto"/>
        </w:rPr>
        <w:tab/>
      </w:r>
      <w:r>
        <w:rPr>
          <w:rFonts w:ascii="Times New Roman" w:cs="Times New Roman" w:eastAsia="Times New Roman" w:hAnsi="Times New Roman"/>
          <w:sz w:val="17"/>
          <w:szCs w:val="17"/>
          <w:b w:val="1"/>
          <w:bCs w:val="1"/>
          <w:color w:val="auto"/>
        </w:rPr>
        <w:t>No omissions</w:t>
      </w:r>
    </w:p>
    <w:p>
      <w:pPr>
        <w:spacing w:after="0" w:line="227" w:lineRule="exact"/>
        <w:rPr>
          <w:sz w:val="20"/>
          <w:szCs w:val="20"/>
          <w:color w:val="auto"/>
        </w:rPr>
      </w:pPr>
    </w:p>
    <w:p>
      <w:pPr>
        <w:ind w:left="660" w:right="440"/>
        <w:spacing w:after="0" w:line="284" w:lineRule="auto"/>
        <w:rPr>
          <w:sz w:val="20"/>
          <w:szCs w:val="20"/>
          <w:color w:val="auto"/>
        </w:rPr>
      </w:pPr>
      <w:r>
        <w:rPr>
          <w:rFonts w:ascii="Times New Roman" w:cs="Times New Roman" w:eastAsia="Times New Roman" w:hAnsi="Times New Roman"/>
          <w:sz w:val="18"/>
          <w:szCs w:val="18"/>
          <w:color w:val="auto"/>
        </w:rPr>
        <w:t>None of the representations and warranties set out in Clauses 14.1 (</w:t>
      </w:r>
      <w:r>
        <w:rPr>
          <w:rFonts w:ascii="Times New Roman" w:cs="Times New Roman" w:eastAsia="Times New Roman" w:hAnsi="Times New Roman"/>
          <w:sz w:val="18"/>
          <w:szCs w:val="18"/>
          <w:i w:val="1"/>
          <w:iCs w:val="1"/>
          <w:color w:val="auto"/>
        </w:rPr>
        <w:t>Status</w:t>
      </w:r>
      <w:r>
        <w:rPr>
          <w:rFonts w:ascii="Times New Roman" w:cs="Times New Roman" w:eastAsia="Times New Roman" w:hAnsi="Times New Roman"/>
          <w:sz w:val="18"/>
          <w:szCs w:val="18"/>
          <w:color w:val="auto"/>
        </w:rPr>
        <w:t>) to 15.16 (</w:t>
      </w:r>
      <w:r>
        <w:rPr>
          <w:rFonts w:ascii="Times New Roman" w:cs="Times New Roman" w:eastAsia="Times New Roman" w:hAnsi="Times New Roman"/>
          <w:sz w:val="18"/>
          <w:szCs w:val="18"/>
          <w:i w:val="1"/>
          <w:iCs w:val="1"/>
          <w:color w:val="auto"/>
        </w:rPr>
        <w:t>No immunity</w:t>
      </w:r>
      <w:r>
        <w:rPr>
          <w:rFonts w:ascii="Times New Roman" w:cs="Times New Roman" w:eastAsia="Times New Roman" w:hAnsi="Times New Roman"/>
          <w:sz w:val="18"/>
          <w:szCs w:val="18"/>
          <w:color w:val="auto"/>
        </w:rPr>
        <w:t>) (both clauses included) omits any matter the omission of which makes any of such representation and warranty misleading.</w:t>
      </w:r>
    </w:p>
    <w:p>
      <w:pPr>
        <w:spacing w:after="0" w:line="1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14.17</w:t>
        <w:tab/>
        <w:t>Repetition</w:t>
      </w:r>
    </w:p>
    <w:p>
      <w:pPr>
        <w:spacing w:after="0" w:line="227" w:lineRule="exact"/>
        <w:rPr>
          <w:sz w:val="20"/>
          <w:szCs w:val="20"/>
          <w:color w:val="auto"/>
        </w:rPr>
      </w:pPr>
    </w:p>
    <w:p>
      <w:pPr>
        <w:ind w:left="660" w:right="460"/>
        <w:spacing w:after="0" w:line="284" w:lineRule="auto"/>
        <w:rPr>
          <w:sz w:val="20"/>
          <w:szCs w:val="20"/>
          <w:color w:val="auto"/>
        </w:rPr>
      </w:pPr>
      <w:r>
        <w:rPr>
          <w:rFonts w:ascii="Times New Roman" w:cs="Times New Roman" w:eastAsia="Times New Roman" w:hAnsi="Times New Roman"/>
          <w:sz w:val="18"/>
          <w:szCs w:val="18"/>
          <w:color w:val="auto"/>
        </w:rPr>
        <w:t>The representations set out in Clauses 14.1 (</w:t>
      </w:r>
      <w:r>
        <w:rPr>
          <w:rFonts w:ascii="Times New Roman" w:cs="Times New Roman" w:eastAsia="Times New Roman" w:hAnsi="Times New Roman"/>
          <w:sz w:val="18"/>
          <w:szCs w:val="18"/>
          <w:i w:val="1"/>
          <w:iCs w:val="1"/>
          <w:color w:val="auto"/>
        </w:rPr>
        <w:t>Status</w:t>
      </w:r>
      <w:r>
        <w:rPr>
          <w:rFonts w:ascii="Times New Roman" w:cs="Times New Roman" w:eastAsia="Times New Roman" w:hAnsi="Times New Roman"/>
          <w:sz w:val="18"/>
          <w:szCs w:val="18"/>
          <w:color w:val="auto"/>
        </w:rPr>
        <w:t>) to 15.17 (</w:t>
      </w:r>
      <w:r>
        <w:rPr>
          <w:rFonts w:ascii="Times New Roman" w:cs="Times New Roman" w:eastAsia="Times New Roman" w:hAnsi="Times New Roman"/>
          <w:sz w:val="18"/>
          <w:szCs w:val="18"/>
          <w:i w:val="1"/>
          <w:iCs w:val="1"/>
          <w:color w:val="auto"/>
        </w:rPr>
        <w:t>No omissions</w:t>
      </w:r>
      <w:r>
        <w:rPr>
          <w:rFonts w:ascii="Times New Roman" w:cs="Times New Roman" w:eastAsia="Times New Roman" w:hAnsi="Times New Roman"/>
          <w:sz w:val="18"/>
          <w:szCs w:val="18"/>
          <w:color w:val="auto"/>
        </w:rPr>
        <w:t>) (both clauses included) are deemed to be made by each Obligor by reference to the facts and circumstances then existing on the first day of each month during the Loan Period.</w:t>
      </w:r>
    </w:p>
    <w:p>
      <w:pPr>
        <w:spacing w:after="0" w:line="156" w:lineRule="exact"/>
        <w:rPr>
          <w:sz w:val="20"/>
          <w:szCs w:val="20"/>
          <w:color w:val="auto"/>
        </w:rPr>
      </w:pPr>
    </w:p>
    <w:p>
      <w:pPr>
        <w:ind w:left="660" w:hanging="652"/>
        <w:spacing w:after="0"/>
        <w:tabs>
          <w:tab w:leader="none" w:pos="660" w:val="left"/>
        </w:tabs>
        <w:numPr>
          <w:ilvl w:val="0"/>
          <w:numId w:val="3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INFORMATION UNDERTAKINGS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undertakings in this Clause 15 shall remain in force during the Loan Period.</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15.1</w:t>
      </w:r>
      <w:r>
        <w:rPr>
          <w:sz w:val="20"/>
          <w:szCs w:val="20"/>
          <w:color w:val="auto"/>
        </w:rPr>
        <w:tab/>
      </w:r>
      <w:r>
        <w:rPr>
          <w:rFonts w:ascii="Times New Roman" w:cs="Times New Roman" w:eastAsia="Times New Roman" w:hAnsi="Times New Roman"/>
          <w:sz w:val="18"/>
          <w:szCs w:val="18"/>
          <w:b w:val="1"/>
          <w:bCs w:val="1"/>
          <w:color w:val="auto"/>
        </w:rPr>
        <w:t>Information: miscellaneous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Obligor shall deliver to the Lender: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0" w:right="260" w:hanging="744"/>
        <w:spacing w:after="0" w:line="266" w:lineRule="auto"/>
        <w:tabs>
          <w:tab w:leader="none" w:pos="1410" w:val="left"/>
        </w:tabs>
        <w:numPr>
          <w:ilvl w:val="0"/>
          <w:numId w:val="3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promptly upon becoming aware of them, the details of any litigation, arbitration or administrative proceedings which are current, threatened or pending against any member of the Group or any Obligor which if adversely determined would reasonably be expected to have a Material Adverse Effect;</w:t>
      </w:r>
    </w:p>
    <w:p>
      <w:pPr>
        <w:spacing w:after="0" w:line="176" w:lineRule="exact"/>
        <w:rPr>
          <w:rFonts w:ascii="Times New Roman" w:cs="Times New Roman" w:eastAsia="Times New Roman" w:hAnsi="Times New Roman"/>
          <w:sz w:val="18"/>
          <w:szCs w:val="18"/>
          <w:b w:val="1"/>
          <w:bCs w:val="1"/>
          <w:color w:val="auto"/>
        </w:rPr>
      </w:pPr>
    </w:p>
    <w:p>
      <w:pPr>
        <w:ind w:left="1400" w:right="100" w:hanging="744"/>
        <w:spacing w:after="0" w:line="282" w:lineRule="auto"/>
        <w:tabs>
          <w:tab w:leader="none" w:pos="1420" w:val="left"/>
        </w:tabs>
        <w:numPr>
          <w:ilvl w:val="0"/>
          <w:numId w:val="3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promptly, such further information regarding the financial condition, business and operations of any member of the Group or any Obligor as the Lender may reasonably request; and</w:t>
      </w:r>
    </w:p>
    <w:p>
      <w:pPr>
        <w:spacing w:after="0" w:line="161" w:lineRule="exact"/>
        <w:rPr>
          <w:rFonts w:ascii="Times New Roman" w:cs="Times New Roman" w:eastAsia="Times New Roman" w:hAnsi="Times New Roman"/>
          <w:sz w:val="18"/>
          <w:szCs w:val="18"/>
          <w:b w:val="1"/>
          <w:bCs w:val="1"/>
          <w:color w:val="auto"/>
        </w:rPr>
      </w:pPr>
    </w:p>
    <w:p>
      <w:pPr>
        <w:ind w:left="1400" w:right="620" w:hanging="744"/>
        <w:spacing w:after="0" w:line="282" w:lineRule="auto"/>
        <w:tabs>
          <w:tab w:leader="none" w:pos="1413" w:val="left"/>
        </w:tabs>
        <w:numPr>
          <w:ilvl w:val="0"/>
          <w:numId w:val="3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promptly, notice of any change in authorised signatories of any Obligor signed by a director or company secretary of such Obligor accompanied by specimen signatures of any new authorised signatories.</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15.2</w:t>
      </w:r>
      <w:r>
        <w:rPr>
          <w:sz w:val="20"/>
          <w:szCs w:val="20"/>
          <w:color w:val="auto"/>
        </w:rPr>
        <w:tab/>
      </w:r>
      <w:r>
        <w:rPr>
          <w:rFonts w:ascii="Times New Roman" w:cs="Times New Roman" w:eastAsia="Times New Roman" w:hAnsi="Times New Roman"/>
          <w:sz w:val="18"/>
          <w:szCs w:val="18"/>
          <w:b w:val="1"/>
          <w:bCs w:val="1"/>
          <w:color w:val="auto"/>
        </w:rPr>
        <w:t>Notification of default</w:t>
      </w:r>
    </w:p>
    <w:p>
      <w:pPr>
        <w:spacing w:after="0" w:line="229" w:lineRule="exact"/>
        <w:rPr>
          <w:sz w:val="20"/>
          <w:szCs w:val="20"/>
          <w:color w:val="auto"/>
        </w:rPr>
      </w:pPr>
    </w:p>
    <w:p>
      <w:pPr>
        <w:ind w:left="1400" w:right="100" w:hanging="744"/>
        <w:spacing w:after="0" w:line="282" w:lineRule="auto"/>
        <w:tabs>
          <w:tab w:leader="none" w:pos="1410" w:val="left"/>
        </w:tabs>
        <w:numPr>
          <w:ilvl w:val="1"/>
          <w:numId w:val="3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Obligor shall notify the Lender of any Default (and the steps, if any, being taken to remedy it) promptly upon becoming aware of its occurrence.</w:t>
      </w:r>
    </w:p>
    <w:p>
      <w:pPr>
        <w:spacing w:after="0" w:line="161" w:lineRule="exact"/>
        <w:rPr>
          <w:rFonts w:ascii="Times New Roman" w:cs="Times New Roman" w:eastAsia="Times New Roman" w:hAnsi="Times New Roman"/>
          <w:sz w:val="18"/>
          <w:szCs w:val="18"/>
          <w:b w:val="1"/>
          <w:bCs w:val="1"/>
          <w:color w:val="auto"/>
        </w:rPr>
      </w:pPr>
    </w:p>
    <w:p>
      <w:pPr>
        <w:ind w:left="1400" w:right="140" w:hanging="744"/>
        <w:spacing w:after="0" w:line="266" w:lineRule="auto"/>
        <w:tabs>
          <w:tab w:leader="none" w:pos="1420" w:val="left"/>
        </w:tabs>
        <w:numPr>
          <w:ilvl w:val="1"/>
          <w:numId w:val="3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Promptly upon a request by the Lender if it believes (acting in good faith) that a Default may have occurred and is continuing, the Borrower shall deliver to the Lender a certificate signed by a director or authorised officer certifying that no Default is continuing (or if a Default is continuing, specifying the Default and the steps, if any, being taken to remedy it).</w:t>
      </w:r>
    </w:p>
    <w:p>
      <w:pPr>
        <w:spacing w:after="0" w:line="172"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UNDERTAKINGS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undertakings in this Clause 16 shall remain in force during the Loan Period.</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16.1</w:t>
      </w:r>
      <w:r>
        <w:rPr>
          <w:sz w:val="20"/>
          <w:szCs w:val="20"/>
          <w:color w:val="auto"/>
        </w:rPr>
        <w:tab/>
      </w:r>
      <w:r>
        <w:rPr>
          <w:rFonts w:ascii="Times New Roman" w:cs="Times New Roman" w:eastAsia="Times New Roman" w:hAnsi="Times New Roman"/>
          <w:sz w:val="17"/>
          <w:szCs w:val="17"/>
          <w:b w:val="1"/>
          <w:bCs w:val="1"/>
          <w:color w:val="auto"/>
        </w:rPr>
        <w:t>Authorisations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Obligor shall promptly:</w:t>
      </w:r>
    </w:p>
    <w:p>
      <w:pPr>
        <w:spacing w:after="0" w:line="225" w:lineRule="exact"/>
        <w:rPr>
          <w:sz w:val="20"/>
          <w:szCs w:val="20"/>
          <w:color w:val="auto"/>
        </w:rPr>
      </w:pPr>
    </w:p>
    <w:p>
      <w:pPr>
        <w:ind w:left="1400" w:hanging="744"/>
        <w:spacing w:after="0"/>
        <w:tabs>
          <w:tab w:leader="none" w:pos="1400" w:val="left"/>
        </w:tabs>
        <w:numPr>
          <w:ilvl w:val="0"/>
          <w:numId w:val="3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obtain, comply with and do all that is necessary to maintain in full force and effect; and</w:t>
      </w:r>
    </w:p>
    <w:p>
      <w:pPr>
        <w:spacing w:after="0" w:line="225"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3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supply certified copies to the Lender of,</w:t>
      </w:r>
    </w:p>
    <w:p>
      <w:pPr>
        <w:spacing w:after="0" w:line="225" w:lineRule="exact"/>
        <w:rPr>
          <w:sz w:val="20"/>
          <w:szCs w:val="20"/>
          <w:color w:val="auto"/>
        </w:rPr>
      </w:pPr>
    </w:p>
    <w:p>
      <w:pPr>
        <w:ind w:left="640" w:right="160"/>
        <w:spacing w:after="0" w:line="282" w:lineRule="auto"/>
        <w:rPr>
          <w:sz w:val="20"/>
          <w:szCs w:val="20"/>
          <w:color w:val="auto"/>
        </w:rPr>
      </w:pPr>
      <w:r>
        <w:rPr>
          <w:rFonts w:ascii="Times New Roman" w:cs="Times New Roman" w:eastAsia="Times New Roman" w:hAnsi="Times New Roman"/>
          <w:sz w:val="18"/>
          <w:szCs w:val="18"/>
          <w:color w:val="auto"/>
        </w:rPr>
        <w:t>any Authorisation required to enable it to perform its obligations under the Finance Documents and to ensure the legality, validity, enforceability or admissibility in evidence in its jurisdiction of incorporation of any Finance Document.</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16.2</w:t>
      </w:r>
      <w:r>
        <w:rPr>
          <w:sz w:val="20"/>
          <w:szCs w:val="20"/>
          <w:color w:val="auto"/>
        </w:rPr>
        <w:tab/>
      </w:r>
      <w:r>
        <w:rPr>
          <w:rFonts w:ascii="Times New Roman" w:cs="Times New Roman" w:eastAsia="Times New Roman" w:hAnsi="Times New Roman"/>
          <w:sz w:val="18"/>
          <w:szCs w:val="18"/>
          <w:b w:val="1"/>
          <w:bCs w:val="1"/>
          <w:color w:val="auto"/>
        </w:rPr>
        <w:t>Compliance with laws</w:t>
      </w:r>
    </w:p>
    <w:p>
      <w:pPr>
        <w:spacing w:after="0" w:line="229"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Each Obligor shall comply in all respects with all laws, regulations and listing rules to which it may be subject, if failure so to comply would materially impair its ability to perform its obligations under the Finance Documents. Each Obligor shall ensure that the Loan and the use of the Loan is legal under all applicable laws.</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16.3</w:t>
      </w:r>
      <w:r>
        <w:rPr>
          <w:sz w:val="20"/>
          <w:szCs w:val="20"/>
          <w:color w:val="auto"/>
        </w:rPr>
        <w:tab/>
      </w:r>
      <w:r>
        <w:rPr>
          <w:rFonts w:ascii="Times New Roman" w:cs="Times New Roman" w:eastAsia="Times New Roman" w:hAnsi="Times New Roman"/>
          <w:sz w:val="17"/>
          <w:szCs w:val="17"/>
          <w:b w:val="1"/>
          <w:bCs w:val="1"/>
          <w:color w:val="auto"/>
        </w:rPr>
        <w:t>Pari passu ranking</w:t>
      </w:r>
    </w:p>
    <w:p>
      <w:pPr>
        <w:spacing w:after="0" w:line="229" w:lineRule="exact"/>
        <w:rPr>
          <w:sz w:val="20"/>
          <w:szCs w:val="20"/>
          <w:color w:val="auto"/>
        </w:rPr>
      </w:pPr>
    </w:p>
    <w:p>
      <w:pPr>
        <w:ind w:left="660" w:right="20"/>
        <w:spacing w:after="0" w:line="266" w:lineRule="auto"/>
        <w:rPr>
          <w:sz w:val="20"/>
          <w:szCs w:val="20"/>
          <w:color w:val="auto"/>
        </w:rPr>
      </w:pPr>
      <w:r>
        <w:rPr>
          <w:rFonts w:ascii="Times New Roman" w:cs="Times New Roman" w:eastAsia="Times New Roman" w:hAnsi="Times New Roman"/>
          <w:sz w:val="18"/>
          <w:szCs w:val="18"/>
          <w:color w:val="auto"/>
        </w:rPr>
        <w:t>Each Obligor shall ensure that the payment obligations of the Obligors under the Finance Documents rank and continue to rank at least pari passu with the claims of all of its other unsecured and unsubordinated creditors, except for obligations mandatorily preferred by law applying to companies generally.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sectPr>
      </w:pPr>
    </w:p>
    <w:bookmarkStart w:id="179" w:name="page180"/>
    <w:bookmarkEnd w:id="179"/>
    <w:p>
      <w:pPr>
        <w:spacing w:after="0" w:line="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16.4</w:t>
      </w:r>
      <w:r>
        <w:rPr>
          <w:sz w:val="20"/>
          <w:szCs w:val="20"/>
          <w:color w:val="auto"/>
        </w:rPr>
        <w:tab/>
      </w:r>
      <w:r>
        <w:rPr>
          <w:rFonts w:ascii="Times New Roman" w:cs="Times New Roman" w:eastAsia="Times New Roman" w:hAnsi="Times New Roman"/>
          <w:sz w:val="17"/>
          <w:szCs w:val="17"/>
          <w:b w:val="1"/>
          <w:bCs w:val="1"/>
          <w:color w:val="auto"/>
        </w:rPr>
        <w:t>Disposals</w:t>
      </w:r>
    </w:p>
    <w:p>
      <w:pPr>
        <w:spacing w:after="0" w:line="229"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Each Obligor shall not, and shall procure each member of the Group not to, enter into a single transaction or a series of transactions (whether related or not) and whether voluntary or involuntary to dispose of any of their respective assets ofvalue exceeding US$2,500,000 (each as determined by the Lender as at the date of the disposal) without prior written consent from the Lender (which may be withheld or given with or without conditions in the Lender’s sole discretion).</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16.5</w:t>
      </w:r>
      <w:r>
        <w:rPr>
          <w:sz w:val="20"/>
          <w:szCs w:val="20"/>
          <w:color w:val="auto"/>
        </w:rPr>
        <w:tab/>
      </w:r>
      <w:r>
        <w:rPr>
          <w:rFonts w:ascii="Times New Roman" w:cs="Times New Roman" w:eastAsia="Times New Roman" w:hAnsi="Times New Roman"/>
          <w:sz w:val="18"/>
          <w:szCs w:val="18"/>
          <w:b w:val="1"/>
          <w:bCs w:val="1"/>
          <w:color w:val="auto"/>
        </w:rPr>
        <w:t>Merger</w:t>
      </w:r>
    </w:p>
    <w:p>
      <w:pPr>
        <w:spacing w:after="0" w:line="229" w:lineRule="exact"/>
        <w:rPr>
          <w:sz w:val="20"/>
          <w:szCs w:val="20"/>
          <w:color w:val="auto"/>
        </w:rPr>
      </w:pPr>
    </w:p>
    <w:p>
      <w:pPr>
        <w:ind w:left="660" w:right="960"/>
        <w:spacing w:after="0" w:line="282" w:lineRule="auto"/>
        <w:rPr>
          <w:sz w:val="20"/>
          <w:szCs w:val="20"/>
          <w:color w:val="auto"/>
        </w:rPr>
      </w:pPr>
      <w:r>
        <w:rPr>
          <w:rFonts w:ascii="Times New Roman" w:cs="Times New Roman" w:eastAsia="Times New Roman" w:hAnsi="Times New Roman"/>
          <w:sz w:val="18"/>
          <w:szCs w:val="18"/>
          <w:color w:val="auto"/>
        </w:rPr>
        <w:t>Each Obligor shall not, and shall procure each member of the Group not to, enter into any amalgamation, demerger, merger or corporate reconstruction without the prior written consent of the Lender.</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16.6</w:t>
      </w:r>
      <w:r>
        <w:rPr>
          <w:sz w:val="20"/>
          <w:szCs w:val="20"/>
          <w:color w:val="auto"/>
        </w:rPr>
        <w:tab/>
      </w:r>
      <w:r>
        <w:rPr>
          <w:rFonts w:ascii="Times New Roman" w:cs="Times New Roman" w:eastAsia="Times New Roman" w:hAnsi="Times New Roman"/>
          <w:sz w:val="18"/>
          <w:szCs w:val="18"/>
          <w:b w:val="1"/>
          <w:bCs w:val="1"/>
          <w:color w:val="auto"/>
        </w:rPr>
        <w:t>Redemption of shares</w:t>
      </w:r>
    </w:p>
    <w:p>
      <w:pPr>
        <w:spacing w:after="0" w:line="229"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Each Obligor shall not, and shall procure each member of the Group not to, purchase or redeem any of its issued share capital or make a distribution of assets or other capital distribution to its shareholders without the prior written consent of the Lender.</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16.7</w:t>
      </w:r>
      <w:r>
        <w:rPr>
          <w:sz w:val="20"/>
          <w:szCs w:val="20"/>
          <w:color w:val="auto"/>
        </w:rPr>
        <w:tab/>
      </w:r>
      <w:r>
        <w:rPr>
          <w:rFonts w:ascii="Times New Roman" w:cs="Times New Roman" w:eastAsia="Times New Roman" w:hAnsi="Times New Roman"/>
          <w:sz w:val="18"/>
          <w:szCs w:val="18"/>
          <w:b w:val="1"/>
          <w:bCs w:val="1"/>
          <w:color w:val="auto"/>
        </w:rPr>
        <w:t>Dividend distribution</w:t>
      </w:r>
    </w:p>
    <w:p>
      <w:pPr>
        <w:spacing w:after="0" w:line="229"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Each Obligor shall not, and shall procure each member of the Group not to, declare or pay any dividend or make any other income distribution to its shareholders without the prior written consent of the Lender.</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16.8</w:t>
      </w:r>
      <w:r>
        <w:rPr>
          <w:sz w:val="20"/>
          <w:szCs w:val="20"/>
          <w:color w:val="auto"/>
        </w:rPr>
        <w:tab/>
      </w:r>
      <w:r>
        <w:rPr>
          <w:rFonts w:ascii="Times New Roman" w:cs="Times New Roman" w:eastAsia="Times New Roman" w:hAnsi="Times New Roman"/>
          <w:sz w:val="18"/>
          <w:szCs w:val="18"/>
          <w:b w:val="1"/>
          <w:bCs w:val="1"/>
          <w:color w:val="auto"/>
        </w:rPr>
        <w:t>Change of business</w:t>
      </w:r>
    </w:p>
    <w:p>
      <w:pPr>
        <w:spacing w:after="0" w:line="229" w:lineRule="exact"/>
        <w:rPr>
          <w:sz w:val="20"/>
          <w:szCs w:val="20"/>
          <w:color w:val="auto"/>
        </w:rPr>
      </w:pPr>
    </w:p>
    <w:p>
      <w:pPr>
        <w:ind w:left="660" w:right="400"/>
        <w:spacing w:after="0" w:line="282" w:lineRule="auto"/>
        <w:rPr>
          <w:sz w:val="20"/>
          <w:szCs w:val="20"/>
          <w:color w:val="auto"/>
        </w:rPr>
      </w:pPr>
      <w:r>
        <w:rPr>
          <w:rFonts w:ascii="Times New Roman" w:cs="Times New Roman" w:eastAsia="Times New Roman" w:hAnsi="Times New Roman"/>
          <w:sz w:val="18"/>
          <w:szCs w:val="18"/>
          <w:color w:val="auto"/>
        </w:rPr>
        <w:t>Each Obligor shall not, and shall procure each member of the Group not to, make any substantial change to the general nature of theirrespective business from that carried on at the Execution Date without the prior written consent of the Lender.</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16.9</w:t>
      </w:r>
      <w:r>
        <w:rPr>
          <w:sz w:val="20"/>
          <w:szCs w:val="20"/>
          <w:color w:val="auto"/>
        </w:rPr>
        <w:tab/>
      </w:r>
      <w:r>
        <w:rPr>
          <w:rFonts w:ascii="Times New Roman" w:cs="Times New Roman" w:eastAsia="Times New Roman" w:hAnsi="Times New Roman"/>
          <w:sz w:val="18"/>
          <w:szCs w:val="18"/>
          <w:b w:val="1"/>
          <w:bCs w:val="1"/>
          <w:color w:val="auto"/>
        </w:rPr>
        <w:t>Acquisitions</w:t>
      </w:r>
    </w:p>
    <w:p>
      <w:pPr>
        <w:spacing w:after="0" w:line="229" w:lineRule="exact"/>
        <w:rPr>
          <w:sz w:val="20"/>
          <w:szCs w:val="20"/>
          <w:color w:val="auto"/>
        </w:rPr>
      </w:pPr>
    </w:p>
    <w:p>
      <w:pPr>
        <w:ind w:left="660" w:right="520"/>
        <w:spacing w:after="0" w:line="282" w:lineRule="auto"/>
        <w:rPr>
          <w:sz w:val="20"/>
          <w:szCs w:val="20"/>
          <w:color w:val="auto"/>
        </w:rPr>
      </w:pPr>
      <w:r>
        <w:rPr>
          <w:rFonts w:ascii="Times New Roman" w:cs="Times New Roman" w:eastAsia="Times New Roman" w:hAnsi="Times New Roman"/>
          <w:sz w:val="18"/>
          <w:szCs w:val="18"/>
          <w:color w:val="auto"/>
        </w:rPr>
        <w:t>Each Obligor shall not, and shall procure each member of the Group not to, acquire any company, business, assets or undertaking or make any investment without the prior written consent of the Lender.</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16.10</w:t>
      </w:r>
      <w:r>
        <w:rPr>
          <w:sz w:val="20"/>
          <w:szCs w:val="20"/>
          <w:color w:val="auto"/>
        </w:rPr>
        <w:tab/>
      </w:r>
      <w:r>
        <w:rPr>
          <w:rFonts w:ascii="Times New Roman" w:cs="Times New Roman" w:eastAsia="Times New Roman" w:hAnsi="Times New Roman"/>
          <w:sz w:val="17"/>
          <w:szCs w:val="17"/>
          <w:b w:val="1"/>
          <w:bCs w:val="1"/>
          <w:color w:val="auto"/>
        </w:rPr>
        <w:t>Loans and Guarantees</w:t>
      </w:r>
    </w:p>
    <w:p>
      <w:pPr>
        <w:spacing w:after="0" w:line="229"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Without the prior written consent of the Lender, each Obligor shall not, and shall procure each member of the Group not to, make any loans, grant any credit (save in the ordinary course of business) or give any guarantee or indemnity (except as required under any of the Finance Documents) to or for the benefit of any person or otherwise voluntarily assume any liability, whether actual or contingent, in respect of any obligation of any person, save and except where such making of loans and giving of guarantees or indemnities are in the ordinary course of business of the relevant member of the Group.</w:t>
      </w:r>
    </w:p>
    <w:p>
      <w:pPr>
        <w:spacing w:after="0" w:line="18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16.11</w:t>
      </w:r>
      <w:r>
        <w:rPr>
          <w:sz w:val="20"/>
          <w:szCs w:val="20"/>
          <w:color w:val="auto"/>
        </w:rPr>
        <w:tab/>
      </w:r>
      <w:r>
        <w:rPr>
          <w:rFonts w:ascii="Times New Roman" w:cs="Times New Roman" w:eastAsia="Times New Roman" w:hAnsi="Times New Roman"/>
          <w:sz w:val="17"/>
          <w:szCs w:val="17"/>
          <w:b w:val="1"/>
          <w:bCs w:val="1"/>
          <w:color w:val="auto"/>
        </w:rPr>
        <w:t>Use of Proceeds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shall not use any proceeds of the Loan for any purpose other than that set forth in Clause 3.1 (</w:t>
      </w:r>
      <w:r>
        <w:rPr>
          <w:rFonts w:ascii="Times New Roman" w:cs="Times New Roman" w:eastAsia="Times New Roman" w:hAnsi="Times New Roman"/>
          <w:sz w:val="18"/>
          <w:szCs w:val="18"/>
          <w:i w:val="1"/>
          <w:iCs w:val="1"/>
          <w:color w:val="auto"/>
        </w:rPr>
        <w:t>Purpose</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16.12</w:t>
      </w:r>
      <w:r>
        <w:rPr>
          <w:sz w:val="20"/>
          <w:szCs w:val="20"/>
          <w:color w:val="auto"/>
        </w:rPr>
        <w:tab/>
      </w:r>
      <w:r>
        <w:rPr>
          <w:rFonts w:ascii="Times New Roman" w:cs="Times New Roman" w:eastAsia="Times New Roman" w:hAnsi="Times New Roman"/>
          <w:sz w:val="17"/>
          <w:szCs w:val="17"/>
          <w:b w:val="1"/>
          <w:bCs w:val="1"/>
          <w:color w:val="auto"/>
        </w:rPr>
        <w:t>Fundamental changes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Without the prior written consent of the Lender, each Obligor shall not, and shall procure each member of the Group not to, change: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0" w:hanging="744"/>
        <w:spacing w:after="0"/>
        <w:tabs>
          <w:tab w:leader="none" w:pos="1400" w:val="left"/>
        </w:tabs>
        <w:numPr>
          <w:ilvl w:val="0"/>
          <w:numId w:val="3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its constitutional documents in any manner which would be inconsistent with the provisions of any Finance Document; or</w:t>
      </w:r>
    </w:p>
    <w:p>
      <w:pPr>
        <w:spacing w:after="0" w:line="225"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3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its financial year.</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16.13</w:t>
      </w:r>
      <w:r>
        <w:rPr>
          <w:sz w:val="20"/>
          <w:szCs w:val="20"/>
          <w:color w:val="auto"/>
        </w:rPr>
        <w:tab/>
      </w:r>
      <w:r>
        <w:rPr>
          <w:rFonts w:ascii="Times New Roman" w:cs="Times New Roman" w:eastAsia="Times New Roman" w:hAnsi="Times New Roman"/>
          <w:sz w:val="17"/>
          <w:szCs w:val="17"/>
          <w:b w:val="1"/>
          <w:bCs w:val="1"/>
          <w:color w:val="auto"/>
        </w:rPr>
        <w:t>Amendments, waivers, etc. of material agreements</w:t>
      </w:r>
    </w:p>
    <w:p>
      <w:pPr>
        <w:spacing w:after="0" w:line="229" w:lineRule="exact"/>
        <w:rPr>
          <w:sz w:val="20"/>
          <w:szCs w:val="20"/>
          <w:color w:val="auto"/>
        </w:rPr>
      </w:pPr>
    </w:p>
    <w:p>
      <w:pPr>
        <w:ind w:left="660" w:right="260"/>
        <w:spacing w:after="0" w:line="282" w:lineRule="auto"/>
        <w:rPr>
          <w:sz w:val="20"/>
          <w:szCs w:val="20"/>
          <w:color w:val="auto"/>
        </w:rPr>
      </w:pPr>
      <w:r>
        <w:rPr>
          <w:rFonts w:ascii="Times New Roman" w:cs="Times New Roman" w:eastAsia="Times New Roman" w:hAnsi="Times New Roman"/>
          <w:sz w:val="18"/>
          <w:szCs w:val="18"/>
          <w:color w:val="auto"/>
        </w:rPr>
        <w:t>Each Obligor shall not, and shall procure each member of the Group not to, terminate, amend or grant any waiver with respect to any provision of any material agreement or other instrument evidencing or relating to Financial Indebtedness without the prior written consent of the Lender.</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16.14</w:t>
      </w:r>
      <w:r>
        <w:rPr>
          <w:sz w:val="20"/>
          <w:szCs w:val="20"/>
          <w:color w:val="auto"/>
        </w:rPr>
        <w:tab/>
      </w:r>
      <w:r>
        <w:rPr>
          <w:rFonts w:ascii="Times New Roman" w:cs="Times New Roman" w:eastAsia="Times New Roman" w:hAnsi="Times New Roman"/>
          <w:sz w:val="17"/>
          <w:szCs w:val="17"/>
          <w:b w:val="1"/>
          <w:bCs w:val="1"/>
          <w:color w:val="auto"/>
        </w:rPr>
        <w:t>Borrowing or raising of credit</w:t>
      </w:r>
    </w:p>
    <w:p>
      <w:pPr>
        <w:spacing w:after="0" w:line="229" w:lineRule="exact"/>
        <w:rPr>
          <w:sz w:val="20"/>
          <w:szCs w:val="20"/>
          <w:color w:val="auto"/>
        </w:rPr>
      </w:pPr>
    </w:p>
    <w:p>
      <w:pPr>
        <w:ind w:left="660" w:right="40"/>
        <w:spacing w:after="0" w:line="258" w:lineRule="auto"/>
        <w:rPr>
          <w:sz w:val="20"/>
          <w:szCs w:val="20"/>
          <w:color w:val="auto"/>
        </w:rPr>
      </w:pPr>
      <w:r>
        <w:rPr>
          <w:rFonts w:ascii="Times New Roman" w:cs="Times New Roman" w:eastAsia="Times New Roman" w:hAnsi="Times New Roman"/>
          <w:sz w:val="18"/>
          <w:szCs w:val="18"/>
          <w:color w:val="auto"/>
        </w:rPr>
        <w:t>Each Obligor shall not, and shall procure each member of the Group not to, borrow or raise credit or Financial Indebtedness or incur any other indebtedness or permit to subsist any financial facilities with any bank, financial institution or other party without prior written consent of the Lender, except from the Lender pursuant to this Agreement, save and except where such borrowing and raising of credit are in the ordinary course of business of the relevant member of the Group, in which event the Borrower shall give a prior written notification of such proposed borrowing and raising of credit to the Lender.</w:t>
      </w:r>
    </w:p>
    <w:p>
      <w:pPr>
        <w:spacing w:after="0" w:line="18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16.15</w:t>
        <w:tab/>
        <w:t>Negative pledge</w:t>
      </w:r>
    </w:p>
    <w:p>
      <w:pPr>
        <w:spacing w:after="0" w:line="229" w:lineRule="exact"/>
        <w:rPr>
          <w:sz w:val="20"/>
          <w:szCs w:val="20"/>
          <w:color w:val="auto"/>
        </w:rPr>
      </w:pPr>
    </w:p>
    <w:p>
      <w:pPr>
        <w:ind w:left="1300" w:right="60" w:hanging="644"/>
        <w:spacing w:after="0" w:line="289" w:lineRule="auto"/>
        <w:tabs>
          <w:tab w:leader="none" w:pos="1307" w:val="left"/>
        </w:tabs>
        <w:numPr>
          <w:ilvl w:val="0"/>
          <w:numId w:val="3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Each Obligor shall not, and shall procure each member of the Group not to, create or permit to subsist any Security over any of the Group’s assets to secure any Financial Indebtedness of the Obligors or any Subsidiary thereof (or any guarantees or indemnity in respect thereof) without, in any such case, making effective provision whereby the Loan and the obligations under the Finance Documents will be secured</w:t>
      </w:r>
    </w:p>
    <w:p>
      <w:pPr>
        <w:sectPr>
          <w:pgSz w:w="11900" w:h="16897" w:orient="portrait"/>
          <w:cols w:equalWidth="0" w:num="1">
            <w:col w:w="11420"/>
          </w:cols>
          <w:pgMar w:left="240" w:top="577" w:right="239" w:bottom="0" w:gutter="0" w:footer="0" w:header="0"/>
        </w:sectPr>
      </w:pPr>
    </w:p>
    <w:bookmarkStart w:id="180" w:name="page181"/>
    <w:bookmarkEnd w:id="180"/>
    <w:p>
      <w:pPr>
        <w:ind w:left="1300"/>
        <w:spacing w:after="0" w:line="282" w:lineRule="auto"/>
        <w:rPr>
          <w:sz w:val="20"/>
          <w:szCs w:val="20"/>
          <w:color w:val="auto"/>
        </w:rPr>
      </w:pPr>
      <w:r>
        <w:rPr>
          <w:rFonts w:ascii="Times New Roman" w:cs="Times New Roman" w:eastAsia="Times New Roman" w:hAnsi="Times New Roman"/>
          <w:sz w:val="18"/>
          <w:szCs w:val="18"/>
          <w:color w:val="auto"/>
        </w:rPr>
        <w:t>either at least equally and ratably with such Financial Indebtedness or by such other Security as shall have been approved by the Lender, for so long as such Financial Indebtedness will be so secured.</w:t>
      </w:r>
    </w:p>
    <w:p>
      <w:pPr>
        <w:spacing w:after="0" w:line="162" w:lineRule="exact"/>
        <w:rPr>
          <w:sz w:val="20"/>
          <w:szCs w:val="20"/>
          <w:color w:val="auto"/>
        </w:rPr>
      </w:pPr>
    </w:p>
    <w:p>
      <w:pPr>
        <w:ind w:left="1320" w:hanging="664"/>
        <w:spacing w:after="0"/>
        <w:tabs>
          <w:tab w:leader="none" w:pos="1320" w:val="left"/>
        </w:tabs>
        <w:numPr>
          <w:ilvl w:val="0"/>
          <w:numId w:val="3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Paragraph (a) above does not apply to any Security listed below:</w:t>
      </w:r>
    </w:p>
    <w:p>
      <w:pPr>
        <w:spacing w:after="0" w:line="225" w:lineRule="exact"/>
        <w:rPr>
          <w:rFonts w:ascii="Times New Roman" w:cs="Times New Roman" w:eastAsia="Times New Roman" w:hAnsi="Times New Roman"/>
          <w:sz w:val="18"/>
          <w:szCs w:val="18"/>
          <w:b w:val="1"/>
          <w:bCs w:val="1"/>
          <w:color w:val="auto"/>
        </w:rPr>
      </w:pPr>
    </w:p>
    <w:p>
      <w:pPr>
        <w:ind w:left="1960" w:right="80" w:hanging="655"/>
        <w:spacing w:after="0" w:line="282" w:lineRule="auto"/>
        <w:tabs>
          <w:tab w:leader="none" w:pos="1981"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arising or already arisen automatically by operation of law, or for taxes, assessments or governmental charges which is promptly discharged or disputed in good faith by appropriate proceedings;</w:t>
      </w:r>
    </w:p>
    <w:p>
      <w:pPr>
        <w:spacing w:after="0" w:line="161" w:lineRule="exact"/>
        <w:rPr>
          <w:rFonts w:ascii="Times New Roman" w:cs="Times New Roman" w:eastAsia="Times New Roman" w:hAnsi="Times New Roman"/>
          <w:sz w:val="18"/>
          <w:szCs w:val="18"/>
          <w:color w:val="auto"/>
        </w:rPr>
      </w:pPr>
    </w:p>
    <w:p>
      <w:pPr>
        <w:ind w:left="1960" w:right="40" w:hanging="655"/>
        <w:spacing w:after="0" w:line="282" w:lineRule="auto"/>
        <w:tabs>
          <w:tab w:leader="none" w:pos="1991"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existing on any property or asset prior to the acquisition thereof by an Obligor or any Subsidiary thereof arising after such acquisition pursuant to contractual commitments entered into prior to and not in contemplation of such acquisition;</w:t>
      </w:r>
    </w:p>
    <w:p>
      <w:pPr>
        <w:spacing w:after="0" w:line="161" w:lineRule="exact"/>
        <w:rPr>
          <w:rFonts w:ascii="Times New Roman" w:cs="Times New Roman" w:eastAsia="Times New Roman" w:hAnsi="Times New Roman"/>
          <w:sz w:val="18"/>
          <w:szCs w:val="18"/>
          <w:color w:val="auto"/>
        </w:rPr>
      </w:pPr>
    </w:p>
    <w:p>
      <w:pPr>
        <w:ind w:left="1960" w:right="540" w:hanging="655"/>
        <w:spacing w:after="0" w:line="282" w:lineRule="auto"/>
        <w:tabs>
          <w:tab w:leader="none" w:pos="2000"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management, netting or set-off arrangement or combination of accounts arising in favour of any bank or financial institution as a result of the day-to-day operation of banking arrangements;</w:t>
      </w:r>
    </w:p>
    <w:p>
      <w:pPr>
        <w:spacing w:after="0" w:line="161" w:lineRule="exact"/>
        <w:rPr>
          <w:rFonts w:ascii="Times New Roman" w:cs="Times New Roman" w:eastAsia="Times New Roman" w:hAnsi="Times New Roman"/>
          <w:sz w:val="18"/>
          <w:szCs w:val="18"/>
          <w:color w:val="auto"/>
        </w:rPr>
      </w:pPr>
    </w:p>
    <w:p>
      <w:pPr>
        <w:ind w:left="1960" w:right="80" w:hanging="655"/>
        <w:spacing w:after="0" w:line="313" w:lineRule="auto"/>
        <w:tabs>
          <w:tab w:leader="none" w:pos="1977" w:val="left"/>
        </w:tabs>
        <w:numPr>
          <w:ilvl w:val="1"/>
          <w:numId w:val="3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Security arising under any retention of title, title transfer, hire purchase or conditional sale arrangement or arrangements having similar effect in respect of goods supplied to any Obligor or any Subsidiary thereof in the ordinary course of business; and</w:t>
      </w:r>
    </w:p>
    <w:p>
      <w:pPr>
        <w:spacing w:after="0" w:line="138" w:lineRule="exact"/>
        <w:rPr>
          <w:rFonts w:ascii="Times New Roman" w:cs="Times New Roman" w:eastAsia="Times New Roman" w:hAnsi="Times New Roman"/>
          <w:sz w:val="17"/>
          <w:szCs w:val="17"/>
          <w:color w:val="auto"/>
        </w:rPr>
      </w:pPr>
    </w:p>
    <w:p>
      <w:pPr>
        <w:ind w:left="1960" w:right="560" w:hanging="655"/>
        <w:spacing w:after="0" w:line="282" w:lineRule="auto"/>
        <w:tabs>
          <w:tab w:leader="none" w:pos="1967"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easement, right-of-way, zoning and similar restriction and other similar charge or encumbrance not interfering with the ordinary course of business of an Obligor or any of its Subsidiaries.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3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EVENTS OF DEFAULT</w:t>
      </w:r>
    </w:p>
    <w:p>
      <w:pPr>
        <w:spacing w:after="0" w:line="22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the events or circumstances set out in the following sub-clauses of this Clause 17 (other than 18.14 (</w:t>
      </w:r>
      <w:r>
        <w:rPr>
          <w:rFonts w:ascii="Times New Roman" w:cs="Times New Roman" w:eastAsia="Times New Roman" w:hAnsi="Times New Roman"/>
          <w:sz w:val="18"/>
          <w:szCs w:val="18"/>
          <w:i w:val="1"/>
          <w:iCs w:val="1"/>
          <w:color w:val="auto"/>
        </w:rPr>
        <w:t>Acceleration</w:t>
      </w:r>
      <w:r>
        <w:rPr>
          <w:rFonts w:ascii="Times New Roman" w:cs="Times New Roman" w:eastAsia="Times New Roman" w:hAnsi="Times New Roman"/>
          <w:sz w:val="18"/>
          <w:szCs w:val="18"/>
          <w:color w:val="auto"/>
        </w:rPr>
        <w:t>)) is an Event of Default.</w:t>
      </w:r>
    </w:p>
    <w:p>
      <w:pPr>
        <w:spacing w:after="0" w:line="22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17.1</w:t>
      </w:r>
      <w:r>
        <w:rPr>
          <w:sz w:val="20"/>
          <w:szCs w:val="20"/>
          <w:color w:val="auto"/>
        </w:rPr>
        <w:tab/>
      </w:r>
      <w:r>
        <w:rPr>
          <w:rFonts w:ascii="Times New Roman" w:cs="Times New Roman" w:eastAsia="Times New Roman" w:hAnsi="Times New Roman"/>
          <w:sz w:val="18"/>
          <w:szCs w:val="18"/>
          <w:b w:val="1"/>
          <w:bCs w:val="1"/>
          <w:color w:val="auto"/>
        </w:rPr>
        <w:t>Non-payment</w:t>
      </w:r>
    </w:p>
    <w:p>
      <w:pPr>
        <w:spacing w:after="0" w:line="229" w:lineRule="exact"/>
        <w:rPr>
          <w:sz w:val="20"/>
          <w:szCs w:val="20"/>
          <w:color w:val="auto"/>
        </w:rPr>
      </w:pPr>
    </w:p>
    <w:p>
      <w:pPr>
        <w:ind w:left="660" w:right="460"/>
        <w:spacing w:after="0" w:line="282" w:lineRule="auto"/>
        <w:rPr>
          <w:sz w:val="20"/>
          <w:szCs w:val="20"/>
          <w:color w:val="auto"/>
        </w:rPr>
      </w:pPr>
      <w:r>
        <w:rPr>
          <w:rFonts w:ascii="Times New Roman" w:cs="Times New Roman" w:eastAsia="Times New Roman" w:hAnsi="Times New Roman"/>
          <w:sz w:val="18"/>
          <w:szCs w:val="18"/>
          <w:color w:val="auto"/>
        </w:rPr>
        <w:t>The Borrower does not pay on the due date any amount payable pursuant to a Finance Document at the place and in the currency in which it is expressed to be payable unless:</w:t>
      </w:r>
    </w:p>
    <w:p>
      <w:pPr>
        <w:spacing w:after="0" w:line="162" w:lineRule="exact"/>
        <w:rPr>
          <w:sz w:val="20"/>
          <w:szCs w:val="20"/>
          <w:color w:val="auto"/>
        </w:rPr>
      </w:pPr>
    </w:p>
    <w:p>
      <w:pPr>
        <w:ind w:left="1400" w:hanging="744"/>
        <w:spacing w:after="0"/>
        <w:tabs>
          <w:tab w:leader="none" w:pos="1400" w:val="left"/>
        </w:tabs>
        <w:numPr>
          <w:ilvl w:val="0"/>
          <w:numId w:val="3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its failure to pay is caused by administrative or technical error, the Lender, or the force majeure; and</w:t>
      </w:r>
    </w:p>
    <w:p>
      <w:pPr>
        <w:spacing w:after="0" w:line="225"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3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payment is made within three (3) Business Days of its due date.</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17.2</w:t>
      </w:r>
      <w:r>
        <w:rPr>
          <w:sz w:val="20"/>
          <w:szCs w:val="20"/>
          <w:color w:val="auto"/>
        </w:rPr>
        <w:tab/>
      </w:r>
      <w:r>
        <w:rPr>
          <w:rFonts w:ascii="Times New Roman" w:cs="Times New Roman" w:eastAsia="Times New Roman" w:hAnsi="Times New Roman"/>
          <w:sz w:val="18"/>
          <w:szCs w:val="18"/>
          <w:b w:val="1"/>
          <w:bCs w:val="1"/>
          <w:color w:val="auto"/>
        </w:rPr>
        <w:t>Other obligations</w:t>
      </w:r>
    </w:p>
    <w:p>
      <w:pPr>
        <w:spacing w:after="0" w:line="227" w:lineRule="exact"/>
        <w:rPr>
          <w:sz w:val="20"/>
          <w:szCs w:val="20"/>
          <w:color w:val="auto"/>
        </w:rPr>
      </w:pPr>
    </w:p>
    <w:p>
      <w:pPr>
        <w:ind w:left="1400" w:hanging="744"/>
        <w:spacing w:after="0"/>
        <w:tabs>
          <w:tab w:leader="none" w:pos="1400" w:val="left"/>
        </w:tabs>
        <w:numPr>
          <w:ilvl w:val="0"/>
          <w:numId w:val="3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Obligor does not comply with any provision of the Finance Documents (other than those referred to in Clause 17.1 (</w:t>
      </w:r>
      <w:r>
        <w:rPr>
          <w:rFonts w:ascii="Times New Roman" w:cs="Times New Roman" w:eastAsia="Times New Roman" w:hAnsi="Times New Roman"/>
          <w:sz w:val="18"/>
          <w:szCs w:val="18"/>
          <w:i w:val="1"/>
          <w:iCs w:val="1"/>
          <w:color w:val="auto"/>
        </w:rPr>
        <w:t>Non-payment</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b w:val="1"/>
          <w:bCs w:val="1"/>
          <w:color w:val="auto"/>
        </w:rPr>
      </w:pPr>
    </w:p>
    <w:p>
      <w:pPr>
        <w:ind w:left="1400" w:right="320" w:hanging="744"/>
        <w:spacing w:after="0" w:line="313" w:lineRule="auto"/>
        <w:tabs>
          <w:tab w:leader="none" w:pos="1420" w:val="left"/>
        </w:tabs>
        <w:numPr>
          <w:ilvl w:val="0"/>
          <w:numId w:val="3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 Event of Default under sub-clause (a) above will occur if the failure to comply is capable of remedy, and is remedied within ten (10) Business Days of the earlier of the Lender giving notice to the Borrower or any Obligor becoming aware of the failure to comply.</w:t>
      </w:r>
    </w:p>
    <w:p>
      <w:pPr>
        <w:spacing w:after="0" w:line="138" w:lineRule="exact"/>
        <w:rPr>
          <w:rFonts w:ascii="Times New Roman" w:cs="Times New Roman" w:eastAsia="Times New Roman" w:hAnsi="Times New Roman"/>
          <w:sz w:val="17"/>
          <w:szCs w:val="17"/>
          <w:b w:val="1"/>
          <w:bCs w:val="1"/>
          <w:color w:val="auto"/>
        </w:rPr>
      </w:pPr>
    </w:p>
    <w:p>
      <w:pPr>
        <w:ind w:left="1400" w:right="380" w:hanging="744"/>
        <w:spacing w:after="0" w:line="266" w:lineRule="auto"/>
        <w:tabs>
          <w:tab w:leader="none" w:pos="1413" w:val="left"/>
        </w:tabs>
        <w:numPr>
          <w:ilvl w:val="0"/>
          <w:numId w:val="3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Borrower fails to repay the Loan and all outstanding amounts with respect to the Loan on the Final Maturity Date, then without prejudice to any of the rights of the Lender under this Agreement and its exercise of such rights, the Parties shall enter into amicable negotiations with each other in good faith with a view to resolving the matter.</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17.3</w:t>
      </w:r>
      <w:r>
        <w:rPr>
          <w:sz w:val="20"/>
          <w:szCs w:val="20"/>
          <w:color w:val="auto"/>
        </w:rPr>
        <w:tab/>
      </w:r>
      <w:r>
        <w:rPr>
          <w:rFonts w:ascii="Times New Roman" w:cs="Times New Roman" w:eastAsia="Times New Roman" w:hAnsi="Times New Roman"/>
          <w:sz w:val="18"/>
          <w:szCs w:val="18"/>
          <w:b w:val="1"/>
          <w:bCs w:val="1"/>
          <w:color w:val="auto"/>
        </w:rPr>
        <w:t>Misrepresentation</w:t>
      </w:r>
    </w:p>
    <w:p>
      <w:pPr>
        <w:spacing w:after="0" w:line="229" w:lineRule="exact"/>
        <w:rPr>
          <w:sz w:val="20"/>
          <w:szCs w:val="20"/>
          <w:color w:val="auto"/>
        </w:rPr>
      </w:pPr>
    </w:p>
    <w:p>
      <w:pPr>
        <w:ind w:left="1400" w:right="20" w:hanging="744"/>
        <w:spacing w:after="0" w:line="266" w:lineRule="auto"/>
        <w:tabs>
          <w:tab w:leader="none" w:pos="1410" w:val="left"/>
        </w:tabs>
        <w:numPr>
          <w:ilvl w:val="0"/>
          <w:numId w:val="3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representation or statement made or deemed to be made by an Obligor in the Finance Documents or any other document delivered by or on behalf of any Obligor under or in connection with any Finance Document is or proves to have been incorrect or misleading in any material respect when made or deemed to be made by reference to the facts and circumstances then existing.</w:t>
      </w:r>
    </w:p>
    <w:p>
      <w:pPr>
        <w:spacing w:after="0" w:line="176"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3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Event of Default will occur under paragraph (a) above if the misrepresentation is capable of remedy and is remedied within ten</w:t>
      </w:r>
    </w:p>
    <w:p>
      <w:pPr>
        <w:spacing w:after="0" w:line="27" w:lineRule="exact"/>
        <w:rPr>
          <w:rFonts w:ascii="Times New Roman" w:cs="Times New Roman" w:eastAsia="Times New Roman" w:hAnsi="Times New Roman"/>
          <w:sz w:val="18"/>
          <w:szCs w:val="18"/>
          <w:b w:val="1"/>
          <w:bCs w:val="1"/>
          <w:color w:val="auto"/>
        </w:rPr>
      </w:pPr>
    </w:p>
    <w:p>
      <w:pPr>
        <w:ind w:left="1400" w:right="140" w:hanging="4"/>
        <w:spacing w:after="0" w:line="261" w:lineRule="auto"/>
        <w:tabs>
          <w:tab w:leader="none" w:pos="1745"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the earlier of (i) the Lender giving notice to the Borrower of such misrepresentation and (ii) any Obligor becoming aware of the misrepresentation.</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17.4</w:t>
      </w:r>
      <w:r>
        <w:rPr>
          <w:sz w:val="20"/>
          <w:szCs w:val="20"/>
          <w:color w:val="auto"/>
        </w:rPr>
        <w:tab/>
      </w:r>
      <w:r>
        <w:rPr>
          <w:rFonts w:ascii="Times New Roman" w:cs="Times New Roman" w:eastAsia="Times New Roman" w:hAnsi="Times New Roman"/>
          <w:sz w:val="17"/>
          <w:szCs w:val="17"/>
          <w:b w:val="1"/>
          <w:bCs w:val="1"/>
          <w:color w:val="auto"/>
        </w:rPr>
        <w:t>Cross default</w:t>
      </w:r>
    </w:p>
    <w:p>
      <w:pPr>
        <w:spacing w:after="0" w:line="229" w:lineRule="exact"/>
        <w:rPr>
          <w:sz w:val="20"/>
          <w:szCs w:val="20"/>
          <w:color w:val="auto"/>
        </w:rPr>
      </w:pPr>
    </w:p>
    <w:p>
      <w:pPr>
        <w:ind w:left="1400" w:right="160" w:hanging="744"/>
        <w:spacing w:after="0" w:line="282" w:lineRule="auto"/>
        <w:tabs>
          <w:tab w:leader="none" w:pos="1410" w:val="left"/>
        </w:tabs>
        <w:numPr>
          <w:ilvl w:val="0"/>
          <w:numId w:val="3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Financial Indebtedness of any member of the Group or any Obligor is not paid when due nor within any originally applicable grace period.</w:t>
      </w:r>
    </w:p>
    <w:p>
      <w:pPr>
        <w:spacing w:after="0" w:line="161" w:lineRule="exact"/>
        <w:rPr>
          <w:rFonts w:ascii="Times New Roman" w:cs="Times New Roman" w:eastAsia="Times New Roman" w:hAnsi="Times New Roman"/>
          <w:sz w:val="18"/>
          <w:szCs w:val="18"/>
          <w:b w:val="1"/>
          <w:bCs w:val="1"/>
          <w:color w:val="auto"/>
        </w:rPr>
      </w:pPr>
    </w:p>
    <w:p>
      <w:pPr>
        <w:ind w:left="1400" w:right="120" w:hanging="744"/>
        <w:spacing w:after="0" w:line="282" w:lineRule="auto"/>
        <w:tabs>
          <w:tab w:leader="none" w:pos="1420" w:val="left"/>
        </w:tabs>
        <w:numPr>
          <w:ilvl w:val="0"/>
          <w:numId w:val="3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Financial Indebtedness of any member of the Group or any Obligor is declared to be or otherwise becomes due and payable prior to its specified maturity as a result of an event of default (however described).</w:t>
      </w:r>
    </w:p>
    <w:p>
      <w:pPr>
        <w:spacing w:after="0" w:line="161" w:lineRule="exact"/>
        <w:rPr>
          <w:rFonts w:ascii="Times New Roman" w:cs="Times New Roman" w:eastAsia="Times New Roman" w:hAnsi="Times New Roman"/>
          <w:sz w:val="18"/>
          <w:szCs w:val="18"/>
          <w:b w:val="1"/>
          <w:bCs w:val="1"/>
          <w:color w:val="auto"/>
        </w:rPr>
      </w:pPr>
    </w:p>
    <w:p>
      <w:pPr>
        <w:ind w:left="1400" w:right="320" w:hanging="744"/>
        <w:spacing w:after="0" w:line="266" w:lineRule="auto"/>
        <w:tabs>
          <w:tab w:leader="none" w:pos="1413" w:val="left"/>
        </w:tabs>
        <w:numPr>
          <w:ilvl w:val="0"/>
          <w:numId w:val="3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Event of Default will occur under this Clause 17.4 if the aggregate amount of Financial Indebtedness or commitment for Financial Indebtedness falling within sub-clause (a) to (b) (inclusive) above is less than US$500,000(or its equivalent in any other currency or currencies).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17.5</w:t>
      </w:r>
      <w:r>
        <w:rPr>
          <w:sz w:val="20"/>
          <w:szCs w:val="20"/>
          <w:color w:val="auto"/>
        </w:rPr>
        <w:tab/>
      </w:r>
      <w:r>
        <w:rPr>
          <w:rFonts w:ascii="Times New Roman" w:cs="Times New Roman" w:eastAsia="Times New Roman" w:hAnsi="Times New Roman"/>
          <w:sz w:val="17"/>
          <w:szCs w:val="17"/>
          <w:b w:val="1"/>
          <w:bCs w:val="1"/>
          <w:color w:val="auto"/>
        </w:rPr>
        <w:t>Insolvency</w:t>
      </w:r>
    </w:p>
    <w:p>
      <w:pPr>
        <w:sectPr>
          <w:pgSz w:w="11900" w:h="16838" w:orient="portrait"/>
          <w:cols w:equalWidth="0" w:num="1">
            <w:col w:w="11380"/>
          </w:cols>
          <w:pgMar w:left="240" w:top="121" w:right="279" w:bottom="0" w:gutter="0" w:footer="0" w:header="0"/>
        </w:sectPr>
      </w:pPr>
    </w:p>
    <w:bookmarkStart w:id="181" w:name="page182"/>
    <w:bookmarkEnd w:id="181"/>
    <w:p>
      <w:pPr>
        <w:jc w:val="both"/>
        <w:ind w:left="1400" w:right="280" w:hanging="744"/>
        <w:spacing w:after="0" w:line="266" w:lineRule="auto"/>
        <w:tabs>
          <w:tab w:leader="none" w:pos="1410" w:val="left"/>
        </w:tabs>
        <w:numPr>
          <w:ilvl w:val="0"/>
          <w:numId w:val="3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member of the Group or any Obligor is or is presumed or deemed to be unable or admits inability to pay its debts as they fall due, suspends making payments on any of its debts or, by reason of actual or anticipated financial difficulties, commences negotiations with one or more of its creditors with a view to rescheduling any of its indebtedness.</w:t>
      </w:r>
    </w:p>
    <w:p>
      <w:pPr>
        <w:spacing w:after="0" w:line="176"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3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moratorium is declared in respect of any indebtedness of any member of the Group or any Obligor.</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17.6</w:t>
      </w:r>
      <w:r>
        <w:rPr>
          <w:sz w:val="20"/>
          <w:szCs w:val="20"/>
          <w:color w:val="auto"/>
        </w:rPr>
        <w:tab/>
      </w:r>
      <w:r>
        <w:rPr>
          <w:rFonts w:ascii="Times New Roman" w:cs="Times New Roman" w:eastAsia="Times New Roman" w:hAnsi="Times New Roman"/>
          <w:sz w:val="17"/>
          <w:szCs w:val="17"/>
          <w:b w:val="1"/>
          <w:bCs w:val="1"/>
          <w:color w:val="auto"/>
        </w:rPr>
        <w:t>Insolvency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corporate action, legal proceedings or other procedure or step is taken in relation to:</w:t>
      </w:r>
    </w:p>
    <w:p>
      <w:pPr>
        <w:spacing w:after="0" w:line="225" w:lineRule="exact"/>
        <w:rPr>
          <w:sz w:val="20"/>
          <w:szCs w:val="20"/>
          <w:color w:val="auto"/>
        </w:rPr>
      </w:pPr>
    </w:p>
    <w:p>
      <w:pPr>
        <w:ind w:left="1400" w:right="80" w:hanging="744"/>
        <w:spacing w:after="0" w:line="266" w:lineRule="auto"/>
        <w:tabs>
          <w:tab w:leader="none" w:pos="1410" w:val="left"/>
        </w:tabs>
        <w:numPr>
          <w:ilvl w:val="0"/>
          <w:numId w:val="3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suspension of payments, a moratorium of any indebtedness, winding-up, dissolution, administration, provisional supervision or reorganisation (by way of voluntary arrangement, scheme of arrangement or otherwise) of any Obligor or any member of the Group other than a solvent liquidation or reorganisation of any member of the Group which is not an Obligor;</w:t>
      </w:r>
    </w:p>
    <w:p>
      <w:pPr>
        <w:spacing w:after="0" w:line="176" w:lineRule="exact"/>
        <w:rPr>
          <w:rFonts w:ascii="Times New Roman" w:cs="Times New Roman" w:eastAsia="Times New Roman" w:hAnsi="Times New Roman"/>
          <w:sz w:val="18"/>
          <w:szCs w:val="18"/>
          <w:b w:val="1"/>
          <w:bCs w:val="1"/>
          <w:color w:val="auto"/>
        </w:rPr>
      </w:pPr>
    </w:p>
    <w:p>
      <w:pPr>
        <w:ind w:left="1400" w:right="100" w:hanging="744"/>
        <w:spacing w:after="0" w:line="282" w:lineRule="auto"/>
        <w:tabs>
          <w:tab w:leader="none" w:pos="1420" w:val="left"/>
        </w:tabs>
        <w:numPr>
          <w:ilvl w:val="0"/>
          <w:numId w:val="3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composition or arrangement with any creditor of any Obligor or any member of the Group, or an assignment for the benefit of creditors generally of any Obligor or any member of the Group or a class of such creditors;</w:t>
      </w:r>
    </w:p>
    <w:p>
      <w:pPr>
        <w:spacing w:after="0" w:line="161" w:lineRule="exact"/>
        <w:rPr>
          <w:rFonts w:ascii="Times New Roman" w:cs="Times New Roman" w:eastAsia="Times New Roman" w:hAnsi="Times New Roman"/>
          <w:sz w:val="18"/>
          <w:szCs w:val="18"/>
          <w:b w:val="1"/>
          <w:bCs w:val="1"/>
          <w:color w:val="auto"/>
        </w:rPr>
      </w:pPr>
    </w:p>
    <w:p>
      <w:pPr>
        <w:jc w:val="both"/>
        <w:ind w:left="1400" w:hanging="744"/>
        <w:spacing w:after="0" w:line="266" w:lineRule="auto"/>
        <w:tabs>
          <w:tab w:leader="none" w:pos="1413" w:val="left"/>
        </w:tabs>
        <w:numPr>
          <w:ilvl w:val="0"/>
          <w:numId w:val="3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appointment of a liquidator (other than in respect of a solvent liquidation of a member of the Group which is not an Obligor), receiver, administrator, administrative receiver, compulsory manager, provisional supervisor or other similar officer in respect of any Obligor or any member of the Group or any of its assets;</w:t>
      </w:r>
    </w:p>
    <w:p>
      <w:pPr>
        <w:spacing w:after="0" w:line="176"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3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enforcement of any Security over any assets of any Obligor or any member of the Group; or</w:t>
      </w:r>
    </w:p>
    <w:p>
      <w:pPr>
        <w:spacing w:after="0" w:line="225" w:lineRule="exact"/>
        <w:rPr>
          <w:rFonts w:ascii="Times New Roman" w:cs="Times New Roman" w:eastAsia="Times New Roman" w:hAnsi="Times New Roman"/>
          <w:sz w:val="18"/>
          <w:szCs w:val="18"/>
          <w:b w:val="1"/>
          <w:bCs w:val="1"/>
          <w:color w:val="auto"/>
        </w:rPr>
      </w:pPr>
    </w:p>
    <w:p>
      <w:pPr>
        <w:ind w:left="1400" w:hanging="744"/>
        <w:spacing w:after="0"/>
        <w:tabs>
          <w:tab w:leader="none" w:pos="1400" w:val="left"/>
        </w:tabs>
        <w:numPr>
          <w:ilvl w:val="0"/>
          <w:numId w:val="3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analogous procedure or step is taken in any jurisdiction.</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17.7</w:t>
      </w:r>
      <w:r>
        <w:rPr>
          <w:sz w:val="20"/>
          <w:szCs w:val="20"/>
          <w:color w:val="auto"/>
        </w:rPr>
        <w:tab/>
      </w:r>
      <w:r>
        <w:rPr>
          <w:rFonts w:ascii="Times New Roman" w:cs="Times New Roman" w:eastAsia="Times New Roman" w:hAnsi="Times New Roman"/>
          <w:sz w:val="18"/>
          <w:szCs w:val="18"/>
          <w:b w:val="1"/>
          <w:bCs w:val="1"/>
          <w:color w:val="auto"/>
        </w:rPr>
        <w:t>Creditors’ process</w:t>
      </w:r>
    </w:p>
    <w:p>
      <w:pPr>
        <w:spacing w:after="0" w:line="229" w:lineRule="exact"/>
        <w:rPr>
          <w:sz w:val="20"/>
          <w:szCs w:val="20"/>
          <w:color w:val="auto"/>
        </w:rPr>
      </w:pPr>
    </w:p>
    <w:p>
      <w:pPr>
        <w:ind w:left="640" w:right="280"/>
        <w:spacing w:after="0" w:line="282" w:lineRule="auto"/>
        <w:rPr>
          <w:sz w:val="20"/>
          <w:szCs w:val="20"/>
          <w:color w:val="auto"/>
        </w:rPr>
      </w:pPr>
      <w:r>
        <w:rPr>
          <w:rFonts w:ascii="Times New Roman" w:cs="Times New Roman" w:eastAsia="Times New Roman" w:hAnsi="Times New Roman"/>
          <w:sz w:val="18"/>
          <w:szCs w:val="18"/>
          <w:color w:val="auto"/>
        </w:rPr>
        <w:t>Any expropriation, attachment, sequestration, distress or execution affects any asset or assets of a member of the Group or any Obligor and is not discharged, stayed or dismissed within thirty (30) days from the date of the relevant order.</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17.8</w:t>
      </w:r>
      <w:r>
        <w:rPr>
          <w:sz w:val="20"/>
          <w:szCs w:val="20"/>
          <w:color w:val="auto"/>
        </w:rPr>
        <w:tab/>
      </w:r>
      <w:r>
        <w:rPr>
          <w:rFonts w:ascii="Times New Roman" w:cs="Times New Roman" w:eastAsia="Times New Roman" w:hAnsi="Times New Roman"/>
          <w:sz w:val="18"/>
          <w:szCs w:val="18"/>
          <w:b w:val="1"/>
          <w:bCs w:val="1"/>
          <w:color w:val="auto"/>
        </w:rPr>
        <w:t>Unlawfulness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It is or becomes unlawful for an Obligor to perform any of its obligations under the Finance Documents.</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17.9</w:t>
      </w:r>
      <w:r>
        <w:rPr>
          <w:sz w:val="20"/>
          <w:szCs w:val="20"/>
          <w:color w:val="auto"/>
        </w:rPr>
        <w:tab/>
      </w:r>
      <w:r>
        <w:rPr>
          <w:rFonts w:ascii="Times New Roman" w:cs="Times New Roman" w:eastAsia="Times New Roman" w:hAnsi="Times New Roman"/>
          <w:sz w:val="18"/>
          <w:szCs w:val="18"/>
          <w:b w:val="1"/>
          <w:bCs w:val="1"/>
          <w:color w:val="auto"/>
        </w:rPr>
        <w:t>Repudiation</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An Obligor repudiates a Finance Document or evidences an intention to repudiate a Finance Document.</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17.10</w:t>
      </w:r>
      <w:r>
        <w:rPr>
          <w:sz w:val="20"/>
          <w:szCs w:val="20"/>
          <w:color w:val="auto"/>
        </w:rPr>
        <w:tab/>
      </w:r>
      <w:r>
        <w:rPr>
          <w:rFonts w:ascii="Times New Roman" w:cs="Times New Roman" w:eastAsia="Times New Roman" w:hAnsi="Times New Roman"/>
          <w:sz w:val="17"/>
          <w:szCs w:val="17"/>
          <w:b w:val="1"/>
          <w:bCs w:val="1"/>
          <w:color w:val="auto"/>
        </w:rPr>
        <w:t>Moratorium on External Indebtedness</w:t>
      </w:r>
    </w:p>
    <w:p>
      <w:pPr>
        <w:spacing w:after="0" w:line="229" w:lineRule="exact"/>
        <w:rPr>
          <w:sz w:val="20"/>
          <w:szCs w:val="20"/>
          <w:color w:val="auto"/>
        </w:rPr>
      </w:pPr>
    </w:p>
    <w:p>
      <w:pPr>
        <w:ind w:left="640" w:right="80"/>
        <w:spacing w:after="0" w:line="282" w:lineRule="auto"/>
        <w:rPr>
          <w:sz w:val="20"/>
          <w:szCs w:val="20"/>
          <w:color w:val="auto"/>
        </w:rPr>
      </w:pPr>
      <w:r>
        <w:rPr>
          <w:rFonts w:ascii="Times New Roman" w:cs="Times New Roman" w:eastAsia="Times New Roman" w:hAnsi="Times New Roman"/>
          <w:sz w:val="18"/>
          <w:szCs w:val="18"/>
          <w:color w:val="auto"/>
        </w:rPr>
        <w:t>The government of the PRC, USA or Hong Kong, central bank (or equivalent) of the PRC, USA or Hong Kong or any Governmental Agency of the PRC, USA or Hong Kong declares a moratorium, standstill or similar suspension of payments in respect of its external indebtedness.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17.11</w:t>
      </w:r>
      <w:r>
        <w:rPr>
          <w:sz w:val="20"/>
          <w:szCs w:val="20"/>
          <w:color w:val="auto"/>
        </w:rPr>
        <w:tab/>
      </w:r>
      <w:r>
        <w:rPr>
          <w:rFonts w:ascii="Times New Roman" w:cs="Times New Roman" w:eastAsia="Times New Roman" w:hAnsi="Times New Roman"/>
          <w:sz w:val="17"/>
          <w:szCs w:val="17"/>
          <w:b w:val="1"/>
          <w:bCs w:val="1"/>
          <w:color w:val="auto"/>
        </w:rPr>
        <w:t>Cessation of business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Any Obligor suspends or ceases to carry on all or a material part of its business or of the business of the Group taken as a whole.</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17.12</w:t>
      </w:r>
      <w:r>
        <w:rPr>
          <w:sz w:val="20"/>
          <w:szCs w:val="20"/>
          <w:color w:val="auto"/>
        </w:rPr>
        <w:tab/>
      </w:r>
      <w:r>
        <w:rPr>
          <w:rFonts w:ascii="Times New Roman" w:cs="Times New Roman" w:eastAsia="Times New Roman" w:hAnsi="Times New Roman"/>
          <w:sz w:val="17"/>
          <w:szCs w:val="17"/>
          <w:b w:val="1"/>
          <w:bCs w:val="1"/>
          <w:color w:val="auto"/>
        </w:rPr>
        <w:t>Money Laundering, Anti-corruption, financing of Terrorism</w:t>
      </w:r>
    </w:p>
    <w:p>
      <w:pPr>
        <w:spacing w:after="0" w:line="229" w:lineRule="exact"/>
        <w:rPr>
          <w:sz w:val="20"/>
          <w:szCs w:val="20"/>
          <w:color w:val="auto"/>
        </w:rPr>
      </w:pPr>
    </w:p>
    <w:p>
      <w:pPr>
        <w:ind w:left="1400" w:right="200" w:hanging="744"/>
        <w:spacing w:after="0" w:line="282" w:lineRule="auto"/>
        <w:tabs>
          <w:tab w:leader="none" w:pos="1410" w:val="left"/>
        </w:tabs>
        <w:numPr>
          <w:ilvl w:val="0"/>
          <w:numId w:val="3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Obligor engages in Corrupt Practices, Fraudulent Practices, Collusive Practices or Coercive Practices, including in connection with the procurement or execution of any contract for goods or services.</w:t>
      </w:r>
    </w:p>
    <w:p>
      <w:pPr>
        <w:spacing w:after="0" w:line="161"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3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Obligor engages in Money Laundering or acts in breach of any law relating to Money Laundering.</w:t>
      </w:r>
    </w:p>
    <w:p>
      <w:pPr>
        <w:spacing w:after="0" w:line="225" w:lineRule="exact"/>
        <w:rPr>
          <w:rFonts w:ascii="Times New Roman" w:cs="Times New Roman" w:eastAsia="Times New Roman" w:hAnsi="Times New Roman"/>
          <w:sz w:val="18"/>
          <w:szCs w:val="18"/>
          <w:b w:val="1"/>
          <w:bCs w:val="1"/>
          <w:color w:val="auto"/>
        </w:rPr>
      </w:pPr>
    </w:p>
    <w:p>
      <w:pPr>
        <w:ind w:left="1400" w:hanging="744"/>
        <w:spacing w:after="0"/>
        <w:tabs>
          <w:tab w:leader="none" w:pos="1400" w:val="left"/>
        </w:tabs>
        <w:numPr>
          <w:ilvl w:val="0"/>
          <w:numId w:val="3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Obligor engages in the Financing of Terrorism.</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17.13</w:t>
        <w:tab/>
        <w:t>Material Adverse Effect</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Any other event or series of events occurs which has or could reasonably be expected to have a Material Adverse Effect.</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17.14</w:t>
        <w:tab/>
        <w:t>Acceleration</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and at any time after the occurrence of an Event of Default which is continuing the Lender may by notice to the Borrower:</w:t>
      </w:r>
    </w:p>
    <w:p>
      <w:pPr>
        <w:spacing w:after="0" w:line="225" w:lineRule="exact"/>
        <w:rPr>
          <w:sz w:val="20"/>
          <w:szCs w:val="20"/>
          <w:color w:val="auto"/>
        </w:rPr>
      </w:pPr>
    </w:p>
    <w:p>
      <w:pPr>
        <w:ind w:left="1400" w:hanging="744"/>
        <w:spacing w:after="0"/>
        <w:tabs>
          <w:tab w:leader="none" w:pos="1400" w:val="left"/>
        </w:tabs>
        <w:numPr>
          <w:ilvl w:val="1"/>
          <w:numId w:val="3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cancel the Available Facility whereupon it shall immediately be cancelled; and/or</w:t>
      </w:r>
    </w:p>
    <w:p>
      <w:pPr>
        <w:spacing w:after="0" w:line="225" w:lineRule="exact"/>
        <w:rPr>
          <w:rFonts w:ascii="Times New Roman" w:cs="Times New Roman" w:eastAsia="Times New Roman" w:hAnsi="Times New Roman"/>
          <w:sz w:val="18"/>
          <w:szCs w:val="18"/>
          <w:b w:val="1"/>
          <w:bCs w:val="1"/>
          <w:color w:val="auto"/>
        </w:rPr>
      </w:pPr>
    </w:p>
    <w:p>
      <w:pPr>
        <w:ind w:left="1400" w:right="500" w:hanging="744"/>
        <w:spacing w:after="0" w:line="313" w:lineRule="auto"/>
        <w:tabs>
          <w:tab w:leader="none" w:pos="1420" w:val="left"/>
        </w:tabs>
        <w:numPr>
          <w:ilvl w:val="1"/>
          <w:numId w:val="3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declare that all or part of the Loan, together with accrued interest, and all other amounts accrued or outstanding under the Finance Documents be immediately due and payable, whereupon they shall become immediately due and payable on demand by the Lender.</w:t>
      </w:r>
    </w:p>
    <w:p>
      <w:pPr>
        <w:spacing w:after="0" w:line="134" w:lineRule="exact"/>
        <w:rPr>
          <w:rFonts w:ascii="Times New Roman" w:cs="Times New Roman" w:eastAsia="Times New Roman" w:hAnsi="Times New Roman"/>
          <w:sz w:val="17"/>
          <w:szCs w:val="17"/>
          <w:b w:val="1"/>
          <w:bCs w:val="1"/>
          <w:color w:val="auto"/>
        </w:rPr>
      </w:pPr>
    </w:p>
    <w:p>
      <w:pPr>
        <w:ind w:left="660" w:hanging="652"/>
        <w:spacing w:after="0"/>
        <w:tabs>
          <w:tab w:leader="none" w:pos="660" w:val="left"/>
        </w:tabs>
        <w:numPr>
          <w:ilvl w:val="0"/>
          <w:numId w:val="3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TO THE LENDER</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18.1</w:t>
      </w:r>
      <w:r>
        <w:rPr>
          <w:sz w:val="20"/>
          <w:szCs w:val="20"/>
          <w:color w:val="auto"/>
        </w:rPr>
        <w:tab/>
      </w:r>
      <w:r>
        <w:rPr>
          <w:rFonts w:ascii="Times New Roman" w:cs="Times New Roman" w:eastAsia="Times New Roman" w:hAnsi="Times New Roman"/>
          <w:sz w:val="18"/>
          <w:szCs w:val="18"/>
          <w:b w:val="1"/>
          <w:bCs w:val="1"/>
          <w:color w:val="auto"/>
        </w:rPr>
        <w:t>Assignments and transfers by the Lender</w:t>
      </w:r>
    </w:p>
    <w:p>
      <w:pPr>
        <w:sectPr>
          <w:pgSz w:w="11900" w:h="16838" w:orient="portrait"/>
          <w:cols w:equalWidth="0" w:num="1">
            <w:col w:w="11400"/>
          </w:cols>
          <w:pgMar w:left="240" w:top="121" w:right="259" w:bottom="0" w:gutter="0" w:footer="0" w:header="0"/>
        </w:sectPr>
      </w:pPr>
    </w:p>
    <w:bookmarkStart w:id="182" w:name="page183"/>
    <w:bookmarkEnd w:id="182"/>
    <w:p>
      <w:pPr>
        <w:ind w:left="1400" w:hanging="744"/>
        <w:spacing w:after="0"/>
        <w:tabs>
          <w:tab w:leader="none" w:pos="1400" w:val="left"/>
        </w:tabs>
        <w:numPr>
          <w:ilvl w:val="0"/>
          <w:numId w:val="3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this Clause 18, a Lender (the “</w:t>
      </w:r>
      <w:r>
        <w:rPr>
          <w:rFonts w:ascii="Times New Roman" w:cs="Times New Roman" w:eastAsia="Times New Roman" w:hAnsi="Times New Roman"/>
          <w:sz w:val="18"/>
          <w:szCs w:val="18"/>
          <w:b w:val="1"/>
          <w:bCs w:val="1"/>
          <w:color w:val="auto"/>
        </w:rPr>
        <w:t>Existing Lender</w:t>
      </w:r>
      <w:r>
        <w:rPr>
          <w:rFonts w:ascii="Times New Roman" w:cs="Times New Roman" w:eastAsia="Times New Roman" w:hAnsi="Times New Roman"/>
          <w:sz w:val="18"/>
          <w:szCs w:val="18"/>
          <w:color w:val="auto"/>
        </w:rPr>
        <w:t>”) may:</w:t>
      </w:r>
    </w:p>
    <w:p>
      <w:pPr>
        <w:spacing w:after="0" w:line="229" w:lineRule="exact"/>
        <w:rPr>
          <w:rFonts w:ascii="Times New Roman" w:cs="Times New Roman" w:eastAsia="Times New Roman" w:hAnsi="Times New Roman"/>
          <w:sz w:val="18"/>
          <w:szCs w:val="18"/>
          <w:b w:val="1"/>
          <w:bCs w:val="1"/>
          <w:color w:val="auto"/>
        </w:rPr>
      </w:pPr>
    </w:p>
    <w:p>
      <w:pPr>
        <w:ind w:left="1620" w:hanging="224"/>
        <w:spacing w:after="0"/>
        <w:tabs>
          <w:tab w:leader="none" w:pos="1620"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 any of its rights; or</w:t>
      </w:r>
    </w:p>
    <w:p>
      <w:pPr>
        <w:spacing w:after="0" w:line="225" w:lineRule="exact"/>
        <w:rPr>
          <w:rFonts w:ascii="Times New Roman" w:cs="Times New Roman" w:eastAsia="Times New Roman" w:hAnsi="Times New Roman"/>
          <w:sz w:val="18"/>
          <w:szCs w:val="18"/>
          <w:color w:val="auto"/>
        </w:rPr>
      </w:pPr>
    </w:p>
    <w:p>
      <w:pPr>
        <w:ind w:left="1660" w:hanging="264"/>
        <w:spacing w:after="0"/>
        <w:tabs>
          <w:tab w:leader="none" w:pos="1660"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by novation any of its rights and obligations,</w:t>
      </w:r>
    </w:p>
    <w:p>
      <w:pPr>
        <w:spacing w:after="0" w:line="225" w:lineRule="exact"/>
        <w:rPr>
          <w:sz w:val="20"/>
          <w:szCs w:val="20"/>
          <w:color w:val="auto"/>
        </w:rPr>
      </w:pPr>
    </w:p>
    <w:p>
      <w:pPr>
        <w:ind w:left="1400" w:right="460"/>
        <w:spacing w:after="0" w:line="266" w:lineRule="auto"/>
        <w:rPr>
          <w:sz w:val="20"/>
          <w:szCs w:val="20"/>
          <w:color w:val="auto"/>
        </w:rPr>
      </w:pPr>
      <w:r>
        <w:rPr>
          <w:rFonts w:ascii="Times New Roman" w:cs="Times New Roman" w:eastAsia="Times New Roman" w:hAnsi="Times New Roman"/>
          <w:sz w:val="18"/>
          <w:szCs w:val="18"/>
          <w:color w:val="auto"/>
        </w:rPr>
        <w:t>under the Finance Documents to any bank or financial institution or to a trust, fund or other entity which is regularly engaged in or established for the purpose of making, purchasing or investing in loans, securities or other financial assets or to any other person (the “</w:t>
      </w:r>
      <w:r>
        <w:rPr>
          <w:rFonts w:ascii="Times New Roman" w:cs="Times New Roman" w:eastAsia="Times New Roman" w:hAnsi="Times New Roman"/>
          <w:sz w:val="18"/>
          <w:szCs w:val="18"/>
          <w:b w:val="1"/>
          <w:bCs w:val="1"/>
          <w:color w:val="auto"/>
        </w:rPr>
        <w:t>New Lender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400" w:right="40" w:hanging="744"/>
        <w:spacing w:after="0" w:line="258" w:lineRule="auto"/>
        <w:tabs>
          <w:tab w:leader="none" w:pos="1420" w:val="left"/>
        </w:tabs>
        <w:numPr>
          <w:ilvl w:val="0"/>
          <w:numId w:val="3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consent of the Borrower shall be required for any assignment or transfer pursuant to paragraph (a) above, in each case, unless the relevant assignment or transfer is (i) to an Affiliate of the Lender or (ii) made at a time when an Event of Default is occurring. The consent of the Borrower to a transfer or assignment must not be unreasonably withheld or delayed. The Borrower will be deemed to have given its consent five (5) Business Days after the Existing Lender has requested it unless consent is expressly refused by the Borrower within that time.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0" w:right="60" w:hanging="744"/>
        <w:spacing w:after="0" w:line="282" w:lineRule="auto"/>
        <w:tabs>
          <w:tab w:leader="none" w:pos="1413" w:val="left"/>
        </w:tabs>
        <w:numPr>
          <w:ilvl w:val="0"/>
          <w:numId w:val="3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assignment will be effective only on receipt by the Existing Lender of written confirmation from the New Lender that the New Lender will assume the same obligations as it would have been under if it was the Existing Lender.</w:t>
      </w:r>
    </w:p>
    <w:p>
      <w:pPr>
        <w:spacing w:after="0" w:line="159"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3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transfer will be effective only if the procedure set out in Clause 18.3 (</w:t>
      </w:r>
      <w:r>
        <w:rPr>
          <w:rFonts w:ascii="Times New Roman" w:cs="Times New Roman" w:eastAsia="Times New Roman" w:hAnsi="Times New Roman"/>
          <w:sz w:val="18"/>
          <w:szCs w:val="18"/>
          <w:i w:val="1"/>
          <w:iCs w:val="1"/>
          <w:color w:val="auto"/>
        </w:rPr>
        <w:t>Procedure for transfer</w:t>
      </w:r>
      <w:r>
        <w:rPr>
          <w:rFonts w:ascii="Times New Roman" w:cs="Times New Roman" w:eastAsia="Times New Roman" w:hAnsi="Times New Roman"/>
          <w:sz w:val="18"/>
          <w:szCs w:val="18"/>
          <w:color w:val="auto"/>
        </w:rPr>
        <w:t>) is complied with.</w:t>
      </w:r>
    </w:p>
    <w:p>
      <w:pPr>
        <w:spacing w:after="0" w:line="22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18.2</w:t>
      </w:r>
      <w:r>
        <w:rPr>
          <w:sz w:val="20"/>
          <w:szCs w:val="20"/>
          <w:color w:val="auto"/>
        </w:rPr>
        <w:tab/>
      </w:r>
      <w:r>
        <w:rPr>
          <w:rFonts w:ascii="Times New Roman" w:cs="Times New Roman" w:eastAsia="Times New Roman" w:hAnsi="Times New Roman"/>
          <w:sz w:val="18"/>
          <w:szCs w:val="18"/>
          <w:b w:val="1"/>
          <w:bCs w:val="1"/>
          <w:color w:val="auto"/>
        </w:rPr>
        <w:t>Limitation of responsibility of Existing Lender</w:t>
      </w:r>
    </w:p>
    <w:p>
      <w:pPr>
        <w:spacing w:after="0" w:line="229" w:lineRule="exact"/>
        <w:rPr>
          <w:sz w:val="20"/>
          <w:szCs w:val="20"/>
          <w:color w:val="auto"/>
        </w:rPr>
      </w:pPr>
    </w:p>
    <w:p>
      <w:pPr>
        <w:ind w:left="1400" w:right="120" w:hanging="744"/>
        <w:spacing w:after="0" w:line="282" w:lineRule="auto"/>
        <w:tabs>
          <w:tab w:leader="none" w:pos="1410" w:val="left"/>
        </w:tabs>
        <w:numPr>
          <w:ilvl w:val="0"/>
          <w:numId w:val="3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expressly agreed to the contrary, the Existing Lender makes no representation or warranty and assumes no responsibility to a New Lender for:</w:t>
      </w:r>
    </w:p>
    <w:p>
      <w:pPr>
        <w:spacing w:after="0" w:line="161" w:lineRule="exact"/>
        <w:rPr>
          <w:rFonts w:ascii="Times New Roman" w:cs="Times New Roman" w:eastAsia="Times New Roman" w:hAnsi="Times New Roman"/>
          <w:sz w:val="18"/>
          <w:szCs w:val="18"/>
          <w:b w:val="1"/>
          <w:bCs w:val="1"/>
          <w:color w:val="auto"/>
        </w:rPr>
      </w:pPr>
    </w:p>
    <w:p>
      <w:pPr>
        <w:ind w:left="2140" w:hanging="673"/>
        <w:spacing w:after="0"/>
        <w:tabs>
          <w:tab w:leader="none" w:pos="2140"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legality, validity, effectiveness, adequacy or enforceability of the Finance Documents or any other documents;</w:t>
      </w:r>
    </w:p>
    <w:p>
      <w:pPr>
        <w:spacing w:after="0" w:line="225" w:lineRule="exact"/>
        <w:rPr>
          <w:rFonts w:ascii="Times New Roman" w:cs="Times New Roman" w:eastAsia="Times New Roman" w:hAnsi="Times New Roman"/>
          <w:sz w:val="18"/>
          <w:szCs w:val="18"/>
          <w:color w:val="auto"/>
        </w:rPr>
      </w:pPr>
    </w:p>
    <w:p>
      <w:pPr>
        <w:ind w:left="2140" w:hanging="673"/>
        <w:spacing w:after="0"/>
        <w:tabs>
          <w:tab w:leader="none" w:pos="2140"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any Obligor;</w:t>
      </w:r>
    </w:p>
    <w:p>
      <w:pPr>
        <w:spacing w:after="0" w:line="225" w:lineRule="exact"/>
        <w:rPr>
          <w:rFonts w:ascii="Times New Roman" w:cs="Times New Roman" w:eastAsia="Times New Roman" w:hAnsi="Times New Roman"/>
          <w:sz w:val="18"/>
          <w:szCs w:val="18"/>
          <w:color w:val="auto"/>
        </w:rPr>
      </w:pPr>
    </w:p>
    <w:p>
      <w:pPr>
        <w:ind w:left="2160" w:hanging="693"/>
        <w:spacing w:after="0"/>
        <w:tabs>
          <w:tab w:leader="none" w:pos="2160"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observance by any Obligor of its obligations under the Finance Documents or any other documents; or</w:t>
      </w:r>
    </w:p>
    <w:p>
      <w:pPr>
        <w:spacing w:after="0" w:line="225" w:lineRule="exact"/>
        <w:rPr>
          <w:rFonts w:ascii="Times New Roman" w:cs="Times New Roman" w:eastAsia="Times New Roman" w:hAnsi="Times New Roman"/>
          <w:sz w:val="18"/>
          <w:szCs w:val="18"/>
          <w:color w:val="auto"/>
        </w:rPr>
      </w:pPr>
    </w:p>
    <w:p>
      <w:pPr>
        <w:ind w:left="2120" w:right="440" w:hanging="653"/>
        <w:spacing w:after="0" w:line="282" w:lineRule="auto"/>
        <w:tabs>
          <w:tab w:leader="none" w:pos="2137"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any statements (whether written or oral) made in or in connection with any Finance Document or any other document,</w:t>
      </w:r>
    </w:p>
    <w:p>
      <w:pPr>
        <w:spacing w:after="0" w:line="16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and any representations or warranties implied by law are excluded.</w:t>
      </w:r>
    </w:p>
    <w:p>
      <w:pPr>
        <w:spacing w:after="0" w:line="225" w:lineRule="exact"/>
        <w:rPr>
          <w:sz w:val="20"/>
          <w:szCs w:val="20"/>
          <w:color w:val="auto"/>
        </w:rPr>
      </w:pPr>
    </w:p>
    <w:p>
      <w:pPr>
        <w:ind w:left="1420" w:hanging="764"/>
        <w:spacing w:after="0"/>
        <w:tabs>
          <w:tab w:leader="none" w:pos="1420" w:val="left"/>
        </w:tabs>
        <w:numPr>
          <w:ilvl w:val="0"/>
          <w:numId w:val="3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New Lender confirms to the Existing Lender that it:</w:t>
      </w:r>
    </w:p>
    <w:p>
      <w:pPr>
        <w:spacing w:after="0" w:line="225" w:lineRule="exact"/>
        <w:rPr>
          <w:rFonts w:ascii="Times New Roman" w:cs="Times New Roman" w:eastAsia="Times New Roman" w:hAnsi="Times New Roman"/>
          <w:sz w:val="18"/>
          <w:szCs w:val="18"/>
          <w:b w:val="1"/>
          <w:bCs w:val="1"/>
          <w:color w:val="auto"/>
        </w:rPr>
      </w:pPr>
    </w:p>
    <w:p>
      <w:pPr>
        <w:ind w:left="2120" w:right="40" w:hanging="700"/>
        <w:spacing w:after="0" w:line="266" w:lineRule="auto"/>
        <w:tabs>
          <w:tab w:leader="none" w:pos="2135"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made (and shall continue to make) its own independent investigation and assessment of the financial condition and affairs of each Obligor and its related entities in connection with its participation in this Agreement and has not relied exclusively on any information provided to it by the Existing Lender in connection with any Finance Document; and</w:t>
      </w:r>
    </w:p>
    <w:p>
      <w:pPr>
        <w:spacing w:after="0" w:line="176" w:lineRule="exact"/>
        <w:rPr>
          <w:rFonts w:ascii="Times New Roman" w:cs="Times New Roman" w:eastAsia="Times New Roman" w:hAnsi="Times New Roman"/>
          <w:sz w:val="18"/>
          <w:szCs w:val="18"/>
          <w:color w:val="auto"/>
        </w:rPr>
      </w:pPr>
    </w:p>
    <w:p>
      <w:pPr>
        <w:ind w:left="2120" w:right="240" w:hanging="700"/>
        <w:spacing w:after="0" w:line="282" w:lineRule="auto"/>
        <w:tabs>
          <w:tab w:leader="none" w:pos="2145"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continue to make its own independent appraisal of the creditworthiness of each Obligor and its related entities whilst any amount is or may be outstanding under the Finance Documents.</w:t>
      </w:r>
    </w:p>
    <w:p>
      <w:pPr>
        <w:spacing w:after="0" w:line="161"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3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Nothing in any Finance Document obliges the Existing Lender to:</w:t>
      </w:r>
    </w:p>
    <w:p>
      <w:pPr>
        <w:spacing w:after="0" w:line="225" w:lineRule="exact"/>
        <w:rPr>
          <w:rFonts w:ascii="Times New Roman" w:cs="Times New Roman" w:eastAsia="Times New Roman" w:hAnsi="Times New Roman"/>
          <w:sz w:val="18"/>
          <w:szCs w:val="18"/>
          <w:b w:val="1"/>
          <w:bCs w:val="1"/>
          <w:color w:val="auto"/>
        </w:rPr>
      </w:pPr>
    </w:p>
    <w:p>
      <w:pPr>
        <w:ind w:left="2140" w:hanging="720"/>
        <w:spacing w:after="0"/>
        <w:tabs>
          <w:tab w:leader="none" w:pos="2140"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a re-transfer from a New Lender of any of the rights and obligations assigned or transferred under this Clause 18; or</w:t>
      </w:r>
    </w:p>
    <w:p>
      <w:pPr>
        <w:spacing w:after="0" w:line="225" w:lineRule="exact"/>
        <w:rPr>
          <w:rFonts w:ascii="Times New Roman" w:cs="Times New Roman" w:eastAsia="Times New Roman" w:hAnsi="Times New Roman"/>
          <w:sz w:val="18"/>
          <w:szCs w:val="18"/>
          <w:color w:val="auto"/>
        </w:rPr>
      </w:pPr>
    </w:p>
    <w:p>
      <w:pPr>
        <w:ind w:left="2120" w:right="340" w:hanging="700"/>
        <w:spacing w:after="0" w:line="282" w:lineRule="auto"/>
        <w:tabs>
          <w:tab w:leader="none" w:pos="2145"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any losses directly or indirectly incurred by the New Lender by reason of the non-performance by any Obligor of its obligations under the Finance Documents or otherwise.</w:t>
      </w:r>
    </w:p>
    <w:p>
      <w:pPr>
        <w:spacing w:after="0" w:line="161" w:lineRule="exact"/>
        <w:rPr>
          <w:rFonts w:ascii="Times New Roman" w:cs="Times New Roman" w:eastAsia="Times New Roman" w:hAnsi="Times New Roman"/>
          <w:sz w:val="18"/>
          <w:szCs w:val="18"/>
          <w:color w:val="auto"/>
        </w:rPr>
      </w:pPr>
    </w:p>
    <w:p>
      <w:pPr>
        <w:jc w:val="both"/>
        <w:ind w:left="1400" w:right="120" w:hanging="744"/>
        <w:spacing w:after="0" w:line="266" w:lineRule="auto"/>
        <w:tabs>
          <w:tab w:leader="none" w:pos="1420" w:val="left"/>
        </w:tabs>
        <w:numPr>
          <w:ilvl w:val="0"/>
          <w:numId w:val="3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relation to any assignment or transfer by the Existing Lender under this Clause 18, the relevant New Lender agrees to be bound by any consent, waiver or decision given or made by the Existing Lender in connection with the Finance Documents prior to such assignment or transfer.</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18.3</w:t>
      </w:r>
      <w:r>
        <w:rPr>
          <w:sz w:val="20"/>
          <w:szCs w:val="20"/>
          <w:color w:val="auto"/>
        </w:rPr>
        <w:tab/>
      </w:r>
      <w:r>
        <w:rPr>
          <w:rFonts w:ascii="Times New Roman" w:cs="Times New Roman" w:eastAsia="Times New Roman" w:hAnsi="Times New Roman"/>
          <w:sz w:val="18"/>
          <w:szCs w:val="18"/>
          <w:b w:val="1"/>
          <w:bCs w:val="1"/>
          <w:color w:val="auto"/>
        </w:rPr>
        <w:t>Procedure for transfer</w:t>
      </w:r>
    </w:p>
    <w:p>
      <w:pPr>
        <w:spacing w:after="0" w:line="229" w:lineRule="exact"/>
        <w:rPr>
          <w:sz w:val="20"/>
          <w:szCs w:val="20"/>
          <w:color w:val="auto"/>
        </w:rPr>
      </w:pPr>
    </w:p>
    <w:p>
      <w:pPr>
        <w:ind w:left="1400" w:hanging="744"/>
        <w:spacing w:after="0" w:line="282" w:lineRule="auto"/>
        <w:tabs>
          <w:tab w:leader="none" w:pos="1410" w:val="left"/>
        </w:tabs>
        <w:numPr>
          <w:ilvl w:val="0"/>
          <w:numId w:val="3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conditions set out in sub-clauses (c) and (d), a transfer is effected in accordance with sub-clause (b) below when the Existing Lender and the New Lender execute a duly completed Transfer Certificate or any other form of document agreed between them.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20" w:hanging="764"/>
        <w:spacing w:after="0"/>
        <w:tabs>
          <w:tab w:leader="none" w:pos="1420" w:val="left"/>
        </w:tabs>
        <w:numPr>
          <w:ilvl w:val="0"/>
          <w:numId w:val="3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the Transfer Date:</w:t>
      </w:r>
    </w:p>
    <w:p>
      <w:pPr>
        <w:spacing w:after="0" w:line="225" w:lineRule="exact"/>
        <w:rPr>
          <w:rFonts w:ascii="Times New Roman" w:cs="Times New Roman" w:eastAsia="Times New Roman" w:hAnsi="Times New Roman"/>
          <w:sz w:val="18"/>
          <w:szCs w:val="18"/>
          <w:b w:val="1"/>
          <w:bCs w:val="1"/>
          <w:color w:val="auto"/>
        </w:rPr>
      </w:pPr>
    </w:p>
    <w:p>
      <w:pPr>
        <w:jc w:val="both"/>
        <w:ind w:left="2120" w:right="60" w:hanging="713"/>
        <w:spacing w:after="0" w:line="313" w:lineRule="auto"/>
        <w:tabs>
          <w:tab w:leader="none" w:pos="2136" w:val="left"/>
        </w:tabs>
        <w:numPr>
          <w:ilvl w:val="1"/>
          <w:numId w:val="3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in the Transfer Certificate the Existing Lender seeks to transfer by novation its rights and obligations under the Finance Documents each of the Obligors and the Existing Lender shall be released from further obligations towards one another</w:t>
      </w:r>
    </w:p>
    <w:p>
      <w:pPr>
        <w:sectPr>
          <w:pgSz w:w="11900" w:h="16838" w:orient="portrait"/>
          <w:cols w:equalWidth="0" w:num="1">
            <w:col w:w="11420"/>
          </w:cols>
          <w:pgMar w:left="240" w:top="334" w:right="239" w:bottom="0" w:gutter="0" w:footer="0" w:header="0"/>
        </w:sectPr>
      </w:pPr>
    </w:p>
    <w:bookmarkStart w:id="183" w:name="page184"/>
    <w:bookmarkEnd w:id="183"/>
    <w:p>
      <w:pPr>
        <w:ind w:left="2120" w:right="140"/>
        <w:spacing w:after="0" w:line="286" w:lineRule="auto"/>
        <w:rPr>
          <w:sz w:val="20"/>
          <w:szCs w:val="20"/>
          <w:color w:val="auto"/>
        </w:rPr>
      </w:pPr>
      <w:r>
        <w:rPr>
          <w:rFonts w:ascii="Times New Roman" w:cs="Times New Roman" w:eastAsia="Times New Roman" w:hAnsi="Times New Roman"/>
          <w:sz w:val="18"/>
          <w:szCs w:val="18"/>
          <w:color w:val="auto"/>
        </w:rPr>
        <w:t>under the Finance Documents and their respective rights against one another shall be cancelled (being the “</w:t>
      </w:r>
      <w:r>
        <w:rPr>
          <w:rFonts w:ascii="Times New Roman" w:cs="Times New Roman" w:eastAsia="Times New Roman" w:hAnsi="Times New Roman"/>
          <w:sz w:val="18"/>
          <w:szCs w:val="18"/>
          <w:b w:val="1"/>
          <w:bCs w:val="1"/>
          <w:color w:val="auto"/>
        </w:rPr>
        <w:t>Discharged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Obligations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2120" w:hanging="713"/>
        <w:spacing w:after="0" w:line="266" w:lineRule="auto"/>
        <w:tabs>
          <w:tab w:leader="none" w:pos="2146"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Obligors and the New Lender shall assume obligations towards one another and/or acquire rights against one another which differ from the Discharged Rights and Obligations only insofar as that Obligor and the New Lender have assumed and/or acquired the same in place of that Obligor and the Existing Lender;</w:t>
      </w:r>
    </w:p>
    <w:p>
      <w:pPr>
        <w:spacing w:after="0" w:line="176" w:lineRule="exact"/>
        <w:rPr>
          <w:rFonts w:ascii="Times New Roman" w:cs="Times New Roman" w:eastAsia="Times New Roman" w:hAnsi="Times New Roman"/>
          <w:sz w:val="18"/>
          <w:szCs w:val="18"/>
          <w:color w:val="auto"/>
        </w:rPr>
      </w:pPr>
    </w:p>
    <w:p>
      <w:pPr>
        <w:ind w:left="2120" w:right="80" w:hanging="713"/>
        <w:spacing w:after="0" w:line="266" w:lineRule="auto"/>
        <w:tabs>
          <w:tab w:leader="none" w:pos="2155"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shall acquire the same rights and assume the same obligations as it would have acquired and assumed had the New Lender been the Existing Lender with the rights and/or obligations acquired or assumed by it as a result of the transfer and to that extent the Existing Lender shall be released from further obligations under this Agreement; and</w:t>
      </w:r>
    </w:p>
    <w:p>
      <w:pPr>
        <w:spacing w:after="0" w:line="176" w:lineRule="exact"/>
        <w:rPr>
          <w:rFonts w:ascii="Times New Roman" w:cs="Times New Roman" w:eastAsia="Times New Roman" w:hAnsi="Times New Roman"/>
          <w:sz w:val="18"/>
          <w:szCs w:val="18"/>
          <w:color w:val="auto"/>
        </w:rPr>
      </w:pPr>
    </w:p>
    <w:p>
      <w:pPr>
        <w:ind w:left="2120" w:hanging="713"/>
        <w:spacing w:after="0"/>
        <w:tabs>
          <w:tab w:leader="none" w:pos="212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shall become a Party as a “Lender”.</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18.4</w:t>
      </w:r>
      <w:r>
        <w:rPr>
          <w:sz w:val="20"/>
          <w:szCs w:val="20"/>
          <w:color w:val="auto"/>
        </w:rPr>
        <w:tab/>
      </w:r>
      <w:r>
        <w:rPr>
          <w:rFonts w:ascii="Times New Roman" w:cs="Times New Roman" w:eastAsia="Times New Roman" w:hAnsi="Times New Roman"/>
          <w:sz w:val="17"/>
          <w:szCs w:val="17"/>
          <w:b w:val="1"/>
          <w:bCs w:val="1"/>
          <w:color w:val="auto"/>
        </w:rPr>
        <w:t>Copy of Transfer Certificate to Borrower</w:t>
      </w:r>
    </w:p>
    <w:p>
      <w:pPr>
        <w:spacing w:after="0" w:line="229" w:lineRule="exact"/>
        <w:rPr>
          <w:sz w:val="20"/>
          <w:szCs w:val="20"/>
          <w:color w:val="auto"/>
        </w:rPr>
      </w:pPr>
    </w:p>
    <w:p>
      <w:pPr>
        <w:ind w:left="640" w:right="700"/>
        <w:spacing w:after="0" w:line="282" w:lineRule="auto"/>
        <w:rPr>
          <w:sz w:val="20"/>
          <w:szCs w:val="20"/>
          <w:color w:val="auto"/>
        </w:rPr>
      </w:pPr>
      <w:r>
        <w:rPr>
          <w:rFonts w:ascii="Times New Roman" w:cs="Times New Roman" w:eastAsia="Times New Roman" w:hAnsi="Times New Roman"/>
          <w:sz w:val="18"/>
          <w:szCs w:val="18"/>
          <w:color w:val="auto"/>
        </w:rPr>
        <w:t>The Lender shall, as soon as reasonably practicable after it has executed a Transfer Certificate, send to the Borrower a copy of that Transfer Certificate.</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18.5</w:t>
      </w:r>
      <w:r>
        <w:rPr>
          <w:sz w:val="20"/>
          <w:szCs w:val="20"/>
          <w:color w:val="auto"/>
        </w:rPr>
        <w:tab/>
      </w:r>
      <w:r>
        <w:rPr>
          <w:rFonts w:ascii="Times New Roman" w:cs="Times New Roman" w:eastAsia="Times New Roman" w:hAnsi="Times New Roman"/>
          <w:sz w:val="18"/>
          <w:szCs w:val="18"/>
          <w:b w:val="1"/>
          <w:bCs w:val="1"/>
          <w:color w:val="auto"/>
        </w:rPr>
        <w:t>Existing consents and waivers</w:t>
      </w:r>
    </w:p>
    <w:p>
      <w:pPr>
        <w:spacing w:after="0" w:line="229" w:lineRule="exact"/>
        <w:rPr>
          <w:sz w:val="20"/>
          <w:szCs w:val="20"/>
          <w:color w:val="auto"/>
        </w:rPr>
      </w:pPr>
    </w:p>
    <w:p>
      <w:pPr>
        <w:ind w:left="660" w:right="180"/>
        <w:spacing w:after="0" w:line="282" w:lineRule="auto"/>
        <w:rPr>
          <w:sz w:val="20"/>
          <w:szCs w:val="20"/>
          <w:color w:val="auto"/>
        </w:rPr>
      </w:pPr>
      <w:r>
        <w:rPr>
          <w:rFonts w:ascii="Times New Roman" w:cs="Times New Roman" w:eastAsia="Times New Roman" w:hAnsi="Times New Roman"/>
          <w:sz w:val="18"/>
          <w:szCs w:val="18"/>
          <w:color w:val="auto"/>
        </w:rPr>
        <w:t>A New Lender shall be bound by any consent, waiver, election or decision given or made by the relevant Existing Lender under or pursuant to any Finance Document prior to the coming into effect of the relevant assignment or transfer to such New Lender.</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18.6</w:t>
      </w:r>
      <w:r>
        <w:rPr>
          <w:sz w:val="20"/>
          <w:szCs w:val="20"/>
          <w:color w:val="auto"/>
        </w:rPr>
        <w:tab/>
      </w:r>
      <w:r>
        <w:rPr>
          <w:rFonts w:ascii="Times New Roman" w:cs="Times New Roman" w:eastAsia="Times New Roman" w:hAnsi="Times New Roman"/>
          <w:sz w:val="17"/>
          <w:szCs w:val="17"/>
          <w:b w:val="1"/>
          <w:bCs w:val="1"/>
          <w:color w:val="auto"/>
        </w:rPr>
        <w:t>Exclusion of liability</w:t>
      </w:r>
    </w:p>
    <w:p>
      <w:pPr>
        <w:spacing w:after="0" w:line="229" w:lineRule="exact"/>
        <w:rPr>
          <w:sz w:val="20"/>
          <w:szCs w:val="20"/>
          <w:color w:val="auto"/>
        </w:rPr>
      </w:pPr>
    </w:p>
    <w:p>
      <w:pPr>
        <w:ind w:left="660" w:right="260"/>
        <w:spacing w:after="0" w:line="282" w:lineRule="auto"/>
        <w:rPr>
          <w:sz w:val="20"/>
          <w:szCs w:val="20"/>
          <w:color w:val="auto"/>
        </w:rPr>
      </w:pPr>
      <w:r>
        <w:rPr>
          <w:rFonts w:ascii="Times New Roman" w:cs="Times New Roman" w:eastAsia="Times New Roman" w:hAnsi="Times New Roman"/>
          <w:sz w:val="18"/>
          <w:szCs w:val="18"/>
          <w:color w:val="auto"/>
        </w:rPr>
        <w:t>In relation to any assignment or transfer pursuant to this Clause 18, the Borrower acknowledges and agrees that the Lender shall not be obliged to enquire as to the accuracy of any representation or warranty made by a New Lender in respect of its eligibility as a Lender.</w:t>
      </w:r>
    </w:p>
    <w:p>
      <w:pPr>
        <w:spacing w:after="0" w:line="158" w:lineRule="exact"/>
        <w:rPr>
          <w:sz w:val="20"/>
          <w:szCs w:val="20"/>
          <w:color w:val="auto"/>
        </w:rPr>
      </w:pPr>
    </w:p>
    <w:p>
      <w:pPr>
        <w:ind w:left="660" w:hanging="652"/>
        <w:spacing w:after="0"/>
        <w:tabs>
          <w:tab w:leader="none" w:pos="660" w:val="left"/>
        </w:tabs>
        <w:numPr>
          <w:ilvl w:val="0"/>
          <w:numId w:val="3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TO THE OBLIGORS</w:t>
      </w:r>
    </w:p>
    <w:p>
      <w:pPr>
        <w:spacing w:after="0" w:line="229" w:lineRule="exact"/>
        <w:rPr>
          <w:rFonts w:ascii="Times New Roman" w:cs="Times New Roman" w:eastAsia="Times New Roman" w:hAnsi="Times New Roman"/>
          <w:sz w:val="18"/>
          <w:szCs w:val="18"/>
          <w:b w:val="1"/>
          <w:bCs w:val="1"/>
          <w:color w:val="auto"/>
        </w:rPr>
      </w:pPr>
    </w:p>
    <w:p>
      <w:pPr>
        <w:ind w:left="660" w:right="4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Obligor may not assign or transfer any of its rights or obligations under any Finance Document, except with the prior written consent of the Lender.</w:t>
      </w:r>
    </w:p>
    <w:p>
      <w:pPr>
        <w:spacing w:after="0" w:line="157" w:lineRule="exact"/>
        <w:rPr>
          <w:rFonts w:ascii="Times New Roman" w:cs="Times New Roman" w:eastAsia="Times New Roman" w:hAnsi="Times New Roman"/>
          <w:sz w:val="18"/>
          <w:szCs w:val="18"/>
          <w:b w:val="1"/>
          <w:bCs w:val="1"/>
          <w:color w:val="auto"/>
        </w:rPr>
      </w:pPr>
    </w:p>
    <w:p>
      <w:pPr>
        <w:ind w:left="640" w:right="7920" w:hanging="632"/>
        <w:spacing w:after="0" w:line="533" w:lineRule="auto"/>
        <w:tabs>
          <w:tab w:leader="none" w:pos="645" w:val="left"/>
        </w:tabs>
        <w:numPr>
          <w:ilvl w:val="0"/>
          <w:numId w:val="3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DISCLOSURE OF INFORMATION </w:t>
      </w:r>
      <w:r>
        <w:rPr>
          <w:rFonts w:ascii="Times New Roman" w:cs="Times New Roman" w:eastAsia="Times New Roman" w:hAnsi="Times New Roman"/>
          <w:sz w:val="17"/>
          <w:szCs w:val="17"/>
          <w:color w:val="auto"/>
        </w:rPr>
        <w:t>The Lender may disclose to:</w:t>
      </w:r>
    </w:p>
    <w:p>
      <w:pPr>
        <w:ind w:left="1320" w:hanging="664"/>
        <w:spacing w:after="0"/>
        <w:tabs>
          <w:tab w:leader="none" w:pos="1320"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its Affiliates;</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head office, its other branch, and its associated companies;</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its professional advisers and other persons providing services to it;</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Obligor;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permitted by any Obligor;</w:t>
      </w:r>
    </w:p>
    <w:p>
      <w:pPr>
        <w:spacing w:after="0" w:line="225" w:lineRule="exact"/>
        <w:rPr>
          <w:rFonts w:ascii="Times New Roman" w:cs="Times New Roman" w:eastAsia="Times New Roman" w:hAnsi="Times New Roman"/>
          <w:sz w:val="18"/>
          <w:szCs w:val="18"/>
          <w:color w:val="auto"/>
        </w:rPr>
      </w:pPr>
    </w:p>
    <w:p>
      <w:pPr>
        <w:ind w:left="1300" w:right="480" w:hanging="644"/>
        <w:spacing w:after="0" w:line="282" w:lineRule="auto"/>
        <w:tabs>
          <w:tab w:leader="none" w:pos="1317"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to whom, and to the extent that, information is required to be disclosed by any applicable law or regulation or rules of any securities exchange on which any security of the Lender or any of its Affiliates is listed; and</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w:t>
      </w:r>
    </w:p>
    <w:p>
      <w:pPr>
        <w:spacing w:after="0" w:line="225" w:lineRule="exact"/>
        <w:rPr>
          <w:rFonts w:ascii="Times New Roman" w:cs="Times New Roman" w:eastAsia="Times New Roman" w:hAnsi="Times New Roman"/>
          <w:sz w:val="18"/>
          <w:szCs w:val="18"/>
          <w:color w:val="auto"/>
        </w:rPr>
      </w:pPr>
    </w:p>
    <w:p>
      <w:pPr>
        <w:ind w:left="1860" w:right="240" w:hanging="555"/>
        <w:spacing w:after="0" w:line="282" w:lineRule="auto"/>
        <w:tabs>
          <w:tab w:leader="none" w:pos="1854"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whom the Lender assigns or transfers (or may potentially assign or transfer) all or any of its rights and obligations under this Agreement;</w:t>
      </w:r>
    </w:p>
    <w:p>
      <w:pPr>
        <w:spacing w:after="0" w:line="161" w:lineRule="exact"/>
        <w:rPr>
          <w:rFonts w:ascii="Times New Roman" w:cs="Times New Roman" w:eastAsia="Times New Roman" w:hAnsi="Times New Roman"/>
          <w:sz w:val="18"/>
          <w:szCs w:val="18"/>
          <w:color w:val="auto"/>
        </w:rPr>
      </w:pPr>
    </w:p>
    <w:p>
      <w:pPr>
        <w:ind w:left="1860" w:right="480" w:hanging="555"/>
        <w:spacing w:after="0" w:line="282" w:lineRule="auto"/>
        <w:tabs>
          <w:tab w:leader="none" w:pos="1864"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(or through) whom the Lender enters into (or may potentially enter into) any sub-participation in relation to, or any other transaction under which payments are to be made by reference to, this Agreement or any Obligor;</w:t>
      </w:r>
    </w:p>
    <w:p>
      <w:pPr>
        <w:spacing w:after="0" w:line="161" w:lineRule="exact"/>
        <w:rPr>
          <w:rFonts w:ascii="Times New Roman" w:cs="Times New Roman" w:eastAsia="Times New Roman" w:hAnsi="Times New Roman"/>
          <w:sz w:val="18"/>
          <w:szCs w:val="18"/>
          <w:color w:val="auto"/>
        </w:rPr>
      </w:pPr>
    </w:p>
    <w:p>
      <w:pPr>
        <w:ind w:left="1860" w:right="560" w:hanging="555"/>
        <w:spacing w:after="0" w:line="282" w:lineRule="auto"/>
        <w:tabs>
          <w:tab w:leader="none" w:pos="1867"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by a person to whom paragraph (G)(a) or (G)(b) above applies to receive communications, notices, information or documents delivered pursuant to the Finance Documents on its behalf;</w:t>
      </w:r>
    </w:p>
    <w:p>
      <w:pPr>
        <w:spacing w:after="0" w:line="161" w:lineRule="exact"/>
        <w:rPr>
          <w:rFonts w:ascii="Times New Roman" w:cs="Times New Roman" w:eastAsia="Times New Roman" w:hAnsi="Times New Roman"/>
          <w:sz w:val="18"/>
          <w:szCs w:val="18"/>
          <w:color w:val="auto"/>
        </w:rPr>
      </w:pPr>
    </w:p>
    <w:p>
      <w:pPr>
        <w:ind w:left="1860" w:right="500" w:hanging="555"/>
        <w:spacing w:after="0" w:line="282" w:lineRule="auto"/>
        <w:tabs>
          <w:tab w:leader="none" w:pos="1864"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invests in or otherwise finances (or may potentially invest in or otherwise finance), directly or indirectly, any transaction referred to in paragraph (G)(a) or (G)(b) above;</w:t>
      </w:r>
    </w:p>
    <w:p>
      <w:pPr>
        <w:spacing w:after="0" w:line="161" w:lineRule="exact"/>
        <w:rPr>
          <w:rFonts w:ascii="Times New Roman" w:cs="Times New Roman" w:eastAsia="Times New Roman" w:hAnsi="Times New Roman"/>
          <w:sz w:val="18"/>
          <w:szCs w:val="18"/>
          <w:color w:val="auto"/>
        </w:rPr>
      </w:pPr>
    </w:p>
    <w:p>
      <w:pPr>
        <w:jc w:val="both"/>
        <w:ind w:left="1860" w:right="100" w:hanging="555"/>
        <w:spacing w:after="0" w:line="266" w:lineRule="auto"/>
        <w:tabs>
          <w:tab w:leader="none" w:pos="1867"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spacing w:after="0" w:line="176" w:lineRule="exact"/>
        <w:rPr>
          <w:rFonts w:ascii="Times New Roman" w:cs="Times New Roman" w:eastAsia="Times New Roman" w:hAnsi="Times New Roman"/>
          <w:sz w:val="18"/>
          <w:szCs w:val="18"/>
          <w:color w:val="auto"/>
        </w:rPr>
      </w:pPr>
    </w:p>
    <w:p>
      <w:pPr>
        <w:ind w:left="1860" w:right="1020" w:hanging="555"/>
        <w:spacing w:after="0" w:line="282" w:lineRule="auto"/>
        <w:tabs>
          <w:tab w:leader="none" w:pos="1861"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whom information is required to be disclosed in connection with, and for the purposes of, any litigation, arbitration, administrative or other investigations, proceedings or disputes; or</w:t>
      </w:r>
    </w:p>
    <w:p>
      <w:pPr>
        <w:spacing w:after="0" w:line="161" w:lineRule="exact"/>
        <w:rPr>
          <w:rFonts w:ascii="Times New Roman" w:cs="Times New Roman" w:eastAsia="Times New Roman" w:hAnsi="Times New Roman"/>
          <w:sz w:val="18"/>
          <w:szCs w:val="18"/>
          <w:color w:val="auto"/>
        </w:rPr>
      </w:pPr>
    </w:p>
    <w:p>
      <w:pPr>
        <w:ind w:left="1880" w:hanging="575"/>
        <w:spacing w:after="0"/>
        <w:tabs>
          <w:tab w:leader="none" w:pos="1880"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Obligors,</w:t>
      </w:r>
    </w:p>
    <w:p>
      <w:pPr>
        <w:sectPr>
          <w:pgSz w:w="11900" w:h="16838" w:orient="portrait"/>
          <w:cols w:equalWidth="0" w:num="1">
            <w:col w:w="11400"/>
          </w:cols>
          <w:pgMar w:left="240" w:top="117" w:right="259" w:bottom="0" w:gutter="0" w:footer="0" w:header="0"/>
        </w:sectPr>
      </w:pPr>
    </w:p>
    <w:bookmarkStart w:id="184" w:name="page185"/>
    <w:bookmarkEnd w:id="184"/>
    <w:p>
      <w:pPr>
        <w:spacing w:after="0" w:line="95" w:lineRule="exact"/>
        <w:rPr>
          <w:sz w:val="20"/>
          <w:szCs w:val="20"/>
          <w:color w:val="auto"/>
        </w:rPr>
      </w:pPr>
    </w:p>
    <w:p>
      <w:pPr>
        <w:ind w:left="660"/>
        <w:spacing w:after="0" w:line="255" w:lineRule="auto"/>
        <w:rPr>
          <w:sz w:val="20"/>
          <w:szCs w:val="20"/>
          <w:color w:val="auto"/>
        </w:rPr>
      </w:pPr>
      <w:r>
        <w:rPr>
          <w:rFonts w:ascii="Times New Roman" w:cs="Times New Roman" w:eastAsia="Times New Roman" w:hAnsi="Times New Roman"/>
          <w:sz w:val="18"/>
          <w:szCs w:val="18"/>
          <w:color w:val="auto"/>
        </w:rPr>
        <w:t>any information about any Obligor, the Group and the Finance Documents as the Lender shall consider appropriate; provided that in relation to disclosure pursuant to paragraphs (A), (B), (C), (F) or (G) above, if such information is confidential, the person to whom the confidential information is to be given is informed of its confidential nature and that some or all of such confidential information may be price-sensitive information; and further provided that, notwithstanding any other provision herein, the Lender and its Affiliates shall be entitled to, through public announcements, filings, press release or otherwise, publicly disclose any such information as required by any applicable law or regulation or rules of any securities exchange on which any security of the Lender or any of its Affiliates is listed. This Clause supersedes any previous agreement relating to the confidentiality of such information.</w:t>
      </w:r>
    </w:p>
    <w:p>
      <w:pPr>
        <w:spacing w:after="0" w:line="185" w:lineRule="exact"/>
        <w:rPr>
          <w:sz w:val="20"/>
          <w:szCs w:val="20"/>
          <w:color w:val="auto"/>
        </w:rPr>
      </w:pPr>
    </w:p>
    <w:p>
      <w:pPr>
        <w:ind w:right="8720" w:firstLine="8"/>
        <w:spacing w:after="0" w:line="530" w:lineRule="auto"/>
        <w:tabs>
          <w:tab w:leader="none" w:pos="644" w:val="left"/>
        </w:tabs>
        <w:numPr>
          <w:ilvl w:val="0"/>
          <w:numId w:val="3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PAYMENT MECHANICS 21.1 Payments to the Lender</w:t>
      </w:r>
    </w:p>
    <w:p>
      <w:pPr>
        <w:spacing w:after="0" w:line="4" w:lineRule="exact"/>
        <w:rPr>
          <w:rFonts w:ascii="Times New Roman" w:cs="Times New Roman" w:eastAsia="Times New Roman" w:hAnsi="Times New Roman"/>
          <w:sz w:val="17"/>
          <w:szCs w:val="17"/>
          <w:b w:val="1"/>
          <w:bCs w:val="1"/>
          <w:color w:val="auto"/>
        </w:rPr>
      </w:pPr>
    </w:p>
    <w:p>
      <w:pPr>
        <w:ind w:left="1400" w:right="180" w:hanging="744"/>
        <w:spacing w:after="0" w:line="261" w:lineRule="auto"/>
        <w:tabs>
          <w:tab w:leader="none" w:pos="1410" w:val="left"/>
        </w:tabs>
        <w:numPr>
          <w:ilvl w:val="1"/>
          <w:numId w:val="3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each date on which an Obligor is required to make a payment under a Finance Document, that Obligor shall make the same available to the Lender (unless a contrary indication appears in a Finance Document) for value on the due date at the time and in such funds specified by the Lender as being customary at the time for settlement of transactions in the relevant currency in the place of payment. If no such time is specified, payment must be made no later than 11:00 a.m. Hong Kong time on such due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20" w:hanging="764"/>
        <w:spacing w:after="0"/>
        <w:tabs>
          <w:tab w:leader="none" w:pos="1420" w:val="left"/>
        </w:tabs>
        <w:numPr>
          <w:ilvl w:val="0"/>
          <w:numId w:val="3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Payment shall be made to the account as notified by the Lender to the Borrower from time to time.</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21.2</w:t>
      </w:r>
      <w:r>
        <w:rPr>
          <w:sz w:val="20"/>
          <w:szCs w:val="20"/>
          <w:color w:val="auto"/>
        </w:rPr>
        <w:tab/>
      </w:r>
      <w:r>
        <w:rPr>
          <w:rFonts w:ascii="Times New Roman" w:cs="Times New Roman" w:eastAsia="Times New Roman" w:hAnsi="Times New Roman"/>
          <w:sz w:val="18"/>
          <w:szCs w:val="18"/>
          <w:b w:val="1"/>
          <w:bCs w:val="1"/>
          <w:color w:val="auto"/>
        </w:rPr>
        <w:t>Partial payments</w:t>
      </w:r>
    </w:p>
    <w:p>
      <w:pPr>
        <w:spacing w:after="0" w:line="229" w:lineRule="exact"/>
        <w:rPr>
          <w:sz w:val="20"/>
          <w:szCs w:val="20"/>
          <w:color w:val="auto"/>
        </w:rPr>
      </w:pPr>
    </w:p>
    <w:p>
      <w:pPr>
        <w:jc w:val="both"/>
        <w:ind w:left="1460" w:right="220" w:hanging="804"/>
        <w:spacing w:after="0" w:line="266" w:lineRule="auto"/>
        <w:tabs>
          <w:tab w:leader="none" w:pos="1467" w:val="left"/>
        </w:tabs>
        <w:numPr>
          <w:ilvl w:val="0"/>
          <w:numId w:val="3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Lender receives a payment that is insufficient to discharge all the amounts then due and payable by an Obligor under the Finance Documents, the Lender shall apply that payment towards the obligations of that Obligor under the Finance Documents in the following order:</w:t>
      </w:r>
    </w:p>
    <w:p>
      <w:pPr>
        <w:spacing w:after="0" w:line="176" w:lineRule="exact"/>
        <w:rPr>
          <w:rFonts w:ascii="Times New Roman" w:cs="Times New Roman" w:eastAsia="Times New Roman" w:hAnsi="Times New Roman"/>
          <w:sz w:val="18"/>
          <w:szCs w:val="18"/>
          <w:b w:val="1"/>
          <w:bCs w:val="1"/>
          <w:color w:val="auto"/>
        </w:rPr>
      </w:pPr>
    </w:p>
    <w:p>
      <w:pPr>
        <w:ind w:left="2060" w:hanging="583"/>
        <w:spacing w:after="0"/>
        <w:tabs>
          <w:tab w:leader="none" w:pos="2060"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in or towards payment of any unpaid fees, costs and expenses of the Lender under the Finance Documents;</w:t>
      </w:r>
    </w:p>
    <w:p>
      <w:pPr>
        <w:spacing w:after="0" w:line="225" w:lineRule="exact"/>
        <w:rPr>
          <w:rFonts w:ascii="Times New Roman" w:cs="Times New Roman" w:eastAsia="Times New Roman" w:hAnsi="Times New Roman"/>
          <w:sz w:val="18"/>
          <w:szCs w:val="18"/>
          <w:color w:val="auto"/>
        </w:rPr>
      </w:pPr>
    </w:p>
    <w:p>
      <w:pPr>
        <w:ind w:left="2040" w:right="160" w:hanging="563"/>
        <w:spacing w:after="0" w:line="282" w:lineRule="auto"/>
        <w:tabs>
          <w:tab w:leader="none" w:pos="2047"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secondly, in or towards payment of any accrued interest, fee (other than as provided in paragraph (A) above) or commission due but unpaid under this Agreement;</w:t>
      </w:r>
    </w:p>
    <w:p>
      <w:pPr>
        <w:spacing w:after="0" w:line="161" w:lineRule="exact"/>
        <w:rPr>
          <w:rFonts w:ascii="Times New Roman" w:cs="Times New Roman" w:eastAsia="Times New Roman" w:hAnsi="Times New Roman"/>
          <w:sz w:val="18"/>
          <w:szCs w:val="18"/>
          <w:color w:val="auto"/>
        </w:rPr>
      </w:pPr>
    </w:p>
    <w:p>
      <w:pPr>
        <w:ind w:left="2040" w:hanging="563"/>
        <w:spacing w:after="0"/>
        <w:tabs>
          <w:tab w:leader="none" w:pos="2040"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thirdly, in or towards payment of any principal due but unpaid under this Agreement; and</w:t>
      </w:r>
    </w:p>
    <w:p>
      <w:pPr>
        <w:spacing w:after="0" w:line="225" w:lineRule="exact"/>
        <w:rPr>
          <w:rFonts w:ascii="Times New Roman" w:cs="Times New Roman" w:eastAsia="Times New Roman" w:hAnsi="Times New Roman"/>
          <w:sz w:val="18"/>
          <w:szCs w:val="18"/>
          <w:color w:val="auto"/>
        </w:rPr>
      </w:pPr>
    </w:p>
    <w:p>
      <w:pPr>
        <w:ind w:left="2060" w:hanging="583"/>
        <w:spacing w:after="0"/>
        <w:tabs>
          <w:tab w:leader="none" w:pos="2060"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fourthly, in or towards payment of any other sum due but unpaid under the Finance Documents.</w:t>
      </w:r>
    </w:p>
    <w:p>
      <w:pPr>
        <w:spacing w:after="0" w:line="225"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0"/>
          <w:numId w:val="3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Lender may vary the order set out in paragraphs (B) to (D) of sub-clause (a) above.</w:t>
      </w:r>
    </w:p>
    <w:p>
      <w:pPr>
        <w:spacing w:after="0" w:line="225" w:lineRule="exact"/>
        <w:rPr>
          <w:rFonts w:ascii="Times New Roman" w:cs="Times New Roman" w:eastAsia="Times New Roman" w:hAnsi="Times New Roman"/>
          <w:sz w:val="18"/>
          <w:szCs w:val="18"/>
          <w:b w:val="1"/>
          <w:bCs w:val="1"/>
          <w:color w:val="auto"/>
        </w:rPr>
      </w:pPr>
    </w:p>
    <w:p>
      <w:pPr>
        <w:ind w:left="1400" w:hanging="744"/>
        <w:spacing w:after="0"/>
        <w:tabs>
          <w:tab w:leader="none" w:pos="1400" w:val="left"/>
        </w:tabs>
        <w:numPr>
          <w:ilvl w:val="0"/>
          <w:numId w:val="3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Sub-clauses (a) and (b) above will override any appropriation made by an Obligor.</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21.3</w:t>
      </w:r>
      <w:r>
        <w:rPr>
          <w:sz w:val="20"/>
          <w:szCs w:val="20"/>
          <w:color w:val="auto"/>
        </w:rPr>
        <w:tab/>
      </w:r>
      <w:r>
        <w:rPr>
          <w:rFonts w:ascii="Times New Roman" w:cs="Times New Roman" w:eastAsia="Times New Roman" w:hAnsi="Times New Roman"/>
          <w:sz w:val="18"/>
          <w:szCs w:val="18"/>
          <w:b w:val="1"/>
          <w:bCs w:val="1"/>
          <w:color w:val="auto"/>
        </w:rPr>
        <w:t>Business Days</w:t>
      </w:r>
    </w:p>
    <w:p>
      <w:pPr>
        <w:spacing w:after="0" w:line="229" w:lineRule="exact"/>
        <w:rPr>
          <w:sz w:val="20"/>
          <w:szCs w:val="20"/>
          <w:color w:val="auto"/>
        </w:rPr>
      </w:pPr>
    </w:p>
    <w:p>
      <w:pPr>
        <w:ind w:left="1400" w:right="260" w:hanging="744"/>
        <w:spacing w:after="0" w:line="282" w:lineRule="auto"/>
        <w:tabs>
          <w:tab w:leader="none" w:pos="1410" w:val="left"/>
        </w:tabs>
        <w:numPr>
          <w:ilvl w:val="1"/>
          <w:numId w:val="3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payment which is due to be made on a day that is not a Business Day shall be made on the next Business Day in the same calendar month (if there is one) or the preceding Business Day (if there is not).</w:t>
      </w:r>
    </w:p>
    <w:p>
      <w:pPr>
        <w:spacing w:after="0" w:line="161" w:lineRule="exact"/>
        <w:rPr>
          <w:rFonts w:ascii="Times New Roman" w:cs="Times New Roman" w:eastAsia="Times New Roman" w:hAnsi="Times New Roman"/>
          <w:sz w:val="18"/>
          <w:szCs w:val="18"/>
          <w:b w:val="1"/>
          <w:bCs w:val="1"/>
          <w:color w:val="auto"/>
        </w:rPr>
      </w:pPr>
    </w:p>
    <w:p>
      <w:pPr>
        <w:ind w:left="1400" w:right="240" w:hanging="744"/>
        <w:spacing w:after="0" w:line="282" w:lineRule="auto"/>
        <w:tabs>
          <w:tab w:leader="none" w:pos="1420" w:val="left"/>
        </w:tabs>
        <w:numPr>
          <w:ilvl w:val="1"/>
          <w:numId w:val="3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any extension of the due date for payment of any principal or Unpaid Sum under sub-clause (a) above, interest is payable on the principal or Unpaid Sum at the rate payable on the original due date.</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SET-OFF</w:t>
      </w:r>
    </w:p>
    <w:p>
      <w:pPr>
        <w:spacing w:after="0" w:line="229" w:lineRule="exact"/>
        <w:rPr>
          <w:rFonts w:ascii="Times New Roman" w:cs="Times New Roman" w:eastAsia="Times New Roman" w:hAnsi="Times New Roman"/>
          <w:sz w:val="18"/>
          <w:szCs w:val="18"/>
          <w:b w:val="1"/>
          <w:bCs w:val="1"/>
          <w:color w:val="auto"/>
        </w:rPr>
      </w:pPr>
    </w:p>
    <w:p>
      <w:pPr>
        <w:ind w:left="1460" w:right="80" w:hanging="804"/>
        <w:spacing w:after="0" w:line="282" w:lineRule="auto"/>
        <w:tabs>
          <w:tab w:leader="none" w:pos="1467" w:val="left"/>
        </w:tabs>
        <w:numPr>
          <w:ilvl w:val="1"/>
          <w:numId w:val="3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payments to be made by an Obligor under the Finance Documents shall be calculated and be made without (and free and clear of any deduction for) set-off or counterclaim.</w:t>
      </w:r>
    </w:p>
    <w:p>
      <w:pPr>
        <w:spacing w:after="0" w:line="161" w:lineRule="exact"/>
        <w:rPr>
          <w:rFonts w:ascii="Times New Roman" w:cs="Times New Roman" w:eastAsia="Times New Roman" w:hAnsi="Times New Roman"/>
          <w:sz w:val="18"/>
          <w:szCs w:val="18"/>
          <w:b w:val="1"/>
          <w:bCs w:val="1"/>
          <w:color w:val="auto"/>
        </w:rPr>
      </w:pPr>
    </w:p>
    <w:p>
      <w:pPr>
        <w:ind w:left="1460" w:right="20" w:hanging="804"/>
        <w:spacing w:after="0" w:line="261" w:lineRule="auto"/>
        <w:tabs>
          <w:tab w:leader="none" w:pos="1477" w:val="left"/>
        </w:tabs>
        <w:numPr>
          <w:ilvl w:val="1"/>
          <w:numId w:val="3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Lender may set off any matured obligation due from an Obligor under the Finance Documents (to the extent beneficially owned by the Lender) against any matured obligation owed by the Lender to that Obligor, regardless of the place of payment or currency of either obligation. If the obligations are in different currencies, the Lender may convert either obligation at a market rate of exchange in its usual course of business for the purpose of the set-off.</w:t>
      </w:r>
    </w:p>
    <w:p>
      <w:pPr>
        <w:spacing w:after="0" w:line="176"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23.1</w:t>
      </w:r>
      <w:r>
        <w:rPr>
          <w:sz w:val="20"/>
          <w:szCs w:val="20"/>
          <w:color w:val="auto"/>
        </w:rPr>
        <w:tab/>
      </w:r>
      <w:r>
        <w:rPr>
          <w:rFonts w:ascii="Times New Roman" w:cs="Times New Roman" w:eastAsia="Times New Roman" w:hAnsi="Times New Roman"/>
          <w:sz w:val="18"/>
          <w:szCs w:val="18"/>
          <w:b w:val="1"/>
          <w:bCs w:val="1"/>
          <w:color w:val="auto"/>
        </w:rPr>
        <w:t>Communications in writing</w:t>
      </w:r>
    </w:p>
    <w:p>
      <w:pPr>
        <w:spacing w:after="0" w:line="229" w:lineRule="exact"/>
        <w:rPr>
          <w:sz w:val="20"/>
          <w:szCs w:val="20"/>
          <w:color w:val="auto"/>
        </w:rPr>
      </w:pPr>
    </w:p>
    <w:p>
      <w:pPr>
        <w:ind w:left="640" w:right="240"/>
        <w:spacing w:after="0" w:line="282" w:lineRule="auto"/>
        <w:rPr>
          <w:sz w:val="20"/>
          <w:szCs w:val="20"/>
          <w:color w:val="auto"/>
        </w:rPr>
      </w:pPr>
      <w:r>
        <w:rPr>
          <w:rFonts w:ascii="Times New Roman" w:cs="Times New Roman" w:eastAsia="Times New Roman" w:hAnsi="Times New Roman"/>
          <w:sz w:val="18"/>
          <w:szCs w:val="18"/>
          <w:color w:val="auto"/>
        </w:rPr>
        <w:t>Any communication to be made under or in connection with the Finance Documents shall be made in writing and, unless otherwise stated, may be made by fax or letter.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23.2</w:t>
      </w:r>
      <w:r>
        <w:rPr>
          <w:sz w:val="20"/>
          <w:szCs w:val="20"/>
          <w:color w:val="auto"/>
        </w:rPr>
        <w:tab/>
      </w:r>
      <w:r>
        <w:rPr>
          <w:rFonts w:ascii="Times New Roman" w:cs="Times New Roman" w:eastAsia="Times New Roman" w:hAnsi="Times New Roman"/>
          <w:sz w:val="18"/>
          <w:szCs w:val="18"/>
          <w:b w:val="1"/>
          <w:bCs w:val="1"/>
          <w:color w:val="auto"/>
        </w:rPr>
        <w:t>Addresses</w:t>
      </w:r>
    </w:p>
    <w:p>
      <w:pPr>
        <w:spacing w:after="0" w:line="229" w:lineRule="exact"/>
        <w:rPr>
          <w:sz w:val="20"/>
          <w:szCs w:val="20"/>
          <w:color w:val="auto"/>
        </w:rPr>
      </w:pPr>
    </w:p>
    <w:p>
      <w:pPr>
        <w:ind w:left="640" w:right="520"/>
        <w:spacing w:after="0" w:line="282" w:lineRule="auto"/>
        <w:rPr>
          <w:sz w:val="20"/>
          <w:szCs w:val="20"/>
          <w:color w:val="auto"/>
        </w:rPr>
      </w:pPr>
      <w:r>
        <w:rPr>
          <w:rFonts w:ascii="Times New Roman" w:cs="Times New Roman" w:eastAsia="Times New Roman" w:hAnsi="Times New Roman"/>
          <w:sz w:val="18"/>
          <w:szCs w:val="18"/>
          <w:color w:val="auto"/>
        </w:rPr>
        <w:t>The address and fax number (and the department or officer, if any, for whose attention the communication is to be made) of each Party for any communication or document to be made or delivered under or in connection with the Finance Documents is:</w:t>
      </w:r>
    </w:p>
    <w:p>
      <w:pPr>
        <w:sectPr>
          <w:pgSz w:w="11900" w:h="16934" w:orient="portrait"/>
          <w:cols w:equalWidth="0" w:num="1">
            <w:col w:w="11420"/>
          </w:cols>
          <w:pgMar w:left="240" w:top="337" w:right="239" w:bottom="0" w:gutter="0" w:footer="0" w:header="0"/>
        </w:sectPr>
      </w:pPr>
    </w:p>
    <w:bookmarkStart w:id="185" w:name="page186"/>
    <w:bookmarkEnd w:id="185"/>
    <w:p>
      <w:pPr>
        <w:ind w:left="1400" w:hanging="744"/>
        <w:spacing w:after="0"/>
        <w:tabs>
          <w:tab w:leader="none" w:pos="1400" w:val="left"/>
        </w:tabs>
        <w:numPr>
          <w:ilvl w:val="0"/>
          <w:numId w:val="3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case of any of the Obligors:</w:t>
      </w:r>
    </w:p>
    <w:p>
      <w:pPr>
        <w:sectPr>
          <w:pgSz w:w="11900" w:h="16838" w:orient="portrait"/>
          <w:cols w:equalWidth="0" w:num="1">
            <w:col w:w="11420"/>
          </w:cols>
          <w:pgMar w:left="240" w:top="337" w:right="239" w:bottom="0" w:gutter="0" w:footer="0" w:header="0"/>
        </w:sectPr>
      </w:pPr>
    </w:p>
    <w:p>
      <w:pPr>
        <w:spacing w:after="0" w:line="2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Fax:</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7"/>
          <w:szCs w:val="17"/>
          <w:color w:val="auto"/>
        </w:rPr>
        <w:t>Attention: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[7th Floor, Building D, Tsinghua Tongfang Hi-Tech Plaza, Haidian District, Beijing, China]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[+86-10-8280 0540]</w:t>
      </w:r>
    </w:p>
    <w:p>
      <w:pPr>
        <w:spacing w:after="0" w:line="9"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color w:val="auto"/>
        </w:rPr>
        <w:t>[Mr. ZHENG Zhaohui(</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120" w:space="460"/>
            <w:col w:w="8840"/>
          </w:cols>
          <w:pgMar w:left="240" w:top="337" w:right="239" w:bottom="0" w:gutter="0" w:footer="0" w:header="0"/>
          <w:type w:val="continuous"/>
        </w:sectPr>
      </w:pPr>
    </w:p>
    <w:p>
      <w:pPr>
        <w:spacing w:after="0" w:line="7" w:lineRule="exact"/>
        <w:rPr>
          <w:sz w:val="20"/>
          <w:szCs w:val="20"/>
          <w:color w:val="auto"/>
        </w:rPr>
      </w:pPr>
    </w:p>
    <w:p>
      <w:pPr>
        <w:ind w:left="1420" w:hanging="764"/>
        <w:spacing w:after="0"/>
        <w:tabs>
          <w:tab w:leader="none" w:pos="1420" w:val="left"/>
        </w:tabs>
        <w:numPr>
          <w:ilvl w:val="0"/>
          <w:numId w:val="3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the case of the Original Lender:</w:t>
      </w:r>
    </w:p>
    <w:p>
      <w:pPr>
        <w:sectPr>
          <w:pgSz w:w="11900" w:h="16838" w:orient="portrait"/>
          <w:cols w:equalWidth="0" w:num="1">
            <w:col w:w="11420"/>
          </w:cols>
          <w:pgMar w:left="240" w:top="337" w:right="239" w:bottom="0" w:gutter="0" w:footer="0" w:header="0"/>
          <w:type w:val="continuous"/>
        </w:sectPr>
      </w:pPr>
    </w:p>
    <w:p>
      <w:pPr>
        <w:spacing w:after="0" w:line="23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Fax:</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7"/>
          <w:szCs w:val="17"/>
          <w:color w:val="auto"/>
        </w:rPr>
        <w:t>Attention:</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[11th Floor, Zhongqing Building, No.4 Qiyang Road, Wangjing, Beijing, China]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[+86-10-6067 6889]</w:t>
      </w:r>
    </w:p>
    <w:p>
      <w:pPr>
        <w:spacing w:after="0" w:line="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[Mr. LI Ya (</w:t>
        <w:tab/>
        <w:t>)]</w:t>
      </w:r>
    </w:p>
    <w:p>
      <w:pPr>
        <w:spacing w:after="0" w:line="200" w:lineRule="exact"/>
        <w:rPr>
          <w:sz w:val="20"/>
          <w:szCs w:val="20"/>
          <w:color w:val="auto"/>
        </w:rPr>
      </w:pPr>
    </w:p>
    <w:p>
      <w:pPr>
        <w:sectPr>
          <w:pgSz w:w="11900" w:h="16838" w:orient="portrait"/>
          <w:cols w:equalWidth="0" w:num="2">
            <w:col w:w="2120" w:space="460"/>
            <w:col w:w="8840"/>
          </w:cols>
          <w:pgMar w:left="240" w:top="337" w:right="239" w:bottom="0" w:gutter="0" w:footer="0" w:header="0"/>
          <w:type w:val="continuous"/>
        </w:sectPr>
      </w:pPr>
    </w:p>
    <w:p>
      <w:pPr>
        <w:spacing w:after="0" w:line="7" w:lineRule="exact"/>
        <w:rPr>
          <w:sz w:val="20"/>
          <w:szCs w:val="20"/>
          <w:color w:val="auto"/>
        </w:rPr>
      </w:pPr>
    </w:p>
    <w:p>
      <w:pPr>
        <w:ind w:left="640" w:right="400"/>
        <w:spacing w:after="0" w:line="282" w:lineRule="auto"/>
        <w:rPr>
          <w:sz w:val="20"/>
          <w:szCs w:val="20"/>
          <w:color w:val="auto"/>
        </w:rPr>
      </w:pPr>
      <w:r>
        <w:rPr>
          <w:rFonts w:ascii="Times New Roman" w:cs="Times New Roman" w:eastAsia="Times New Roman" w:hAnsi="Times New Roman"/>
          <w:sz w:val="18"/>
          <w:szCs w:val="18"/>
          <w:color w:val="auto"/>
        </w:rPr>
        <w:t>or any substitute address, fax number or department or officer as the Party may notify to the other Party by not less than five (5) Business Days’ notice.</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23.3</w:t>
      </w:r>
      <w:r>
        <w:rPr>
          <w:sz w:val="20"/>
          <w:szCs w:val="20"/>
          <w:color w:val="auto"/>
        </w:rPr>
        <w:tab/>
      </w:r>
      <w:r>
        <w:rPr>
          <w:rFonts w:ascii="Times New Roman" w:cs="Times New Roman" w:eastAsia="Times New Roman" w:hAnsi="Times New Roman"/>
          <w:sz w:val="18"/>
          <w:szCs w:val="18"/>
          <w:b w:val="1"/>
          <w:bCs w:val="1"/>
          <w:color w:val="auto"/>
        </w:rPr>
        <w:t>Delivery</w:t>
      </w:r>
    </w:p>
    <w:p>
      <w:pPr>
        <w:spacing w:after="0" w:line="229" w:lineRule="exact"/>
        <w:rPr>
          <w:sz w:val="20"/>
          <w:szCs w:val="20"/>
          <w:color w:val="auto"/>
        </w:rPr>
      </w:pPr>
    </w:p>
    <w:p>
      <w:pPr>
        <w:ind w:left="1400" w:right="100" w:hanging="744"/>
        <w:spacing w:after="0" w:line="282" w:lineRule="auto"/>
        <w:tabs>
          <w:tab w:leader="none" w:pos="1410" w:val="left"/>
        </w:tabs>
        <w:numPr>
          <w:ilvl w:val="0"/>
          <w:numId w:val="3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communication or document made or delivered by one person to another under or in connection with the Finance Documents will be effective:</w:t>
      </w:r>
    </w:p>
    <w:p>
      <w:pPr>
        <w:spacing w:after="0" w:line="161" w:lineRule="exact"/>
        <w:rPr>
          <w:rFonts w:ascii="Times New Roman" w:cs="Times New Roman" w:eastAsia="Times New Roman" w:hAnsi="Times New Roman"/>
          <w:sz w:val="18"/>
          <w:szCs w:val="18"/>
          <w:b w:val="1"/>
          <w:bCs w:val="1"/>
          <w:color w:val="auto"/>
        </w:rPr>
      </w:pPr>
    </w:p>
    <w:p>
      <w:pPr>
        <w:ind w:left="2140" w:hanging="733"/>
        <w:spacing w:after="0"/>
        <w:tabs>
          <w:tab w:leader="none" w:pos="2140"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way of fax, only when received in legible form; or</w:t>
      </w:r>
    </w:p>
    <w:p>
      <w:pPr>
        <w:spacing w:after="0" w:line="225" w:lineRule="exact"/>
        <w:rPr>
          <w:rFonts w:ascii="Times New Roman" w:cs="Times New Roman" w:eastAsia="Times New Roman" w:hAnsi="Times New Roman"/>
          <w:sz w:val="18"/>
          <w:szCs w:val="18"/>
          <w:color w:val="auto"/>
        </w:rPr>
      </w:pPr>
    </w:p>
    <w:p>
      <w:pPr>
        <w:ind w:left="2120" w:right="180" w:hanging="713"/>
        <w:spacing w:after="0" w:line="282" w:lineRule="auto"/>
        <w:tabs>
          <w:tab w:leader="none" w:pos="2146"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way of letter, only when it has been left at the relevant address or five (5) Business Days after being deposited in the post postage prepaid in an envelope addressed to it at that address;</w:t>
      </w:r>
    </w:p>
    <w:p>
      <w:pPr>
        <w:spacing w:after="0" w:line="160" w:lineRule="exact"/>
        <w:rPr>
          <w:sz w:val="20"/>
          <w:szCs w:val="20"/>
          <w:color w:val="auto"/>
        </w:rPr>
      </w:pPr>
    </w:p>
    <w:p>
      <w:pPr>
        <w:ind w:left="1400" w:right="180"/>
        <w:spacing w:after="0" w:line="284" w:lineRule="auto"/>
        <w:rPr>
          <w:sz w:val="20"/>
          <w:szCs w:val="20"/>
          <w:color w:val="auto"/>
        </w:rPr>
      </w:pPr>
      <w:r>
        <w:rPr>
          <w:rFonts w:ascii="Times New Roman" w:cs="Times New Roman" w:eastAsia="Times New Roman" w:hAnsi="Times New Roman"/>
          <w:sz w:val="18"/>
          <w:szCs w:val="18"/>
          <w:color w:val="auto"/>
        </w:rPr>
        <w:t>and, if a particular department or officer is specified as part of its address details provided under Clause 23.2 (</w:t>
      </w:r>
      <w:r>
        <w:rPr>
          <w:rFonts w:ascii="Times New Roman" w:cs="Times New Roman" w:eastAsia="Times New Roman" w:hAnsi="Times New Roman"/>
          <w:sz w:val="18"/>
          <w:szCs w:val="18"/>
          <w:i w:val="1"/>
          <w:iCs w:val="1"/>
          <w:color w:val="auto"/>
        </w:rPr>
        <w:t>Addresses</w:t>
      </w:r>
      <w:r>
        <w:rPr>
          <w:rFonts w:ascii="Times New Roman" w:cs="Times New Roman" w:eastAsia="Times New Roman" w:hAnsi="Times New Roman"/>
          <w:sz w:val="18"/>
          <w:szCs w:val="18"/>
          <w:color w:val="auto"/>
        </w:rPr>
        <w:t>), if addressed to that department or officer.</w:t>
      </w:r>
    </w:p>
    <w:p>
      <w:pPr>
        <w:spacing w:after="0" w:line="160" w:lineRule="exact"/>
        <w:rPr>
          <w:sz w:val="20"/>
          <w:szCs w:val="20"/>
          <w:color w:val="auto"/>
        </w:rPr>
      </w:pPr>
    </w:p>
    <w:p>
      <w:pPr>
        <w:ind w:left="1400" w:right="80" w:hanging="744"/>
        <w:spacing w:after="0" w:line="282" w:lineRule="auto"/>
        <w:tabs>
          <w:tab w:leader="none" w:pos="1420" w:val="left"/>
        </w:tabs>
        <w:numPr>
          <w:ilvl w:val="0"/>
          <w:numId w:val="3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communication or document made or delivered to the Borrower in accordance with this Clause will be deemed to have been made or delivered to the other Obligors.</w:t>
      </w:r>
    </w:p>
    <w:p>
      <w:pPr>
        <w:spacing w:after="0" w:line="161" w:lineRule="exact"/>
        <w:rPr>
          <w:rFonts w:ascii="Times New Roman" w:cs="Times New Roman" w:eastAsia="Times New Roman" w:hAnsi="Times New Roman"/>
          <w:sz w:val="18"/>
          <w:szCs w:val="18"/>
          <w:b w:val="1"/>
          <w:bCs w:val="1"/>
          <w:color w:val="auto"/>
        </w:rPr>
      </w:pPr>
    </w:p>
    <w:p>
      <w:pPr>
        <w:ind w:left="1400" w:right="60" w:hanging="744"/>
        <w:spacing w:after="0" w:line="282" w:lineRule="auto"/>
        <w:tabs>
          <w:tab w:leader="none" w:pos="1413" w:val="left"/>
        </w:tabs>
        <w:numPr>
          <w:ilvl w:val="0"/>
          <w:numId w:val="3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communication or document which becomes effective, in accordance with sub-clauses (a) to (b) above, after 5.00 p.m. in the place of receipt shall be deemed only to become effective on the following day.</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23.4</w:t>
      </w:r>
      <w:r>
        <w:rPr>
          <w:sz w:val="20"/>
          <w:szCs w:val="20"/>
          <w:color w:val="auto"/>
        </w:rPr>
        <w:tab/>
      </w:r>
      <w:r>
        <w:rPr>
          <w:rFonts w:ascii="Times New Roman" w:cs="Times New Roman" w:eastAsia="Times New Roman" w:hAnsi="Times New Roman"/>
          <w:sz w:val="17"/>
          <w:szCs w:val="17"/>
          <w:b w:val="1"/>
          <w:bCs w:val="1"/>
          <w:color w:val="auto"/>
        </w:rPr>
        <w:t>Electronic communication</w:t>
      </w:r>
    </w:p>
    <w:p>
      <w:pPr>
        <w:spacing w:after="0" w:line="229" w:lineRule="exact"/>
        <w:rPr>
          <w:sz w:val="20"/>
          <w:szCs w:val="20"/>
          <w:color w:val="auto"/>
        </w:rPr>
      </w:pPr>
    </w:p>
    <w:p>
      <w:pPr>
        <w:ind w:left="1400" w:right="140" w:hanging="744"/>
        <w:spacing w:after="0" w:line="266" w:lineRule="auto"/>
        <w:tabs>
          <w:tab w:leader="none" w:pos="1410" w:val="left"/>
        </w:tabs>
        <w:numPr>
          <w:ilvl w:val="0"/>
          <w:numId w:val="3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communication to be made between any two Parties under or in connection with the Finance Documents may be made by electronic mail or other electronic means to the extent that those two Parties agree that, unless and until notified to the contrary, this is to be an accepted form of communication; and if those two Parties:</w:t>
      </w:r>
    </w:p>
    <w:p>
      <w:pPr>
        <w:spacing w:after="0" w:line="176" w:lineRule="exact"/>
        <w:rPr>
          <w:rFonts w:ascii="Times New Roman" w:cs="Times New Roman" w:eastAsia="Times New Roman" w:hAnsi="Times New Roman"/>
          <w:sz w:val="18"/>
          <w:szCs w:val="18"/>
          <w:b w:val="1"/>
          <w:bCs w:val="1"/>
          <w:color w:val="auto"/>
        </w:rPr>
      </w:pPr>
    </w:p>
    <w:p>
      <w:pPr>
        <w:ind w:left="1840" w:right="140" w:hanging="367"/>
        <w:spacing w:after="0" w:line="282" w:lineRule="auto"/>
        <w:tabs>
          <w:tab w:leader="none" w:pos="1850" w:val="left"/>
        </w:tabs>
        <w:numPr>
          <w:ilvl w:val="1"/>
          <w:numId w:val="3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notify each other in writing of their electronic mail address and/or any other information required to enable the sending and receipt of information by that means; and</w:t>
      </w:r>
    </w:p>
    <w:p>
      <w:pPr>
        <w:spacing w:after="0" w:line="161" w:lineRule="exact"/>
        <w:rPr>
          <w:rFonts w:ascii="Times New Roman" w:cs="Times New Roman" w:eastAsia="Times New Roman" w:hAnsi="Times New Roman"/>
          <w:sz w:val="18"/>
          <w:szCs w:val="18"/>
          <w:b w:val="1"/>
          <w:bCs w:val="1"/>
          <w:color w:val="auto"/>
        </w:rPr>
      </w:pPr>
    </w:p>
    <w:p>
      <w:pPr>
        <w:ind w:left="1840" w:right="240" w:hanging="367"/>
        <w:spacing w:after="0" w:line="282" w:lineRule="auto"/>
        <w:tabs>
          <w:tab w:leader="none" w:pos="1846" w:val="left"/>
        </w:tabs>
        <w:numPr>
          <w:ilvl w:val="1"/>
          <w:numId w:val="3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notify each other of any change to their address or any other such information supplied by them by not less than five (5) Business Days’ notice.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0" w:hanging="744"/>
        <w:spacing w:after="0" w:line="266" w:lineRule="auto"/>
        <w:tabs>
          <w:tab w:leader="none" w:pos="1420" w:val="left"/>
        </w:tabs>
        <w:numPr>
          <w:ilvl w:val="1"/>
          <w:numId w:val="3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electronic communication made between those two Parties will be effective only when actually received in readable form and in the case of any electronic communication made by a Party to the Lender only if it is addressed in such a manner as the Lender shall specify for this purpose.</w:t>
      </w:r>
    </w:p>
    <w:p>
      <w:pPr>
        <w:spacing w:after="0" w:line="176" w:lineRule="exact"/>
        <w:rPr>
          <w:rFonts w:ascii="Times New Roman" w:cs="Times New Roman" w:eastAsia="Times New Roman" w:hAnsi="Times New Roman"/>
          <w:sz w:val="18"/>
          <w:szCs w:val="18"/>
          <w:b w:val="1"/>
          <w:bCs w:val="1"/>
          <w:color w:val="auto"/>
        </w:rPr>
      </w:pPr>
    </w:p>
    <w:p>
      <w:pPr>
        <w:ind w:left="1400" w:right="260" w:hanging="744"/>
        <w:spacing w:after="0" w:line="282" w:lineRule="auto"/>
        <w:tabs>
          <w:tab w:leader="none" w:pos="1413" w:val="left"/>
        </w:tabs>
        <w:numPr>
          <w:ilvl w:val="1"/>
          <w:numId w:val="3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electronic communication which becomes effective, in accordance with paragraph (b) above, after 5.00 p.m. in the place of receipt shall be deemed only to become effective on the following day.</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CALCULATIONS AND CERTIFICATES</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24.1</w:t>
      </w:r>
      <w:r>
        <w:rPr>
          <w:sz w:val="20"/>
          <w:szCs w:val="20"/>
          <w:color w:val="auto"/>
        </w:rPr>
        <w:tab/>
      </w:r>
      <w:r>
        <w:rPr>
          <w:rFonts w:ascii="Times New Roman" w:cs="Times New Roman" w:eastAsia="Times New Roman" w:hAnsi="Times New Roman"/>
          <w:sz w:val="18"/>
          <w:szCs w:val="18"/>
          <w:b w:val="1"/>
          <w:bCs w:val="1"/>
          <w:color w:val="auto"/>
        </w:rPr>
        <w:t>Accounts</w:t>
      </w:r>
    </w:p>
    <w:p>
      <w:pPr>
        <w:spacing w:after="0" w:line="229"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In any litigation or arbitration proceedings arising out of or in connection with a Finance Document, the entries made in the accounts maintained by the Lender are prima facie evidence of the matters to which they relate.</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24.2</w:t>
      </w:r>
      <w:r>
        <w:rPr>
          <w:sz w:val="20"/>
          <w:szCs w:val="20"/>
          <w:color w:val="auto"/>
        </w:rPr>
        <w:tab/>
      </w:r>
      <w:r>
        <w:rPr>
          <w:rFonts w:ascii="Times New Roman" w:cs="Times New Roman" w:eastAsia="Times New Roman" w:hAnsi="Times New Roman"/>
          <w:sz w:val="17"/>
          <w:szCs w:val="17"/>
          <w:b w:val="1"/>
          <w:bCs w:val="1"/>
          <w:color w:val="auto"/>
        </w:rPr>
        <w:t>Certificates and Determinations</w:t>
      </w:r>
    </w:p>
    <w:p>
      <w:pPr>
        <w:spacing w:after="0" w:line="229" w:lineRule="exact"/>
        <w:rPr>
          <w:sz w:val="20"/>
          <w:szCs w:val="20"/>
          <w:color w:val="auto"/>
        </w:rPr>
      </w:pPr>
    </w:p>
    <w:p>
      <w:pPr>
        <w:ind w:left="660" w:right="280"/>
        <w:spacing w:after="0" w:line="282" w:lineRule="auto"/>
        <w:rPr>
          <w:sz w:val="20"/>
          <w:szCs w:val="20"/>
          <w:color w:val="auto"/>
        </w:rPr>
      </w:pPr>
      <w:r>
        <w:rPr>
          <w:rFonts w:ascii="Times New Roman" w:cs="Times New Roman" w:eastAsia="Times New Roman" w:hAnsi="Times New Roman"/>
          <w:sz w:val="18"/>
          <w:szCs w:val="18"/>
          <w:color w:val="auto"/>
        </w:rPr>
        <w:t>Any certification or determination by the Lender of a rate or amount under any Finance Document is, in the absence of manifest error, conclusive evidence of the matters to which it relates.</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24.3</w:t>
      </w:r>
      <w:r>
        <w:rPr>
          <w:sz w:val="20"/>
          <w:szCs w:val="20"/>
          <w:color w:val="auto"/>
        </w:rPr>
        <w:tab/>
      </w:r>
      <w:r>
        <w:rPr>
          <w:rFonts w:ascii="Times New Roman" w:cs="Times New Roman" w:eastAsia="Times New Roman" w:hAnsi="Times New Roman"/>
          <w:sz w:val="18"/>
          <w:szCs w:val="18"/>
          <w:b w:val="1"/>
          <w:bCs w:val="1"/>
          <w:color w:val="auto"/>
        </w:rPr>
        <w:t>Day count convention</w:t>
      </w:r>
    </w:p>
    <w:p>
      <w:pPr>
        <w:spacing w:after="0" w:line="229"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Any interest, commission or fee accruing under a Finance Document will accrue from day to day and is calculated on the basis of the actual number of days elapsed and a year of 360 days.</w:t>
      </w:r>
    </w:p>
    <w:p>
      <w:pPr>
        <w:spacing w:after="0" w:line="158" w:lineRule="exact"/>
        <w:rPr>
          <w:sz w:val="20"/>
          <w:szCs w:val="20"/>
          <w:color w:val="auto"/>
        </w:rPr>
      </w:pPr>
    </w:p>
    <w:p>
      <w:pPr>
        <w:ind w:left="660" w:hanging="652"/>
        <w:spacing w:after="0"/>
        <w:tabs>
          <w:tab w:leader="none" w:pos="660" w:val="left"/>
        </w:tabs>
        <w:numPr>
          <w:ilvl w:val="0"/>
          <w:numId w:val="3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PARTIAL INVALIDITY</w:t>
      </w:r>
    </w:p>
    <w:p>
      <w:pPr>
        <w:sectPr>
          <w:pgSz w:w="11900" w:h="16838" w:orient="portrait"/>
          <w:cols w:equalWidth="0" w:num="1">
            <w:col w:w="11420"/>
          </w:cols>
          <w:pgMar w:left="240" w:top="337" w:right="239" w:bottom="0" w:gutter="0" w:footer="0" w:header="0"/>
          <w:type w:val="continuous"/>
        </w:sectPr>
      </w:pPr>
    </w:p>
    <w:bookmarkStart w:id="186" w:name="page187"/>
    <w:bookmarkEnd w:id="186"/>
    <w:p>
      <w:pPr>
        <w:ind w:left="660" w:right="300"/>
        <w:spacing w:after="0" w:line="266" w:lineRule="auto"/>
        <w:rPr>
          <w:sz w:val="20"/>
          <w:szCs w:val="20"/>
          <w:color w:val="auto"/>
        </w:rPr>
      </w:pPr>
      <w:r>
        <w:rPr>
          <w:rFonts w:ascii="Times New Roman" w:cs="Times New Roman" w:eastAsia="Times New Roman" w:hAnsi="Times New Roman"/>
          <w:sz w:val="18"/>
          <w:szCs w:val="18"/>
          <w:color w:val="auto"/>
        </w:rPr>
        <w:t>If, at any time, any provision of the Finance Documents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172" w:lineRule="exact"/>
        <w:rPr>
          <w:sz w:val="20"/>
          <w:szCs w:val="20"/>
          <w:color w:val="auto"/>
        </w:rPr>
      </w:pPr>
    </w:p>
    <w:p>
      <w:pPr>
        <w:ind w:left="660" w:hanging="652"/>
        <w:spacing w:after="0"/>
        <w:tabs>
          <w:tab w:leader="none" w:pos="660" w:val="left"/>
        </w:tabs>
        <w:numPr>
          <w:ilvl w:val="0"/>
          <w:numId w:val="3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REMEDIES AND WAIVERS</w:t>
      </w:r>
    </w:p>
    <w:p>
      <w:pPr>
        <w:spacing w:after="0" w:line="229" w:lineRule="exact"/>
        <w:rPr>
          <w:rFonts w:ascii="Times New Roman" w:cs="Times New Roman" w:eastAsia="Times New Roman" w:hAnsi="Times New Roman"/>
          <w:sz w:val="18"/>
          <w:szCs w:val="18"/>
          <w:b w:val="1"/>
          <w:bCs w:val="1"/>
          <w:color w:val="auto"/>
        </w:rPr>
      </w:pPr>
    </w:p>
    <w:p>
      <w:pPr>
        <w:ind w:left="660" w:right="2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failure to exercise, nor any delay in exercising, on the part of the Lender, any right or remedy under the Finance Documents shall operate as a waiver of any such right or remedy or constitute an election to affirm any of the Finance Documents. No election to affirm any of the Finance Documents on the part of the Lender shall be effective unless it is in writing. No single or partial exercise of any right or remedy shall prevent any further or other exercise or the exercise of any other right or remedy. The rights and remedies provided in this Agreement are cumulative and not exclusive of any rights or remedies provided by law.</w:t>
      </w:r>
    </w:p>
    <w:p>
      <w:pPr>
        <w:spacing w:after="0" w:line="17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AND WAIVERS</w:t>
      </w:r>
    </w:p>
    <w:p>
      <w:pPr>
        <w:spacing w:after="0" w:line="229" w:lineRule="exact"/>
        <w:rPr>
          <w:rFonts w:ascii="Times New Roman" w:cs="Times New Roman" w:eastAsia="Times New Roman" w:hAnsi="Times New Roman"/>
          <w:sz w:val="18"/>
          <w:szCs w:val="18"/>
          <w:b w:val="1"/>
          <w:bCs w:val="1"/>
          <w:color w:val="auto"/>
        </w:rPr>
      </w:pPr>
    </w:p>
    <w:p>
      <w:pPr>
        <w:ind w:left="660" w:right="2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term of the Finance Documents may be amended or waived only with the consent of the Lender and the Obligors and any such amendment or waiver will be binding on all Parties.</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Each Finance Document may be executed in any number of counterparts, and this has the same effect as if the signatures on the counterparts were on a single copy of the Finance Document.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3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CONSENTS</w:t>
      </w:r>
    </w:p>
    <w:p>
      <w:pPr>
        <w:spacing w:after="0" w:line="229" w:lineRule="exact"/>
        <w:rPr>
          <w:rFonts w:ascii="Times New Roman" w:cs="Times New Roman" w:eastAsia="Times New Roman" w:hAnsi="Times New Roman"/>
          <w:sz w:val="18"/>
          <w:szCs w:val="18"/>
          <w:b w:val="1"/>
          <w:bCs w:val="1"/>
          <w:color w:val="auto"/>
        </w:rPr>
      </w:pPr>
    </w:p>
    <w:p>
      <w:pPr>
        <w:ind w:left="660" w:right="10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For the avoidance of doubt, by entering into this Agreement, the Lender shall be deemed to have granted such consent(s) as may be required from the Lender in connection with the transactions contemplated by this Agreement under any previous agreements between the Lender and the Oligors.</w:t>
      </w:r>
    </w:p>
    <w:p>
      <w:pPr>
        <w:spacing w:after="0" w:line="134"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229" w:lineRule="exact"/>
        <w:rPr>
          <w:rFonts w:ascii="Times New Roman" w:cs="Times New Roman" w:eastAsia="Times New Roman" w:hAnsi="Times New Roman"/>
          <w:sz w:val="18"/>
          <w:szCs w:val="18"/>
          <w:b w:val="1"/>
          <w:bCs w:val="1"/>
          <w:color w:val="auto"/>
        </w:rPr>
      </w:pPr>
    </w:p>
    <w:p>
      <w:pPr>
        <w:ind w:left="660" w:right="1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and all non-contractual obligations arising from or in connection with this Agreement, are governed by, and construed exclusively in accordance with, the laws of Hong Kong.</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DISPUTE RESOLUTION</w:t>
      </w:r>
    </w:p>
    <w:p>
      <w:pPr>
        <w:spacing w:after="0" w:line="229" w:lineRule="exact"/>
        <w:rPr>
          <w:rFonts w:ascii="Times New Roman" w:cs="Times New Roman" w:eastAsia="Times New Roman" w:hAnsi="Times New Roman"/>
          <w:sz w:val="18"/>
          <w:szCs w:val="18"/>
          <w:b w:val="1"/>
          <w:bCs w:val="1"/>
          <w:color w:val="auto"/>
        </w:rPr>
      </w:pPr>
    </w:p>
    <w:p>
      <w:pPr>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disputes and controversies arising out of or in connection with this Agreement (including a dispute regarding the existence, validity or termination of this Agreement) shall be referred to and finally settled by arbitration at the Hong Kong International Arbitration Centre in accordance with the UNCITRAL Arbitration Rules (the “</w:t>
      </w:r>
      <w:r>
        <w:rPr>
          <w:rFonts w:ascii="Times New Roman" w:cs="Times New Roman" w:eastAsia="Times New Roman" w:hAnsi="Times New Roman"/>
          <w:sz w:val="18"/>
          <w:szCs w:val="18"/>
          <w:b w:val="1"/>
          <w:bCs w:val="1"/>
          <w:color w:val="auto"/>
        </w:rPr>
        <w:t>UNCITRAL Rules</w:t>
      </w:r>
      <w:r>
        <w:rPr>
          <w:rFonts w:ascii="Times New Roman" w:cs="Times New Roman" w:eastAsia="Times New Roman" w:hAnsi="Times New Roman"/>
          <w:sz w:val="18"/>
          <w:szCs w:val="18"/>
          <w:color w:val="auto"/>
        </w:rPr>
        <w:t>”) in effect, which rules are deemed to be incorporated by reference into this Clause 30. The arbitration tribunal shall consist of three arbitrators to be appointed according to the UNCITRAL Rules. The language of the arbitration shall be English.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Agreement has been entered into on the date stated at the beginning of this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For execution by the Borrower</w:t>
            </w:r>
          </w:p>
        </w:tc>
        <w:tc>
          <w:tcPr>
            <w:tcW w:w="2020" w:type="dxa"/>
            <w:vAlign w:val="bottom"/>
          </w:tcPr>
          <w:p>
            <w:pPr>
              <w:spacing w:after="0"/>
              <w:rPr>
                <w:sz w:val="20"/>
                <w:szCs w:val="20"/>
                <w:color w:val="auto"/>
              </w:rPr>
            </w:pPr>
          </w:p>
        </w:tc>
        <w:tc>
          <w:tcPr>
            <w:tcW w:w="5320" w:type="dxa"/>
            <w:vAlign w:val="bottom"/>
          </w:tcPr>
          <w:p>
            <w:pPr>
              <w:spacing w:after="0"/>
              <w:rPr>
                <w:sz w:val="20"/>
                <w:szCs w:val="20"/>
                <w:color w:val="auto"/>
              </w:rPr>
            </w:pPr>
          </w:p>
        </w:tc>
      </w:tr>
      <w:tr>
        <w:trPr>
          <w:trHeight w:val="630"/>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and DELIVERED </w:t>
            </w:r>
            <w:r>
              <w:rPr>
                <w:rFonts w:ascii="Times New Roman" w:cs="Times New Roman" w:eastAsia="Times New Roman" w:hAnsi="Times New Roman"/>
                <w:sz w:val="18"/>
                <w:szCs w:val="18"/>
                <w:color w:val="auto"/>
              </w:rPr>
              <w:t>by</w:t>
            </w:r>
          </w:p>
        </w:tc>
        <w:tc>
          <w:tcPr>
            <w:tcW w:w="20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spacing w:after="0"/>
              <w:rPr>
                <w:sz w:val="24"/>
                <w:szCs w:val="24"/>
                <w:color w:val="auto"/>
              </w:rPr>
            </w:pPr>
          </w:p>
        </w:tc>
      </w:tr>
      <w:tr>
        <w:trPr>
          <w:trHeight w:val="216"/>
        </w:trPr>
        <w:tc>
          <w:tcPr>
            <w:tcW w:w="4080" w:type="dxa"/>
            <w:vAlign w:val="bottom"/>
          </w:tcPr>
          <w:p>
            <w:pPr>
              <w:spacing w:after="0"/>
              <w:rPr>
                <w:sz w:val="18"/>
                <w:szCs w:val="18"/>
                <w:color w:val="auto"/>
              </w:rPr>
            </w:pPr>
          </w:p>
        </w:tc>
        <w:tc>
          <w:tcPr>
            <w:tcW w:w="20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spacing w:after="0"/>
              <w:rPr>
                <w:sz w:val="18"/>
                <w:szCs w:val="18"/>
                <w:color w:val="auto"/>
              </w:rPr>
            </w:pPr>
          </w:p>
        </w:tc>
      </w:tr>
      <w:tr>
        <w:trPr>
          <w:trHeight w:val="212"/>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20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spacing w:after="0"/>
              <w:rPr>
                <w:sz w:val="18"/>
                <w:szCs w:val="18"/>
                <w:color w:val="auto"/>
              </w:rPr>
            </w:pPr>
          </w:p>
        </w:tc>
      </w:tr>
      <w:tr>
        <w:trPr>
          <w:trHeight w:val="238"/>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PARTICLE INC.</w:t>
            </w:r>
          </w:p>
        </w:tc>
        <w:tc>
          <w:tcPr>
            <w:tcW w:w="20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YA LI</w:t>
            </w:r>
          </w:p>
        </w:tc>
      </w:tr>
      <w:tr>
        <w:trPr>
          <w:trHeight w:val="426"/>
        </w:trPr>
        <w:tc>
          <w:tcPr>
            <w:tcW w:w="40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 / AUTHORISED SIGNATORY</w:t>
            </w:r>
          </w:p>
        </w:tc>
      </w:tr>
      <w:tr>
        <w:trPr>
          <w:trHeight w:val="648"/>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For execution by the Covenantors</w:t>
            </w:r>
          </w:p>
        </w:tc>
        <w:tc>
          <w:tcPr>
            <w:tcW w:w="2020" w:type="dxa"/>
            <w:vAlign w:val="bottom"/>
          </w:tcPr>
          <w:p>
            <w:pPr>
              <w:spacing w:after="0"/>
              <w:rPr>
                <w:sz w:val="24"/>
                <w:szCs w:val="24"/>
                <w:color w:val="auto"/>
              </w:rPr>
            </w:pPr>
          </w:p>
        </w:tc>
        <w:tc>
          <w:tcPr>
            <w:tcW w:w="5320" w:type="dxa"/>
            <w:vAlign w:val="bottom"/>
          </w:tcPr>
          <w:p>
            <w:pPr>
              <w:spacing w:after="0"/>
              <w:rPr>
                <w:sz w:val="24"/>
                <w:szCs w:val="24"/>
                <w:color w:val="auto"/>
              </w:rPr>
            </w:pPr>
          </w:p>
        </w:tc>
      </w:tr>
      <w:tr>
        <w:trPr>
          <w:trHeight w:val="630"/>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and DELIVERED </w:t>
            </w:r>
            <w:r>
              <w:rPr>
                <w:rFonts w:ascii="Times New Roman" w:cs="Times New Roman" w:eastAsia="Times New Roman" w:hAnsi="Times New Roman"/>
                <w:sz w:val="18"/>
                <w:szCs w:val="18"/>
                <w:color w:val="auto"/>
              </w:rPr>
              <w:t>by</w:t>
            </w:r>
          </w:p>
        </w:tc>
        <w:tc>
          <w:tcPr>
            <w:tcW w:w="20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spacing w:after="0"/>
              <w:rPr>
                <w:sz w:val="24"/>
                <w:szCs w:val="24"/>
                <w:color w:val="auto"/>
              </w:rPr>
            </w:pPr>
          </w:p>
        </w:tc>
      </w:tr>
      <w:tr>
        <w:trPr>
          <w:trHeight w:val="216"/>
        </w:trPr>
        <w:tc>
          <w:tcPr>
            <w:tcW w:w="4080" w:type="dxa"/>
            <w:vAlign w:val="bottom"/>
          </w:tcPr>
          <w:p>
            <w:pPr>
              <w:spacing w:after="0"/>
              <w:rPr>
                <w:sz w:val="18"/>
                <w:szCs w:val="18"/>
                <w:color w:val="auto"/>
              </w:rPr>
            </w:pPr>
          </w:p>
        </w:tc>
        <w:tc>
          <w:tcPr>
            <w:tcW w:w="20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spacing w:after="0"/>
              <w:rPr>
                <w:sz w:val="18"/>
                <w:szCs w:val="18"/>
                <w:color w:val="auto"/>
              </w:rPr>
            </w:pPr>
          </w:p>
        </w:tc>
      </w:tr>
      <w:tr>
        <w:trPr>
          <w:trHeight w:val="212"/>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20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spacing w:after="0"/>
              <w:rPr>
                <w:sz w:val="18"/>
                <w:szCs w:val="18"/>
                <w:color w:val="auto"/>
              </w:rPr>
            </w:pPr>
          </w:p>
        </w:tc>
      </w:tr>
      <w:tr>
        <w:trPr>
          <w:trHeight w:val="238"/>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PARTICLE (HK) LIMITED</w:t>
            </w:r>
          </w:p>
        </w:tc>
        <w:tc>
          <w:tcPr>
            <w:tcW w:w="20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ZHAOHUI ZHENG</w:t>
            </w:r>
          </w:p>
        </w:tc>
      </w:tr>
      <w:tr>
        <w:trPr>
          <w:trHeight w:val="426"/>
        </w:trPr>
        <w:tc>
          <w:tcPr>
            <w:tcW w:w="40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 / AUTHORISED SIGNATORY</w:t>
            </w:r>
          </w:p>
        </w:tc>
      </w:tr>
    </w:tbl>
    <w:p>
      <w:pPr>
        <w:sectPr>
          <w:pgSz w:w="11900" w:h="16838" w:orient="portrait"/>
          <w:cols w:equalWidth="0" w:num="1">
            <w:col w:w="11420"/>
          </w:cols>
          <w:pgMar w:left="240" w:top="337" w:right="239" w:bottom="198" w:gutter="0" w:footer="0" w:header="0"/>
        </w:sectPr>
      </w:pPr>
    </w:p>
    <w:bookmarkStart w:id="187" w:name="page188"/>
    <w:bookmarkEnd w:id="1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and DELIVERED </w:t>
            </w:r>
            <w:r>
              <w:rPr>
                <w:rFonts w:ascii="Times New Roman" w:cs="Times New Roman" w:eastAsia="Times New Roman" w:hAnsi="Times New Roman"/>
                <w:sz w:val="18"/>
                <w:szCs w:val="18"/>
                <w:color w:val="auto"/>
              </w:rPr>
              <w:t>by</w:t>
            </w: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spacing w:after="0"/>
              <w:rPr>
                <w:sz w:val="19"/>
                <w:szCs w:val="19"/>
                <w:color w:val="auto"/>
              </w:rPr>
            </w:pPr>
          </w:p>
        </w:tc>
      </w:tr>
      <w:tr>
        <w:trPr>
          <w:trHeight w:val="216"/>
        </w:trPr>
        <w:tc>
          <w:tcPr>
            <w:tcW w:w="7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spacing w:after="0"/>
              <w:rPr>
                <w:sz w:val="18"/>
                <w:szCs w:val="18"/>
                <w:color w:val="auto"/>
              </w:rPr>
            </w:pPr>
          </w:p>
        </w:tc>
      </w:tr>
      <w:tr>
        <w:trPr>
          <w:trHeight w:val="21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spacing w:after="0"/>
              <w:rPr>
                <w:sz w:val="18"/>
                <w:szCs w:val="18"/>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BEIJING PARTICLE INFORMATION</w:t>
            </w: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spacing w:after="0"/>
              <w:rPr>
                <w:sz w:val="18"/>
                <w:szCs w:val="18"/>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TECHNOLOGY CO., LTD.</w:t>
            </w: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spacing w:after="0"/>
              <w:rPr>
                <w:sz w:val="18"/>
                <w:szCs w:val="18"/>
                <w:color w:val="auto"/>
              </w:rPr>
            </w:pPr>
          </w:p>
        </w:tc>
      </w:t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80" w:type="dxa"/>
            <w:vAlign w:val="bottom"/>
          </w:tcPr>
          <w:p>
            <w:pPr>
              <w:jc w:val="right"/>
              <w:ind w:right="267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YA LI</w:t>
            </w:r>
          </w:p>
        </w:tc>
      </w:tr>
      <w:tr>
        <w:trPr>
          <w:trHeight w:val="426"/>
        </w:trPr>
        <w:tc>
          <w:tcPr>
            <w:tcW w:w="7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 / AUTHORISED SIGNATORY</w:t>
            </w:r>
          </w:p>
        </w:tc>
      </w:tr>
      <w:tr>
        <w:trPr>
          <w:trHeight w:val="6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and DELIVERED </w:t>
            </w:r>
            <w:r>
              <w:rPr>
                <w:rFonts w:ascii="Times New Roman" w:cs="Times New Roman" w:eastAsia="Times New Roman" w:hAnsi="Times New Roman"/>
                <w:sz w:val="18"/>
                <w:szCs w:val="18"/>
                <w:color w:val="auto"/>
              </w:rPr>
              <w:t>by</w:t>
            </w: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spacing w:after="0"/>
              <w:rPr>
                <w:sz w:val="18"/>
                <w:szCs w:val="18"/>
                <w:color w:val="auto"/>
              </w:rPr>
            </w:pPr>
          </w:p>
        </w:tc>
      </w:tr>
      <w:tr>
        <w:trPr>
          <w:trHeight w:val="21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spacing w:after="0"/>
              <w:rPr>
                <w:sz w:val="18"/>
                <w:szCs w:val="18"/>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BEIJING YIDIANWANGJU</w:t>
            </w: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spacing w:after="0"/>
              <w:rPr>
                <w:sz w:val="18"/>
                <w:szCs w:val="18"/>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TECHNOLOGY CO., LTD.</w:t>
            </w: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spacing w:after="0"/>
              <w:rPr>
                <w:sz w:val="18"/>
                <w:szCs w:val="18"/>
                <w:color w:val="auto"/>
              </w:rPr>
            </w:pPr>
          </w:p>
        </w:tc>
      </w:t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80" w:type="dxa"/>
            <w:vAlign w:val="bottom"/>
          </w:tcPr>
          <w:p>
            <w:pPr>
              <w:jc w:val="right"/>
              <w:ind w:right="289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YA LI</w:t>
            </w:r>
          </w:p>
        </w:tc>
      </w:tr>
    </w:tbl>
    <w:p>
      <w:pPr>
        <w:spacing w:after="0" w:line="19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DIRECTOR / 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754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SIGNATURE PAGE</w:t>
            </w:r>
          </w:p>
        </w:tc>
        <w:tc>
          <w:tcPr>
            <w:tcW w:w="40" w:type="dxa"/>
            <w:vAlign w:val="bottom"/>
          </w:tcPr>
          <w:p>
            <w:pPr>
              <w:spacing w:after="0"/>
              <w:rPr>
                <w:sz w:val="20"/>
                <w:szCs w:val="20"/>
                <w:color w:val="auto"/>
              </w:rPr>
            </w:pPr>
          </w:p>
        </w:tc>
      </w:tr>
      <w:tr>
        <w:trPr>
          <w:trHeight w:val="432"/>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For execution by the Lender</w:t>
            </w:r>
          </w:p>
        </w:tc>
        <w:tc>
          <w:tcPr>
            <w:tcW w:w="24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30"/>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and DELIVERED </w:t>
            </w:r>
            <w:r>
              <w:rPr>
                <w:rFonts w:ascii="Times New Roman" w:cs="Times New Roman" w:eastAsia="Times New Roman" w:hAnsi="Times New Roman"/>
                <w:sz w:val="18"/>
                <w:szCs w:val="18"/>
                <w:color w:val="auto"/>
              </w:rPr>
              <w:t>by</w:t>
            </w:r>
          </w:p>
        </w:tc>
        <w:tc>
          <w:tcPr>
            <w:tcW w:w="24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5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3880" w:type="dxa"/>
            <w:vAlign w:val="bottom"/>
          </w:tcPr>
          <w:p>
            <w:pPr>
              <w:spacing w:after="0"/>
              <w:rPr>
                <w:sz w:val="18"/>
                <w:szCs w:val="18"/>
                <w:color w:val="auto"/>
              </w:rPr>
            </w:pPr>
          </w:p>
        </w:tc>
        <w:tc>
          <w:tcPr>
            <w:tcW w:w="24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5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24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5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tc>
        <w:tc>
          <w:tcPr>
            <w:tcW w:w="75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    /S/ SHUANG LIU</w:t>
            </w:r>
          </w:p>
        </w:tc>
        <w:tc>
          <w:tcPr>
            <w:tcW w:w="40" w:type="dxa"/>
            <w:vAlign w:val="bottom"/>
          </w:tcPr>
          <w:p>
            <w:pPr>
              <w:spacing w:after="0"/>
              <w:rPr>
                <w:sz w:val="20"/>
                <w:szCs w:val="20"/>
                <w:color w:val="auto"/>
              </w:rPr>
            </w:pPr>
          </w:p>
        </w:tc>
      </w:tr>
      <w:tr>
        <w:trPr>
          <w:trHeight w:val="20"/>
        </w:trPr>
        <w:tc>
          <w:tcPr>
            <w:tcW w:w="38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3880" w:type="dxa"/>
            <w:vAlign w:val="bottom"/>
          </w:tcPr>
          <w:p>
            <w:pPr>
              <w:spacing w:after="0"/>
              <w:rPr>
                <w:sz w:val="24"/>
                <w:szCs w:val="24"/>
                <w:color w:val="auto"/>
              </w:rPr>
            </w:pPr>
          </w:p>
        </w:tc>
        <w:tc>
          <w:tcPr>
            <w:tcW w:w="7540" w:type="dxa"/>
            <w:vAlign w:val="bottom"/>
            <w:gridSpan w:val="2"/>
          </w:tcPr>
          <w:p>
            <w:pPr>
              <w:ind w:left="2200"/>
              <w:spacing w:after="0"/>
              <w:rPr>
                <w:sz w:val="20"/>
                <w:szCs w:val="20"/>
                <w:color w:val="auto"/>
              </w:rPr>
            </w:pPr>
            <w:r>
              <w:rPr>
                <w:rFonts w:ascii="Times New Roman" w:cs="Times New Roman" w:eastAsia="Times New Roman" w:hAnsi="Times New Roman"/>
                <w:sz w:val="18"/>
                <w:szCs w:val="18"/>
                <w:b w:val="1"/>
                <w:bCs w:val="1"/>
                <w:color w:val="auto"/>
              </w:rPr>
              <w:t>DIRECTOR / AUTHORISED SIGNATORY</w:t>
            </w:r>
          </w:p>
        </w:tc>
        <w:tc>
          <w:tcPr>
            <w:tcW w:w="40" w:type="dxa"/>
            <w:vAlign w:val="bottom"/>
          </w:tcPr>
          <w:p>
            <w:pPr>
              <w:spacing w:after="0"/>
              <w:rPr>
                <w:sz w:val="24"/>
                <w:szCs w:val="24"/>
                <w:color w:val="auto"/>
              </w:rPr>
            </w:pPr>
          </w:p>
        </w:tc>
      </w:tr>
      <w:tr>
        <w:trPr>
          <w:trHeight w:val="348"/>
        </w:trPr>
        <w:tc>
          <w:tcPr>
            <w:tcW w:w="3880" w:type="dxa"/>
            <w:vAlign w:val="bottom"/>
            <w:tcBorders>
              <w:bottom w:val="single" w:sz="8" w:color="808080"/>
            </w:tcBorders>
          </w:tcPr>
          <w:p>
            <w:pPr>
              <w:spacing w:after="0"/>
              <w:rPr>
                <w:sz w:val="24"/>
                <w:szCs w:val="24"/>
                <w:color w:val="auto"/>
              </w:rPr>
            </w:pPr>
          </w:p>
        </w:tc>
        <w:tc>
          <w:tcPr>
            <w:tcW w:w="2420" w:type="dxa"/>
            <w:vAlign w:val="bottom"/>
            <w:tcBorders>
              <w:bottom w:val="single" w:sz="8" w:color="808080"/>
            </w:tcBorders>
          </w:tcPr>
          <w:p>
            <w:pPr>
              <w:spacing w:after="0"/>
              <w:rPr>
                <w:sz w:val="24"/>
                <w:szCs w:val="24"/>
                <w:color w:val="auto"/>
              </w:rPr>
            </w:pPr>
          </w:p>
        </w:tc>
        <w:tc>
          <w:tcPr>
            <w:tcW w:w="51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03" w:lineRule="exact"/>
        <w:rPr>
          <w:sz w:val="20"/>
          <w:szCs w:val="20"/>
          <w:color w:val="auto"/>
        </w:rPr>
      </w:pPr>
    </w:p>
    <w:p>
      <w:pPr>
        <w:ind w:left="720" w:hanging="712"/>
        <w:spacing w:after="0"/>
        <w:tabs>
          <w:tab w:leader="none" w:pos="72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Authorisation Documents of the Borrower</w:t>
      </w:r>
    </w:p>
    <w:p>
      <w:pPr>
        <w:spacing w:after="0" w:line="229" w:lineRule="exact"/>
        <w:rPr>
          <w:sz w:val="20"/>
          <w:szCs w:val="20"/>
          <w:color w:val="auto"/>
        </w:rPr>
      </w:pPr>
    </w:p>
    <w:p>
      <w:pPr>
        <w:ind w:left="660" w:right="2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Certified copies of the constitutional documents (including the certificate of incorporation, the updated version of the memorandum and articles of association, a certificate of incumbency and a certificate of good standing issued by the Registrar of Companies) of the Borrower.</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Certified copies of resolutions of the board of directors of the Borrower:</w:t>
      </w:r>
    </w:p>
    <w:p>
      <w:pPr>
        <w:spacing w:after="0" w:line="225" w:lineRule="exact"/>
        <w:rPr>
          <w:sz w:val="20"/>
          <w:szCs w:val="20"/>
          <w:color w:val="auto"/>
        </w:rPr>
      </w:pPr>
    </w:p>
    <w:p>
      <w:pPr>
        <w:ind w:left="1280" w:right="160" w:hanging="624"/>
        <w:spacing w:after="0" w:line="282" w:lineRule="auto"/>
        <w:tabs>
          <w:tab w:leader="none" w:pos="1271"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terms of, and the transactions contemplated by, the Finance Documents to which it is a party and resolving that it execute the Finance Documents to which it is a party;</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a specified person or persons to execute the Finance Documents to which it is a party on its behalf; and</w:t>
      </w:r>
    </w:p>
    <w:p>
      <w:pPr>
        <w:spacing w:after="0" w:line="225" w:lineRule="exact"/>
        <w:rPr>
          <w:rFonts w:ascii="Times New Roman" w:cs="Times New Roman" w:eastAsia="Times New Roman" w:hAnsi="Times New Roman"/>
          <w:sz w:val="18"/>
          <w:szCs w:val="18"/>
          <w:color w:val="auto"/>
        </w:rPr>
      </w:pPr>
    </w:p>
    <w:p>
      <w:pPr>
        <w:ind w:left="1280" w:right="620" w:hanging="624"/>
        <w:spacing w:after="0" w:line="282" w:lineRule="auto"/>
        <w:tabs>
          <w:tab w:leader="none" w:pos="1284"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a specified person or persons, on its behalf, to sign and/or despatch all documents and notices (including, if relevant, any Utilisation Request) to be signed and/or despatched by it under or in connection with the Finance Documents to which it is a party.</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Director’s certificate from the Borrower:</w:t>
      </w:r>
    </w:p>
    <w:p>
      <w:pPr>
        <w:spacing w:after="0" w:line="225" w:lineRule="exact"/>
        <w:rPr>
          <w:sz w:val="20"/>
          <w:szCs w:val="20"/>
          <w:color w:val="auto"/>
        </w:rPr>
      </w:pPr>
    </w:p>
    <w:p>
      <w:pPr>
        <w:ind w:left="1280" w:right="460" w:hanging="624"/>
        <w:spacing w:after="0" w:line="282" w:lineRule="auto"/>
        <w:tabs>
          <w:tab w:leader="none" w:pos="1271"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confirming that borrowing or securing, as appropriate, the Loan under this Agreement would not cause any borrowing, guaranteeing or similar limit binding on it to be exceeded;</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containing specimen of the signature of each person authorised by the resolution referred to in sub-clause 1.2(b) above; and</w:t>
      </w:r>
    </w:p>
    <w:p>
      <w:pPr>
        <w:spacing w:after="0" w:line="225" w:lineRule="exact"/>
        <w:rPr>
          <w:rFonts w:ascii="Times New Roman" w:cs="Times New Roman" w:eastAsia="Times New Roman" w:hAnsi="Times New Roman"/>
          <w:sz w:val="18"/>
          <w:szCs w:val="18"/>
          <w:color w:val="auto"/>
        </w:rPr>
      </w:pPr>
    </w:p>
    <w:p>
      <w:pPr>
        <w:ind w:left="1280" w:right="200" w:hanging="624"/>
        <w:spacing w:after="0" w:line="282" w:lineRule="auto"/>
        <w:tabs>
          <w:tab w:leader="none" w:pos="1284"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certifying that each copy document relating to it specified in this Schedule 1 is correct, complete and in full force and effect as at a date no earlier than the Execution Date.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Certified copies of written consent of (i) holders of no less than 70% of the outstanding Preferred Shares of the Borrower (voting as a separate class),</w:t>
      </w:r>
    </w:p>
    <w:p>
      <w:pPr>
        <w:spacing w:after="0" w:line="27" w:lineRule="exact"/>
        <w:rPr>
          <w:sz w:val="20"/>
          <w:szCs w:val="20"/>
          <w:color w:val="auto"/>
        </w:rPr>
      </w:pPr>
    </w:p>
    <w:p>
      <w:pPr>
        <w:ind w:left="660" w:right="160" w:hanging="4"/>
        <w:spacing w:after="0" w:line="255" w:lineRule="auto"/>
        <w:tabs>
          <w:tab w:leader="none" w:pos="925"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no less than 70% of the outstanding Series B Shares of the Borrower (voting as a separate class), and (iii) holders of no less than 70% of the outstanding Class C Shares of the Borrower (voting as a separate class) approving the terms of, and the transactions contemplated by, the Finance Documents.</w:t>
      </w:r>
    </w:p>
    <w:p>
      <w:pPr>
        <w:spacing w:after="0" w:line="182" w:lineRule="exact"/>
        <w:rPr>
          <w:rFonts w:ascii="Times New Roman" w:cs="Times New Roman" w:eastAsia="Times New Roman" w:hAnsi="Times New Roman"/>
          <w:sz w:val="18"/>
          <w:szCs w:val="18"/>
          <w:color w:val="auto"/>
        </w:rPr>
      </w:pPr>
    </w:p>
    <w:p>
      <w:pPr>
        <w:ind w:left="720" w:hanging="712"/>
        <w:spacing w:after="0"/>
        <w:tabs>
          <w:tab w:leader="none" w:pos="72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Authorisation Documents of the Covenantors</w:t>
      </w:r>
    </w:p>
    <w:p>
      <w:pPr>
        <w:spacing w:after="0" w:line="229" w:lineRule="exact"/>
        <w:rPr>
          <w:sz w:val="20"/>
          <w:szCs w:val="20"/>
          <w:color w:val="auto"/>
        </w:rPr>
      </w:pPr>
    </w:p>
    <w:p>
      <w:pPr>
        <w:ind w:left="660" w:right="2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Certified copies of the constitutional documents (including the certificate of incorporation and the updated version of the articles of association) of each of the Covenantors.</w:t>
      </w:r>
    </w:p>
    <w:p>
      <w:pPr>
        <w:sectPr>
          <w:pgSz w:w="11900" w:h="16838" w:orient="portrait"/>
          <w:cols w:equalWidth="0" w:num="1">
            <w:col w:w="11460"/>
          </w:cols>
          <w:pgMar w:left="240" w:top="117" w:right="199" w:bottom="0" w:gutter="0" w:footer="0" w:header="0"/>
        </w:sectPr>
      </w:pPr>
    </w:p>
    <w:bookmarkStart w:id="188" w:name="page189"/>
    <w:bookmarkEnd w:id="188"/>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Certified copies of resolutions of the board of directors of each of the Covenantors:</w:t>
      </w:r>
    </w:p>
    <w:p>
      <w:pPr>
        <w:spacing w:after="0" w:line="225" w:lineRule="exact"/>
        <w:rPr>
          <w:sz w:val="20"/>
          <w:szCs w:val="20"/>
          <w:color w:val="auto"/>
        </w:rPr>
      </w:pPr>
    </w:p>
    <w:p>
      <w:pPr>
        <w:ind w:left="1280" w:right="80" w:hanging="624"/>
        <w:spacing w:after="0" w:line="282" w:lineRule="auto"/>
        <w:tabs>
          <w:tab w:leader="none" w:pos="1271"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terms of, and the transactions contemplated by, the Finance Documents to which it is a party and resolving that it execute the Finance Documents to which it is a party;</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a specified person or persons to execute the Finance Documents to which it is a party on its behalf; and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0" w:lineRule="exact"/>
        <w:rPr>
          <w:rFonts w:ascii="Times New Roman" w:cs="Times New Roman" w:eastAsia="Times New Roman" w:hAnsi="Times New Roman"/>
          <w:sz w:val="18"/>
          <w:szCs w:val="18"/>
          <w:color w:val="auto"/>
        </w:rPr>
      </w:pPr>
    </w:p>
    <w:p>
      <w:pPr>
        <w:ind w:left="1280" w:right="20" w:hanging="624"/>
        <w:spacing w:after="0" w:line="282" w:lineRule="auto"/>
        <w:tabs>
          <w:tab w:leader="none" w:pos="1284"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a specified person or persons, on its behalf, to sign and/or despatch all documents and notices to be signed and/or despatched by it under or in connection with the Finance Documents to which it is a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-684530</wp:posOffset>
            </wp:positionV>
            <wp:extent cx="726757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4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Director’s certificate or legal representative’s certificate from each of the Covenantors:</w:t>
      </w:r>
    </w:p>
    <w:p>
      <w:pPr>
        <w:spacing w:after="0" w:line="225" w:lineRule="exact"/>
        <w:rPr>
          <w:sz w:val="20"/>
          <w:szCs w:val="20"/>
          <w:color w:val="auto"/>
        </w:rPr>
      </w:pPr>
    </w:p>
    <w:p>
      <w:pPr>
        <w:ind w:left="1280" w:hanging="624"/>
        <w:spacing w:after="0" w:line="282" w:lineRule="auto"/>
        <w:tabs>
          <w:tab w:leader="none" w:pos="1271"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confirming that assuming obligations under this Agreement would not cause any borrowing, guaranteeing or similar limit binding on it to be exceeded;</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containing specimen of the signature of each person authorised by the resolution referred to in sub-clause 2.2(b) above; and</w:t>
      </w:r>
    </w:p>
    <w:p>
      <w:pPr>
        <w:spacing w:after="0" w:line="225" w:lineRule="exact"/>
        <w:rPr>
          <w:rFonts w:ascii="Times New Roman" w:cs="Times New Roman" w:eastAsia="Times New Roman" w:hAnsi="Times New Roman"/>
          <w:sz w:val="18"/>
          <w:szCs w:val="18"/>
          <w:color w:val="auto"/>
        </w:rPr>
      </w:pPr>
    </w:p>
    <w:p>
      <w:pPr>
        <w:ind w:left="1280" w:right="120" w:hanging="624"/>
        <w:spacing w:after="0" w:line="282" w:lineRule="auto"/>
        <w:tabs>
          <w:tab w:leader="none" w:pos="1284"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certifying that each copy document relating to it specified in this Schedule 1 is correct, complete and in full force and effect as at a date no earlier than the Execution Date</w:t>
      </w:r>
    </w:p>
    <w:p>
      <w:pPr>
        <w:spacing w:after="0" w:line="15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documents and evidence</w:t>
      </w:r>
    </w:p>
    <w:p>
      <w:pPr>
        <w:spacing w:after="0" w:line="2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The Original Financial Statements of the Borrower</w:t>
      </w:r>
      <w:r>
        <w:rPr>
          <w:rFonts w:ascii="Times New Roman" w:cs="Times New Roman" w:eastAsia="Times New Roman" w:hAnsi="Times New Roman"/>
          <w:sz w:val="17"/>
          <w:szCs w:val="17"/>
          <w:i w:val="1"/>
          <w:iCs w:val="1"/>
          <w:color w:val="auto"/>
        </w:rPr>
        <w:t>.</w:t>
      </w:r>
    </w:p>
    <w:p>
      <w:pPr>
        <w:spacing w:after="0" w:line="227" w:lineRule="exact"/>
        <w:rPr>
          <w:sz w:val="20"/>
          <w:szCs w:val="20"/>
          <w:color w:val="auto"/>
        </w:rPr>
      </w:pPr>
    </w:p>
    <w:p>
      <w:pPr>
        <w:ind w:left="660" w:right="4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A copy of any other Authorisation or other document, opinion or assurance which the Lender considers to be necessary or desirable in connection with the entry into and performance of the transactions contemplated by any Finance Document or for the validity and enforceability of any Finance Document.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Satisfactory completion of any other document(s) which the Lender may reasonably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OF UTILISATION REQUEST</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Utilisation Request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From:</w:t>
        <w:tab/>
        <w:t>Particle Inc.</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Phoenix New Media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Loan Agreement dated [ ] 2016 between, among others, Particle Inc. as borrower and Phoenix New Media Limited as lender (the “Loan Agreement”)</w:t>
      </w:r>
    </w:p>
    <w:p>
      <w:pPr>
        <w:spacing w:after="0" w:line="159" w:lineRule="exact"/>
        <w:rPr>
          <w:sz w:val="20"/>
          <w:szCs w:val="20"/>
          <w:color w:val="auto"/>
        </w:rPr>
      </w:pPr>
    </w:p>
    <w:p>
      <w:pPr>
        <w:ind w:left="640" w:right="660" w:hanging="632"/>
        <w:spacing w:after="0" w:line="282" w:lineRule="auto"/>
        <w:tabs>
          <w:tab w:leader="none" w:pos="636"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the Loan Agreement. This is an Utilisation Request. Terms defined in the Loan Agreement shall have the same meaning in this Utilisation Request.</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wish to borrow a Loan on the following terms:</w:t>
      </w:r>
    </w:p>
    <w:p>
      <w:pPr>
        <w:spacing w:after="0" w:line="225" w:lineRule="exact"/>
        <w:rPr>
          <w:sz w:val="20"/>
          <w:szCs w:val="20"/>
          <w:color w:val="auto"/>
        </w:rPr>
      </w:pPr>
    </w:p>
    <w:p>
      <w:pPr>
        <w:ind w:left="900"/>
        <w:spacing w:after="0"/>
        <w:tabs>
          <w:tab w:leader="none" w:pos="4640" w:val="left"/>
          <w:tab w:leader="none" w:pos="4880" w:val="left"/>
        </w:tabs>
        <w:rPr>
          <w:sz w:val="20"/>
          <w:szCs w:val="20"/>
          <w:color w:val="auto"/>
        </w:rPr>
      </w:pPr>
      <w:r>
        <w:rPr>
          <w:rFonts w:ascii="Times New Roman" w:cs="Times New Roman" w:eastAsia="Times New Roman" w:hAnsi="Times New Roman"/>
          <w:sz w:val="18"/>
          <w:szCs w:val="18"/>
          <w:color w:val="auto"/>
        </w:rPr>
        <w:t>Proposed Utilisation Date: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 (or, if that is not a Business Day, the next Business Day)</w:t>
      </w:r>
    </w:p>
    <w:p>
      <w:pPr>
        <w:spacing w:after="0" w:line="27" w:lineRule="exact"/>
        <w:rPr>
          <w:sz w:val="20"/>
          <w:szCs w:val="20"/>
          <w:color w:val="auto"/>
        </w:rPr>
      </w:pPr>
    </w:p>
    <w:p>
      <w:pPr>
        <w:ind w:left="900"/>
        <w:spacing w:after="0"/>
        <w:tabs>
          <w:tab w:leader="none" w:pos="4640" w:val="left"/>
          <w:tab w:leader="none" w:pos="5200" w:val="left"/>
        </w:tabs>
        <w:rPr>
          <w:sz w:val="20"/>
          <w:szCs w:val="20"/>
          <w:color w:val="auto"/>
        </w:rPr>
      </w:pPr>
      <w:r>
        <w:rPr>
          <w:rFonts w:ascii="Times New Roman" w:cs="Times New Roman" w:eastAsia="Times New Roman" w:hAnsi="Times New Roman"/>
          <w:sz w:val="18"/>
          <w:szCs w:val="18"/>
          <w:color w:val="auto"/>
        </w:rPr>
        <w:t>Amount:</w:t>
      </w:r>
      <w:r>
        <w:rPr>
          <w:sz w:val="20"/>
          <w:szCs w:val="20"/>
          <w:color w:val="auto"/>
        </w:rPr>
        <w:tab/>
      </w:r>
      <w:r>
        <w:rPr>
          <w:rFonts w:ascii="Times New Roman" w:cs="Times New Roman" w:eastAsia="Times New Roman" w:hAnsi="Times New Roman"/>
          <w:sz w:val="18"/>
          <w:szCs w:val="18"/>
          <w:color w:val="auto"/>
        </w:rPr>
        <w:t>US$[</w:t>
        <w:tab/>
        <w:t>]</w:t>
      </w:r>
    </w:p>
    <w:p>
      <w:pPr>
        <w:spacing w:after="0" w:line="205" w:lineRule="exact"/>
        <w:rPr>
          <w:sz w:val="20"/>
          <w:szCs w:val="20"/>
          <w:color w:val="auto"/>
        </w:rPr>
      </w:pPr>
    </w:p>
    <w:p>
      <w:pPr>
        <w:ind w:left="640" w:hanging="632"/>
        <w:spacing w:after="0"/>
        <w:tabs>
          <w:tab w:leader="none" w:pos="64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confirm that each condition specified in Clause 4.2 (</w:t>
      </w:r>
      <w:r>
        <w:rPr>
          <w:rFonts w:ascii="Times New Roman" w:cs="Times New Roman" w:eastAsia="Times New Roman" w:hAnsi="Times New Roman"/>
          <w:sz w:val="18"/>
          <w:szCs w:val="18"/>
          <w:i w:val="1"/>
          <w:iCs w:val="1"/>
          <w:color w:val="auto"/>
        </w:rPr>
        <w:t>Further conditions precedent</w:t>
      </w:r>
      <w:r>
        <w:rPr>
          <w:rFonts w:ascii="Times New Roman" w:cs="Times New Roman" w:eastAsia="Times New Roman" w:hAnsi="Times New Roman"/>
          <w:sz w:val="18"/>
          <w:szCs w:val="18"/>
          <w:color w:val="auto"/>
        </w:rPr>
        <w:t>) is satisfied on the date of this Utilisation Request.</w:t>
      </w:r>
    </w:p>
    <w:p>
      <w:pPr>
        <w:spacing w:after="0" w:line="22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this Loan should be credited to the following account:</w:t>
      </w:r>
    </w:p>
    <w:p>
      <w:pPr>
        <w:spacing w:after="0" w:line="225" w:lineRule="exact"/>
        <w:rPr>
          <w:rFonts w:ascii="Times New Roman" w:cs="Times New Roman" w:eastAsia="Times New Roman" w:hAnsi="Times New Roman"/>
          <w:sz w:val="18"/>
          <w:szCs w:val="18"/>
          <w:color w:val="auto"/>
        </w:rPr>
      </w:pPr>
    </w:p>
    <w:p>
      <w:pPr>
        <w:ind w:left="660" w:right="94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Bank: Account Number: Address of Bank:</w:t>
      </w:r>
    </w:p>
    <w:p>
      <w:pPr>
        <w:spacing w:after="0" w:line="18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Utilisation Request is irrevocable.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-264795</wp:posOffset>
            </wp:positionV>
            <wp:extent cx="288163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881630" cy="889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-401955</wp:posOffset>
            </wp:positionV>
            <wp:extent cx="288163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881630" cy="889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-539115</wp:posOffset>
            </wp:positionV>
            <wp:extent cx="288163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ectPr>
          <w:pgSz w:w="11900" w:h="16838" w:orient="portrait"/>
          <w:cols w:equalWidth="0" w:num="1">
            <w:col w:w="11380"/>
          </w:cols>
          <w:pgMar w:left="240" w:top="121"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authorised signatory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1" w:right="279" w:bottom="0" w:gutter="0" w:footer="0" w:header="0"/>
          <w:type w:val="continuous"/>
        </w:sectPr>
      </w:pPr>
    </w:p>
    <w:bookmarkStart w:id="189" w:name="page190"/>
    <w:bookmarkEnd w:id="189"/>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Particle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726757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FORM OF TRANSFER CERTIFICATE</w:t>
      </w:r>
    </w:p>
    <w:p>
      <w:pPr>
        <w:sectPr>
          <w:pgSz w:w="11900" w:h="16898" w:orient="portrait"/>
          <w:cols w:equalWidth="0" w:num="1">
            <w:col w:w="11380"/>
          </w:cols>
          <w:pgMar w:left="240" w:top="121" w:right="279" w:bottom="0" w:gutter="0" w:footer="0" w:header="0"/>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Particle Inc.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[The Existing Lender] (the “</w:t>
      </w:r>
      <w:r>
        <w:rPr>
          <w:rFonts w:ascii="Times New Roman" w:cs="Times New Roman" w:eastAsia="Times New Roman" w:hAnsi="Times New Roman"/>
          <w:sz w:val="17"/>
          <w:szCs w:val="17"/>
          <w:b w:val="1"/>
          <w:bCs w:val="1"/>
          <w:color w:val="auto"/>
        </w:rPr>
        <w:t>Existing Lender</w:t>
      </w:r>
      <w:r>
        <w:rPr>
          <w:rFonts w:ascii="Times New Roman" w:cs="Times New Roman" w:eastAsia="Times New Roman" w:hAnsi="Times New Roman"/>
          <w:sz w:val="17"/>
          <w:szCs w:val="17"/>
          <w:color w:val="auto"/>
        </w:rPr>
        <w:t>”) and [The New Lender] (the “</w:t>
      </w:r>
      <w:r>
        <w:rPr>
          <w:rFonts w:ascii="Times New Roman" w:cs="Times New Roman" w:eastAsia="Times New Roman" w:hAnsi="Times New Roman"/>
          <w:sz w:val="17"/>
          <w:szCs w:val="17"/>
          <w:b w:val="1"/>
          <w:bCs w:val="1"/>
          <w:color w:val="auto"/>
        </w:rPr>
        <w:t>New Lender</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98" w:orient="portrait"/>
          <w:cols w:equalWidth="0" w:num="2">
            <w:col w:w="560" w:space="720"/>
            <w:col w:w="10100"/>
          </w:cols>
          <w:pgMar w:left="240" w:top="121" w:right="279"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ectPr>
          <w:pgSz w:w="11900" w:h="16898" w:orient="portrait"/>
          <w:cols w:equalWidth="0" w:num="1">
            <w:col w:w="11380"/>
          </w:cols>
          <w:pgMar w:left="240" w:top="121" w:right="279" w:bottom="0" w:gutter="0" w:footer="0" w:header="0"/>
          <w:type w:val="continuous"/>
        </w:sectPr>
      </w:pP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Loan Agreement dated [ Agreement”)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2016 between, among others, Particle Inc. as borrower and Phoenix New Media Limited as lender (the “Loan</w:t>
      </w:r>
    </w:p>
    <w:p>
      <w:pPr>
        <w:spacing w:after="0" w:line="445" w:lineRule="exact"/>
        <w:rPr>
          <w:sz w:val="20"/>
          <w:szCs w:val="20"/>
          <w:color w:val="auto"/>
        </w:rPr>
      </w:pPr>
    </w:p>
    <w:p>
      <w:pPr>
        <w:sectPr>
          <w:pgSz w:w="11900" w:h="16898" w:orient="portrait"/>
          <w:cols w:equalWidth="0" w:num="2">
            <w:col w:w="1880" w:space="720"/>
            <w:col w:w="8780"/>
          </w:cols>
          <w:pgMar w:left="240" w:top="121" w:right="279" w:bottom="0" w:gutter="0" w:footer="0" w:header="0"/>
          <w:type w:val="continuous"/>
        </w:sectPr>
      </w:pPr>
    </w:p>
    <w:p>
      <w:pPr>
        <w:ind w:left="640" w:right="300" w:hanging="632"/>
        <w:spacing w:after="0" w:line="282" w:lineRule="auto"/>
        <w:tabs>
          <w:tab w:leader="none" w:pos="636"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the Loan Agreement. This is a Transfer Certificate. Terms used in the Loan Agreement shall have the same meaning in this Transfer Certificate.</w:t>
      </w:r>
    </w:p>
    <w:p>
      <w:pPr>
        <w:spacing w:after="0" w:line="15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Clause 18.3 (</w:t>
      </w:r>
      <w:r>
        <w:rPr>
          <w:rFonts w:ascii="Times New Roman" w:cs="Times New Roman" w:eastAsia="Times New Roman" w:hAnsi="Times New Roman"/>
          <w:sz w:val="18"/>
          <w:szCs w:val="18"/>
          <w:i w:val="1"/>
          <w:iCs w:val="1"/>
          <w:color w:val="auto"/>
        </w:rPr>
        <w:t>Procedure for transfer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80" w:hanging="634"/>
        <w:spacing w:after="0" w:line="282" w:lineRule="auto"/>
        <w:tabs>
          <w:tab w:leader="none" w:pos="1273"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Lender and the New Lender agree to the Existing Lender transferring to the New Lender by novation all or part of the Existing Lender’s rights and obligations referred to in the Schedule in accordance with Clause 18.3 (</w:t>
      </w:r>
      <w:r>
        <w:rPr>
          <w:rFonts w:ascii="Times New Roman" w:cs="Times New Roman" w:eastAsia="Times New Roman" w:hAnsi="Times New Roman"/>
          <w:sz w:val="18"/>
          <w:szCs w:val="18"/>
          <w:i w:val="1"/>
          <w:iCs w:val="1"/>
          <w:color w:val="auto"/>
        </w:rPr>
        <w:t>Procedure for transfer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40"/>
        <w:spacing w:after="0"/>
        <w:tabs>
          <w:tab w:leader="none" w:pos="1260" w:val="left"/>
          <w:tab w:leader="none" w:pos="424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8"/>
          <w:szCs w:val="18"/>
          <w:color w:val="auto"/>
        </w:rPr>
        <w:t>The proposed Transfer Date is [</w:t>
      </w:r>
      <w:r>
        <w:rPr>
          <w:sz w:val="20"/>
          <w:szCs w:val="20"/>
          <w:color w:val="auto"/>
        </w:rPr>
        <w:tab/>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1280" w:right="100" w:hanging="634"/>
        <w:spacing w:after="0" w:line="284" w:lineRule="auto"/>
        <w:tabs>
          <w:tab w:leader="none" w:pos="1287"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facility office and address, fax number and attention details for notices of the New Lender for the purposes of Clause 23.2 (</w:t>
      </w:r>
      <w:r>
        <w:rPr>
          <w:rFonts w:ascii="Times New Roman" w:cs="Times New Roman" w:eastAsia="Times New Roman" w:hAnsi="Times New Roman"/>
          <w:sz w:val="18"/>
          <w:szCs w:val="18"/>
          <w:i w:val="1"/>
          <w:iCs w:val="1"/>
          <w:color w:val="auto"/>
        </w:rPr>
        <w:t>Addresses</w:t>
      </w:r>
      <w:r>
        <w:rPr>
          <w:rFonts w:ascii="Times New Roman" w:cs="Times New Roman" w:eastAsia="Times New Roman" w:hAnsi="Times New Roman"/>
          <w:sz w:val="18"/>
          <w:szCs w:val="18"/>
          <w:color w:val="auto"/>
        </w:rPr>
        <w:t>) are set out in the Schedule.</w:t>
      </w:r>
    </w:p>
    <w:p>
      <w:pPr>
        <w:spacing w:after="0" w:line="160"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expressly acknowledges</w:t>
      </w:r>
    </w:p>
    <w:p>
      <w:pPr>
        <w:spacing w:after="0" w:line="223" w:lineRule="exact"/>
        <w:rPr>
          <w:rFonts w:ascii="Times New Roman" w:cs="Times New Roman" w:eastAsia="Times New Roman" w:hAnsi="Times New Roman"/>
          <w:sz w:val="18"/>
          <w:szCs w:val="18"/>
          <w:color w:val="auto"/>
        </w:rPr>
      </w:pPr>
    </w:p>
    <w:p>
      <w:pPr>
        <w:ind w:left="1300" w:right="40" w:hanging="644"/>
        <w:spacing w:after="0" w:line="284" w:lineRule="auto"/>
        <w:tabs>
          <w:tab w:leader="none" w:pos="1297"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on the Existing Lender’s obligations set out in sub-clauses (a) and (c) of Clause 18.2 (</w:t>
      </w:r>
      <w:r>
        <w:rPr>
          <w:rFonts w:ascii="Times New Roman" w:cs="Times New Roman" w:eastAsia="Times New Roman" w:hAnsi="Times New Roman"/>
          <w:sz w:val="18"/>
          <w:szCs w:val="18"/>
          <w:i w:val="1"/>
          <w:iCs w:val="1"/>
          <w:color w:val="auto"/>
        </w:rPr>
        <w:t>Limitation of responsibility of 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Lenders</w:t>
      </w:r>
      <w:r>
        <w:rPr>
          <w:rFonts w:ascii="Times New Roman" w:cs="Times New Roman" w:eastAsia="Times New Roman" w:hAnsi="Times New Roman"/>
          <w:sz w:val="18"/>
          <w:szCs w:val="18"/>
          <w:color w:val="auto"/>
        </w:rPr>
        <w:t>), and</w:t>
      </w:r>
    </w:p>
    <w:p>
      <w:pPr>
        <w:spacing w:after="0" w:line="160" w:lineRule="exact"/>
        <w:rPr>
          <w:rFonts w:ascii="Times New Roman" w:cs="Times New Roman" w:eastAsia="Times New Roman" w:hAnsi="Times New Roman"/>
          <w:sz w:val="18"/>
          <w:szCs w:val="18"/>
          <w:color w:val="auto"/>
        </w:rPr>
      </w:pPr>
    </w:p>
    <w:p>
      <w:pPr>
        <w:ind w:left="1300" w:hanging="644"/>
        <w:spacing w:after="0" w:line="266" w:lineRule="auto"/>
        <w:tabs>
          <w:tab w:leader="none" w:pos="1307"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is the responsibility of the New Lender to ascertain whether any document is required or any formality or other condition requires to be satisfied to effect or perfect the transfer contemplated by this Transfer Certificate or otherwise to enable the New Lender to enjoy the full benefit of each Finance Document.</w:t>
      </w:r>
    </w:p>
    <w:p>
      <w:pPr>
        <w:spacing w:after="0" w:line="174"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confirms that it is a “New Lender” within the meaning of Clause 18.1 (</w:t>
      </w:r>
      <w:r>
        <w:rPr>
          <w:rFonts w:ascii="Times New Roman" w:cs="Times New Roman" w:eastAsia="Times New Roman" w:hAnsi="Times New Roman"/>
          <w:sz w:val="18"/>
          <w:szCs w:val="18"/>
          <w:i w:val="1"/>
          <w:iCs w:val="1"/>
          <w:color w:val="auto"/>
        </w:rPr>
        <w:t>Assignments and transfers by the Lenders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Lender and the New Lender confirm that the New Lender is not an Obligor or an Affiliate of an Obligor.</w:t>
      </w:r>
    </w:p>
    <w:p>
      <w:pPr>
        <w:spacing w:after="0" w:line="225" w:lineRule="exact"/>
        <w:rPr>
          <w:rFonts w:ascii="Times New Roman" w:cs="Times New Roman" w:eastAsia="Times New Roman" w:hAnsi="Times New Roman"/>
          <w:sz w:val="18"/>
          <w:szCs w:val="18"/>
          <w:color w:val="auto"/>
        </w:rPr>
      </w:pPr>
    </w:p>
    <w:p>
      <w:pPr>
        <w:ind w:left="640" w:right="40" w:hanging="632"/>
        <w:spacing w:after="0" w:line="282" w:lineRule="auto"/>
        <w:tabs>
          <w:tab w:leader="none" w:pos="636"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Transfer Certificate may be executed in any number of counterparts and this has the same effect as if the signatures on the counterparts were on a single copy of this Transfer Certificate.</w:t>
      </w:r>
    </w:p>
    <w:p>
      <w:pPr>
        <w:spacing w:after="0" w:line="161" w:lineRule="exact"/>
        <w:rPr>
          <w:rFonts w:ascii="Times New Roman" w:cs="Times New Roman" w:eastAsia="Times New Roman" w:hAnsi="Times New Roman"/>
          <w:sz w:val="18"/>
          <w:szCs w:val="18"/>
          <w:color w:val="auto"/>
        </w:rPr>
      </w:pPr>
    </w:p>
    <w:p>
      <w:pPr>
        <w:ind w:left="640" w:right="520" w:hanging="632"/>
        <w:spacing w:after="0" w:line="282" w:lineRule="auto"/>
        <w:tabs>
          <w:tab w:leader="none" w:pos="636"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Transfer Certificate, and all non-contractual obligations arising from or in connection with this Transfer Certificate, are governed by, and construed exclusively in accordance with, the laws of Hong Kong.</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Transfer Certificate has been entered into on the date stated at the beginning of this Transfer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THE SCHEDULE</w:t>
            </w:r>
          </w:p>
        </w:tc>
      </w:tr>
      <w:tr>
        <w:trPr>
          <w:trHeight w:val="238"/>
        </w:trPr>
        <w:tc>
          <w:tcPr>
            <w:tcW w:w="2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Rights and Obligations to be Transferred</w:t>
            </w:r>
          </w:p>
        </w:tc>
      </w:tr>
      <w:tr>
        <w:trPr>
          <w:trHeight w:val="432"/>
        </w:trPr>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Transfer Details</w:t>
            </w:r>
            <w:r>
              <w:rPr>
                <w:rFonts w:ascii="Times New Roman" w:cs="Times New Roman" w:eastAsia="Times New Roman" w:hAnsi="Times New Roman"/>
                <w:sz w:val="18"/>
                <w:szCs w:val="18"/>
                <w:color w:val="auto"/>
              </w:rPr>
              <w:t>:</w:t>
            </w: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414"/>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Nature:</w:t>
            </w:r>
          </w:p>
        </w:tc>
        <w:tc>
          <w:tcPr>
            <w:tcW w:w="5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[insert description of facility(ies) transferred]</w:t>
            </w:r>
          </w:p>
        </w:tc>
      </w:tr>
      <w:tr>
        <w:trPr>
          <w:trHeight w:val="234"/>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Final Maturity:</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spacing w:after="0"/>
              <w:rPr>
                <w:sz w:val="20"/>
                <w:szCs w:val="20"/>
                <w:color w:val="auto"/>
              </w:rPr>
            </w:pPr>
          </w:p>
        </w:tc>
      </w:tr>
      <w:tr>
        <w:trPr>
          <w:trHeight w:val="432"/>
        </w:trPr>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Participation Transferred</w:t>
            </w: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414"/>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Drawn Amount:</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spacing w:after="0"/>
              <w:rPr>
                <w:sz w:val="24"/>
                <w:szCs w:val="24"/>
                <w:color w:val="auto"/>
              </w:rPr>
            </w:pPr>
          </w:p>
        </w:tc>
      </w:tr>
      <w:tr>
        <w:trPr>
          <w:trHeight w:val="234"/>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Undrawn Amount:</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spacing w:after="0"/>
              <w:rPr>
                <w:sz w:val="20"/>
                <w:szCs w:val="20"/>
                <w:color w:val="auto"/>
              </w:rPr>
            </w:pPr>
          </w:p>
        </w:tc>
      </w:tr>
      <w:tr>
        <w:trPr>
          <w:trHeight w:val="432"/>
        </w:trPr>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Administration Details:</w:t>
            </w: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414"/>
        </w:trPr>
        <w:tc>
          <w:tcPr>
            <w:tcW w:w="3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New Lender’s Receiving Account:</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jc w:val="right"/>
              <w:ind w:right="26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Address:</w:t>
            </w:r>
          </w:p>
        </w:tc>
        <w:tc>
          <w:tcPr>
            <w:tcW w:w="800" w:type="dxa"/>
            <w:vAlign w:val="bottom"/>
          </w:tcPr>
          <w:p>
            <w:pPr>
              <w:spacing w:after="0"/>
              <w:rPr>
                <w:sz w:val="18"/>
                <w:szCs w:val="18"/>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jc w:val="right"/>
              <w:ind w:right="26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Telephone:</w:t>
            </w:r>
          </w:p>
        </w:tc>
        <w:tc>
          <w:tcPr>
            <w:tcW w:w="800" w:type="dxa"/>
            <w:vAlign w:val="bottom"/>
          </w:tcPr>
          <w:p>
            <w:pPr>
              <w:spacing w:after="0"/>
              <w:rPr>
                <w:sz w:val="18"/>
                <w:szCs w:val="18"/>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jc w:val="right"/>
              <w:ind w:right="26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Facsimile:</w:t>
            </w:r>
          </w:p>
        </w:tc>
        <w:tc>
          <w:tcPr>
            <w:tcW w:w="800" w:type="dxa"/>
            <w:vAlign w:val="bottom"/>
          </w:tcPr>
          <w:p>
            <w:pPr>
              <w:spacing w:after="0"/>
              <w:rPr>
                <w:sz w:val="18"/>
                <w:szCs w:val="18"/>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jc w:val="right"/>
              <w:ind w:right="26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Attn/Ref:</w:t>
            </w:r>
          </w:p>
        </w:tc>
        <w:tc>
          <w:tcPr>
            <w:tcW w:w="80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jc w:val="right"/>
              <w:ind w:right="261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[Existing Lender]</w:t>
            </w: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rPr>
              <w:t>[New Lender]</w:t>
            </w:r>
          </w:p>
        </w:tc>
      </w:tr>
    </w:tbl>
    <w:p>
      <w:pPr>
        <w:sectPr>
          <w:pgSz w:w="11900" w:h="16898" w:orient="portrait"/>
          <w:cols w:equalWidth="0" w:num="1">
            <w:col w:w="11380"/>
          </w:cols>
          <w:pgMar w:left="240" w:top="121" w:right="279" w:bottom="0" w:gutter="0" w:footer="0" w:header="0"/>
          <w:type w:val="continuous"/>
        </w:sectPr>
      </w:pPr>
    </w:p>
    <w:bookmarkStart w:id="190" w:name="page191"/>
    <w:bookmarkEnd w:id="190"/>
    <w:p>
      <w:pPr>
        <w:spacing w:after="0"/>
        <w:tabs>
          <w:tab w:leader="none" w:pos="45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228600</wp:posOffset>
            </wp:positionV>
            <wp:extent cx="726757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b w:val="1"/>
          <w:bCs w:val="1"/>
          <w:color w:val="auto"/>
        </w:rPr>
        <w:t>Exhibit 4.48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20, 2017</w:t>
      </w:r>
    </w:p>
    <w:p>
      <w:pPr>
        <w:spacing w:after="0" w:line="225" w:lineRule="exact"/>
        <w:rPr>
          <w:sz w:val="20"/>
          <w:szCs w:val="20"/>
          <w:color w:val="auto"/>
        </w:rPr>
      </w:pPr>
    </w:p>
    <w:p>
      <w:pPr>
        <w:ind w:left="5240" w:right="4920" w:hanging="319"/>
        <w:spacing w:after="0" w:line="317" w:lineRule="auto"/>
        <w:tabs>
          <w:tab w:leader="none" w:pos="5178" w:val="left"/>
        </w:tabs>
        <w:numPr>
          <w:ilvl w:val="2"/>
          <w:numId w:val="4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PARTICLE INC. as Borrower</w:t>
      </w:r>
    </w:p>
    <w:p>
      <w:pPr>
        <w:spacing w:after="0" w:line="131" w:lineRule="exact"/>
        <w:rPr>
          <w:rFonts w:ascii="Times New Roman" w:cs="Times New Roman" w:eastAsia="Times New Roman" w:hAnsi="Times New Roman"/>
          <w:sz w:val="17"/>
          <w:szCs w:val="17"/>
          <w:b w:val="1"/>
          <w:bCs w:val="1"/>
          <w:color w:val="auto"/>
        </w:rPr>
      </w:pPr>
    </w:p>
    <w:p>
      <w:pPr>
        <w:ind w:left="5080" w:right="4720" w:hanging="343"/>
        <w:spacing w:after="0" w:line="286" w:lineRule="auto"/>
        <w:tabs>
          <w:tab w:leader="none" w:pos="4983" w:val="left"/>
        </w:tabs>
        <w:numPr>
          <w:ilvl w:val="1"/>
          <w:numId w:val="4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Particle (HK) Limited as a Covenantor</w:t>
      </w:r>
    </w:p>
    <w:p>
      <w:pPr>
        <w:spacing w:after="0" w:line="154" w:lineRule="exact"/>
        <w:rPr>
          <w:rFonts w:ascii="Times New Roman" w:cs="Times New Roman" w:eastAsia="Times New Roman" w:hAnsi="Times New Roman"/>
          <w:sz w:val="18"/>
          <w:szCs w:val="18"/>
          <w:b w:val="1"/>
          <w:bCs w:val="1"/>
          <w:color w:val="auto"/>
        </w:rPr>
      </w:pPr>
    </w:p>
    <w:p>
      <w:pPr>
        <w:ind w:left="3920" w:hanging="245"/>
        <w:spacing w:after="0"/>
        <w:tabs>
          <w:tab w:leader="none" w:pos="3920" w:val="left"/>
        </w:tabs>
        <w:numPr>
          <w:ilvl w:val="0"/>
          <w:numId w:val="4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Beijing Particle Information Technology Co., Ltd.</w:t>
      </w:r>
    </w:p>
    <w:p>
      <w:pPr>
        <w:spacing w:after="0" w:line="31" w:lineRule="exact"/>
        <w:rPr>
          <w:sz w:val="20"/>
          <w:szCs w:val="20"/>
          <w:color w:val="auto"/>
        </w:rPr>
      </w:pPr>
    </w:p>
    <w:p>
      <w:pPr>
        <w:ind w:left="4900"/>
        <w:spacing w:after="0"/>
        <w:tabs>
          <w:tab w:leader="none" w:pos="646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 Covenantor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 Beijing Yidianwangju Technology Co., Ltd.</w:t>
      </w:r>
    </w:p>
    <w:p>
      <w:pPr>
        <w:spacing w:after="0" w:line="31" w:lineRule="exact"/>
        <w:rPr>
          <w:sz w:val="20"/>
          <w:szCs w:val="20"/>
          <w:color w:val="auto"/>
        </w:rPr>
      </w:pPr>
    </w:p>
    <w:p>
      <w:pPr>
        <w:ind w:left="6360" w:hanging="1354"/>
        <w:spacing w:after="0"/>
        <w:tabs>
          <w:tab w:leader="none" w:pos="6360" w:val="left"/>
        </w:tabs>
        <w:numPr>
          <w:ilvl w:val="0"/>
          <w:numId w:val="4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9" w:lineRule="exact"/>
        <w:rPr>
          <w:rFonts w:ascii="Times New Roman" w:cs="Times New Roman" w:eastAsia="Times New Roman" w:hAnsi="Times New Roman"/>
          <w:sz w:val="18"/>
          <w:szCs w:val="18"/>
          <w:b w:val="1"/>
          <w:bCs w:val="1"/>
          <w:color w:val="auto"/>
        </w:rPr>
      </w:pPr>
    </w:p>
    <w:p>
      <w:pPr>
        <w:ind w:left="50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 a Covenantor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ind w:left="4980" w:right="4160" w:hanging="806"/>
        <w:spacing w:after="0" w:line="286" w:lineRule="auto"/>
        <w:tabs>
          <w:tab w:leader="none" w:pos="4425" w:val="left"/>
        </w:tabs>
        <w:numPr>
          <w:ilvl w:val="0"/>
          <w:numId w:val="4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PHOENIX NEW MEDIA LIMITED as Original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180975</wp:posOffset>
            </wp:positionV>
            <wp:extent cx="182689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506730</wp:posOffset>
            </wp:positionV>
            <wp:extent cx="726757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THIS AMENDMENT NO. 1 TO LOAN AGREEMENT </w:t>
      </w:r>
      <w:r>
        <w:rPr>
          <w:rFonts w:ascii="Times New Roman" w:cs="Times New Roman" w:eastAsia="Times New Roman" w:hAnsi="Times New Roman"/>
          <w:sz w:val="18"/>
          <w:szCs w:val="18"/>
          <w:color w:val="auto"/>
        </w:rPr>
        <w:t>is dated [•] 2016 and made between:</w:t>
      </w:r>
    </w:p>
    <w:p>
      <w:pPr>
        <w:spacing w:after="0" w:line="225" w:lineRule="exact"/>
        <w:rPr>
          <w:sz w:val="20"/>
          <w:szCs w:val="20"/>
          <w:color w:val="auto"/>
        </w:rPr>
      </w:pPr>
    </w:p>
    <w:p>
      <w:pPr>
        <w:ind w:left="660" w:hanging="652"/>
        <w:spacing w:after="0"/>
        <w:tabs>
          <w:tab w:leader="none" w:pos="66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PARTICLE INC.</w:t>
      </w:r>
      <w:r>
        <w:rPr>
          <w:rFonts w:ascii="Times New Roman" w:cs="Times New Roman" w:eastAsia="Times New Roman" w:hAnsi="Times New Roman"/>
          <w:sz w:val="18"/>
          <w:szCs w:val="18"/>
          <w:color w:val="auto"/>
        </w:rPr>
        <w:t>, an exempted limited liability company organized under the laws of the Cayman Islands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320" w:hanging="652"/>
        <w:spacing w:after="0" w:line="286" w:lineRule="auto"/>
        <w:tabs>
          <w:tab w:leader="none" w:pos="671"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PARTICLE (HK) LIMITED</w:t>
      </w:r>
      <w:r>
        <w:rPr>
          <w:rFonts w:ascii="Times New Roman" w:cs="Times New Roman" w:eastAsia="Times New Roman" w:hAnsi="Times New Roman"/>
          <w:sz w:val="18"/>
          <w:szCs w:val="18"/>
          <w:color w:val="auto"/>
        </w:rPr>
        <w:t>, a company organized under the laws of the Hong Kong and a Subsidiary (as defined herein) of the Borrower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HK Subsidiary</w:t>
      </w:r>
      <w:r>
        <w:rPr>
          <w:rFonts w:ascii="Times New Roman" w:cs="Times New Roman" w:eastAsia="Times New Roman" w:hAnsi="Times New Roman"/>
          <w:sz w:val="18"/>
          <w:szCs w:val="18"/>
          <w:color w:val="auto"/>
        </w:rPr>
        <w: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5"/>
              </w:rPr>
              <w:t>(3)</w:t>
            </w:r>
          </w:p>
        </w:tc>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BEIJING PARTICLE INFORMATION TECHNOLOGY CO., LTD. (</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company incorporated under the laws of the PRC</w:t>
            </w:r>
          </w:p>
        </w:tc>
      </w:tr>
      <w:tr>
        <w:trPr>
          <w:trHeight w:val="238"/>
        </w:trPr>
        <w:tc>
          <w:tcPr>
            <w:tcW w:w="440" w:type="dxa"/>
            <w:vAlign w:val="bottom"/>
          </w:tcPr>
          <w:p>
            <w:pPr>
              <w:spacing w:after="0"/>
              <w:rPr>
                <w:sz w:val="20"/>
                <w:szCs w:val="20"/>
                <w:color w:val="auto"/>
              </w:rPr>
            </w:pPr>
          </w:p>
        </w:tc>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a Subsidiary (as defined herein) of the Borrower (the “</w:t>
            </w:r>
            <w:r>
              <w:rPr>
                <w:rFonts w:ascii="Times New Roman" w:cs="Times New Roman" w:eastAsia="Times New Roman" w:hAnsi="Times New Roman"/>
                <w:sz w:val="18"/>
                <w:szCs w:val="18"/>
                <w:b w:val="1"/>
                <w:bCs w:val="1"/>
                <w:color w:val="auto"/>
              </w:rPr>
              <w:t>PRC Subsidiary</w:t>
            </w:r>
            <w:r>
              <w:rPr>
                <w:rFonts w:ascii="Times New Roman" w:cs="Times New Roman" w:eastAsia="Times New Roman" w:hAnsi="Times New Roman"/>
                <w:sz w:val="18"/>
                <w:szCs w:val="18"/>
                <w:color w:val="auto"/>
              </w:rPr>
              <w:t>”);</w:t>
            </w:r>
          </w:p>
        </w:tc>
        <w:tc>
          <w:tcPr>
            <w:tcW w:w="4960" w:type="dxa"/>
            <w:vAlign w:val="bottom"/>
          </w:tcPr>
          <w:p>
            <w:pPr>
              <w:spacing w:after="0"/>
              <w:rPr>
                <w:sz w:val="20"/>
                <w:szCs w:val="20"/>
                <w:color w:val="auto"/>
              </w:rPr>
            </w:pPr>
          </w:p>
        </w:tc>
      </w:tr>
      <w:tr>
        <w:trPr>
          <w:trHeight w:val="432"/>
        </w:trPr>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5"/>
              </w:rPr>
              <w:t>(4)</w:t>
            </w:r>
          </w:p>
        </w:tc>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BEIJING YIDIANWANGJU TECHNOLOGY CO., LTD. (</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company incorporated under the laws of the PRC and a variable</w:t>
            </w:r>
          </w:p>
        </w:tc>
      </w:tr>
    </w:tbl>
    <w:p>
      <w:pPr>
        <w:ind w:left="660"/>
        <w:spacing w:after="0"/>
        <w:rPr>
          <w:sz w:val="20"/>
          <w:szCs w:val="20"/>
          <w:color w:val="auto"/>
        </w:rPr>
      </w:pPr>
      <w:r>
        <w:rPr>
          <w:rFonts w:ascii="Times New Roman" w:cs="Times New Roman" w:eastAsia="Times New Roman" w:hAnsi="Times New Roman"/>
          <w:sz w:val="18"/>
          <w:szCs w:val="18"/>
          <w:color w:val="auto"/>
        </w:rPr>
        <w:t>interest entity and Subsidiary (as defined herein) of the Borrower (the “</w:t>
      </w:r>
      <w:r>
        <w:rPr>
          <w:rFonts w:ascii="Times New Roman" w:cs="Times New Roman" w:eastAsia="Times New Roman" w:hAnsi="Times New Roman"/>
          <w:sz w:val="18"/>
          <w:szCs w:val="18"/>
          <w:b w:val="1"/>
          <w:bCs w:val="1"/>
          <w:color w:val="auto"/>
        </w:rPr>
        <w:t>PRC VIE</w:t>
      </w:r>
      <w:r>
        <w:rPr>
          <w:rFonts w:ascii="Times New Roman" w:cs="Times New Roman" w:eastAsia="Times New Roman" w:hAnsi="Times New Roman"/>
          <w:sz w:val="18"/>
          <w:szCs w:val="18"/>
          <w:color w:val="auto"/>
        </w:rPr>
        <w:t>”); and</w:t>
      </w:r>
    </w:p>
    <w:p>
      <w:pPr>
        <w:spacing w:after="0" w:line="203" w:lineRule="exact"/>
        <w:rPr>
          <w:sz w:val="20"/>
          <w:szCs w:val="20"/>
          <w:color w:val="auto"/>
        </w:rPr>
      </w:pPr>
    </w:p>
    <w:p>
      <w:pPr>
        <w:ind w:left="660" w:right="460" w:hanging="652"/>
        <w:spacing w:after="0" w:line="286" w:lineRule="auto"/>
        <w:tabs>
          <w:tab w:leader="none" w:pos="667"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PHOENIX NEW MEDIA LIMITED</w:t>
      </w:r>
      <w:r>
        <w:rPr>
          <w:rFonts w:ascii="Times New Roman" w:cs="Times New Roman" w:eastAsia="Times New Roman" w:hAnsi="Times New Roman"/>
          <w:sz w:val="18"/>
          <w:szCs w:val="18"/>
          <w:color w:val="auto"/>
        </w:rPr>
        <w:t>, an exempted limited liability company organized under the laws of the Cayman Islands (the “</w:t>
      </w:r>
      <w:r>
        <w:rPr>
          <w:rFonts w:ascii="Times New Roman" w:cs="Times New Roman" w:eastAsia="Times New Roman" w:hAnsi="Times New Roman"/>
          <w:sz w:val="18"/>
          <w:szCs w:val="18"/>
          <w:b w:val="1"/>
          <w:bCs w:val="1"/>
          <w:color w:val="auto"/>
        </w:rPr>
        <w:t>Original Lender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Borrower, the HK Subsidiary, the PRC Subsidiary, the PRC VIE and the Original Lender entered into that certain Loan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dated as of November 2, 2016, pursuant to which the Original Lender granted an unsecured term loan (the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to the Original Lender on November 2, 2016 with a principal amount of US$6,795,686.22.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Borrower has requested the Original Lender, and the Original Lender has agreed to, revise and extend the term of the Loan.</w:t>
      </w:r>
    </w:p>
    <w:p>
      <w:pPr>
        <w:spacing w:after="0" w:line="2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promises and agreements contained herein and for other good and valuable consideration, the receipt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sufficiency of which is hereby acknowledged, the parties hereto hereby agree as follow:</w:t>
      </w:r>
    </w:p>
    <w:p>
      <w:pPr>
        <w:spacing w:after="0" w:line="159" w:lineRule="exact"/>
        <w:rPr>
          <w:sz w:val="20"/>
          <w:szCs w:val="20"/>
          <w:color w:val="auto"/>
        </w:rPr>
      </w:pPr>
    </w:p>
    <w:p>
      <w:pPr>
        <w:ind w:left="660" w:right="560" w:hanging="652"/>
        <w:spacing w:after="0" w:line="282" w:lineRule="auto"/>
        <w:tabs>
          <w:tab w:leader="none" w:pos="66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1.1 of the Loan Agreement is hereby amended to delete the definition of “Final Maturity Date” in its entirety and to replace it with the following:</w:t>
      </w:r>
    </w:p>
    <w:p>
      <w:pPr>
        <w:spacing w:after="0" w:line="157" w:lineRule="exact"/>
        <w:rPr>
          <w:rFonts w:ascii="Times New Roman" w:cs="Times New Roman" w:eastAsia="Times New Roman" w:hAnsi="Times New Roman"/>
          <w:sz w:val="18"/>
          <w:szCs w:val="18"/>
          <w:color w:val="auto"/>
        </w:rPr>
      </w:pPr>
    </w:p>
    <w:p>
      <w:pPr>
        <w:ind w:left="6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Maturity Date</w:t>
      </w:r>
      <w:r>
        <w:rPr>
          <w:rFonts w:ascii="Times New Roman" w:cs="Times New Roman" w:eastAsia="Times New Roman" w:hAnsi="Times New Roman"/>
          <w:sz w:val="18"/>
          <w:szCs w:val="18"/>
          <w:color w:val="auto"/>
        </w:rPr>
        <w:t>’ means the date which falls twelve (12) Months from the relevant Utilisation Date, provided that if such day is not a Business Day, the Final Maturity Date shall be the next Business Day in that calendar month (if there is one) or the preceding Business Day (if there is not).”</w:t>
      </w:r>
    </w:p>
    <w:p>
      <w:pPr>
        <w:spacing w:after="0" w:line="158" w:lineRule="exact"/>
        <w:rPr>
          <w:rFonts w:ascii="Times New Roman" w:cs="Times New Roman" w:eastAsia="Times New Roman" w:hAnsi="Times New Roman"/>
          <w:sz w:val="18"/>
          <w:szCs w:val="18"/>
          <w:color w:val="auto"/>
        </w:rPr>
      </w:pPr>
    </w:p>
    <w:p>
      <w:pPr>
        <w:ind w:left="660" w:right="140" w:hanging="652"/>
        <w:spacing w:after="0" w:line="282" w:lineRule="auto"/>
        <w:tabs>
          <w:tab w:leader="none" w:pos="66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made by the Obligors to the Lender as set out in Clause 14 of the Loan Agreement is hereby repeated by the Obligors as of the date hereof as if each of such representations and warranties is made by the Obligors on the date hereof.</w:t>
      </w:r>
    </w:p>
    <w:p>
      <w:pPr>
        <w:spacing w:after="0" w:line="161" w:lineRule="exact"/>
        <w:rPr>
          <w:rFonts w:ascii="Times New Roman" w:cs="Times New Roman" w:eastAsia="Times New Roman" w:hAnsi="Times New Roman"/>
          <w:sz w:val="18"/>
          <w:szCs w:val="18"/>
          <w:color w:val="auto"/>
        </w:rPr>
      </w:pPr>
    </w:p>
    <w:p>
      <w:pPr>
        <w:ind w:left="660" w:hanging="652"/>
        <w:spacing w:after="0" w:line="258" w:lineRule="auto"/>
        <w:tabs>
          <w:tab w:leader="none" w:pos="66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date hereof, (i) all references in the Loan Agreement to “this Agreement” or words of like import referring to the Loan Agreement shall mean the Loan Agreement as amended by this Agreement, (ii) all references in the other Finance Documents to the “Loan Agreement” shall mean the Loan Agreement, as amended by this Agreement, (iii) all references in the Finance Documents to the “Finance Documents” shall mean the Finance Documents as amended by this Agreement, collectively, and (iv) all terms in the Finance Documents which, by the terms thereof, have the meanings set forth in the “Loan Agreement” shall have the respective meanings set forth in the Loan Agreement as amended by this Agreement.</w:t>
      </w:r>
    </w:p>
    <w:p>
      <w:pPr>
        <w:sectPr>
          <w:pgSz w:w="11900" w:h="16838" w:orient="portrait"/>
          <w:cols w:equalWidth="0" w:num="1">
            <w:col w:w="11420"/>
          </w:cols>
          <w:pgMar w:left="240" w:top="117" w:right="239" w:bottom="0" w:gutter="0" w:footer="0" w:header="0"/>
        </w:sectPr>
      </w:pPr>
    </w:p>
    <w:bookmarkStart w:id="192" w:name="page193"/>
    <w:bookmarkEnd w:id="192"/>
    <w:p>
      <w:pPr>
        <w:ind w:left="660" w:right="300" w:hanging="652"/>
        <w:spacing w:after="0" w:line="282" w:lineRule="auto"/>
        <w:tabs>
          <w:tab w:leader="none" w:pos="66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Obligors and the Original Lender hereby ratify and confirm the Loan Agreement and all other Finance Documents, in each case, as modified hereby. Except as modified and amended by this Agreement, the Loan, the Loan Agreement and the other Finance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Documents and the respective obligations of the Lender and the Obligors thereunder shall be and remain unmodified and in full force and effect.</w:t>
      </w:r>
    </w:p>
    <w:p>
      <w:pPr>
        <w:spacing w:after="0" w:line="225" w:lineRule="exact"/>
        <w:rPr>
          <w:sz w:val="20"/>
          <w:szCs w:val="20"/>
          <w:color w:val="auto"/>
        </w:rPr>
      </w:pPr>
    </w:p>
    <w:p>
      <w:pPr>
        <w:ind w:left="660" w:right="100" w:hanging="652"/>
        <w:spacing w:after="0" w:line="266" w:lineRule="auto"/>
        <w:tabs>
          <w:tab w:leader="none" w:pos="66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effectiveness of this Agreement shall not, except to the extent expressly provided herein, operate as a waiver of any right, power or remedy of the Lender under the Loan Agreement or any of the other Finance Documents, nor constitute a waiver of any provision of the Loan Agreement or any of the other Finance Documents by any of the parties hereto.</w:t>
      </w:r>
    </w:p>
    <w:p>
      <w:pPr>
        <w:spacing w:after="0" w:line="17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and inure to the benefit of the parties hereto and their respective successors and permitted assigns.</w:t>
      </w:r>
    </w:p>
    <w:p>
      <w:pPr>
        <w:spacing w:after="0" w:line="225" w:lineRule="exact"/>
        <w:rPr>
          <w:rFonts w:ascii="Times New Roman" w:cs="Times New Roman" w:eastAsia="Times New Roman" w:hAnsi="Times New Roman"/>
          <w:sz w:val="18"/>
          <w:szCs w:val="18"/>
          <w:color w:val="auto"/>
        </w:rPr>
      </w:pPr>
    </w:p>
    <w:p>
      <w:pPr>
        <w:ind w:left="660" w:right="160" w:hanging="652"/>
        <w:spacing w:after="0" w:line="282" w:lineRule="auto"/>
        <w:tabs>
          <w:tab w:leader="none" w:pos="66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 of this Agreement or any other Finance Documents may be amended or waived only with the consent of the Lender and the Obligors and any such amendment or waiver will be binding on all Parties.</w:t>
      </w:r>
    </w:p>
    <w:p>
      <w:pPr>
        <w:spacing w:after="0" w:line="161" w:lineRule="exact"/>
        <w:rPr>
          <w:rFonts w:ascii="Times New Roman" w:cs="Times New Roman" w:eastAsia="Times New Roman" w:hAnsi="Times New Roman"/>
          <w:sz w:val="18"/>
          <w:szCs w:val="18"/>
          <w:color w:val="auto"/>
        </w:rPr>
      </w:pPr>
    </w:p>
    <w:p>
      <w:pPr>
        <w:ind w:left="660" w:right="140" w:hanging="652"/>
        <w:spacing w:after="0" w:line="282" w:lineRule="auto"/>
        <w:tabs>
          <w:tab w:leader="none" w:pos="66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all non-contractual obligations arising from or in connection with this Agreement, are governed by, and construed exclusively in accordance with, the laws of Hong Kong.</w:t>
      </w:r>
    </w:p>
    <w:p>
      <w:pPr>
        <w:spacing w:after="0" w:line="161" w:lineRule="exact"/>
        <w:rPr>
          <w:rFonts w:ascii="Times New Roman" w:cs="Times New Roman" w:eastAsia="Times New Roman" w:hAnsi="Times New Roman"/>
          <w:sz w:val="18"/>
          <w:szCs w:val="18"/>
          <w:color w:val="auto"/>
        </w:rPr>
      </w:pPr>
    </w:p>
    <w:p>
      <w:pPr>
        <w:ind w:left="660" w:right="20" w:hanging="652"/>
        <w:spacing w:after="0" w:line="266" w:lineRule="auto"/>
        <w:tabs>
          <w:tab w:leader="none" w:pos="66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any provision of this Agreement is or becomes illegal, invalid or unenforceable in any respect under any law of any jurisdiction, neither the legality, validity or enforceability of the remaining provisions of this Agreement or any other Finance Documents nor the legality, validity or enforceability of such provisions under the law of any other jurisdiction will in any way be affected or impaired.</w:t>
      </w:r>
    </w:p>
    <w:p>
      <w:pPr>
        <w:spacing w:after="0" w:line="17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any number of counterparts, all of which taken together shall constitute one and the same instrument.</w:t>
      </w:r>
    </w:p>
    <w:p>
      <w:pPr>
        <w:spacing w:after="0" w:line="225" w:lineRule="exact"/>
        <w:rPr>
          <w:rFonts w:ascii="Times New Roman" w:cs="Times New Roman" w:eastAsia="Times New Roman" w:hAnsi="Times New Roman"/>
          <w:sz w:val="18"/>
          <w:szCs w:val="18"/>
          <w:color w:val="auto"/>
        </w:rPr>
      </w:pPr>
    </w:p>
    <w:p>
      <w:pPr>
        <w:ind w:left="660" w:hanging="652"/>
        <w:spacing w:after="0" w:line="258" w:lineRule="auto"/>
        <w:tabs>
          <w:tab w:leader="none" w:pos="649"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disputes and controversies arising out of or in connection with this Agreement (including a dispute regarding the existence, validity or termination of this Agreement) shall be referred to and finally settled by arbitration at the Hong Kong International Arbitration Centre in accordance with the UNCITRAL Arbitration Rules (the “</w:t>
      </w:r>
      <w:r>
        <w:rPr>
          <w:rFonts w:ascii="Times New Roman" w:cs="Times New Roman" w:eastAsia="Times New Roman" w:hAnsi="Times New Roman"/>
          <w:sz w:val="18"/>
          <w:szCs w:val="18"/>
          <w:b w:val="1"/>
          <w:bCs w:val="1"/>
          <w:color w:val="auto"/>
        </w:rPr>
        <w:t>UNCITRAL Rules</w:t>
      </w:r>
      <w:r>
        <w:rPr>
          <w:rFonts w:ascii="Times New Roman" w:cs="Times New Roman" w:eastAsia="Times New Roman" w:hAnsi="Times New Roman"/>
          <w:sz w:val="18"/>
          <w:szCs w:val="18"/>
          <w:color w:val="auto"/>
        </w:rPr>
        <w:t>”) in effect, which rules are deemed to be incorporated by reference into this clause. The arbitration tribunal shall consist of three arbitrators to be appointed according to the UNCITRAL Rules. The language of the arbitration shall be English.</w:t>
      </w:r>
    </w:p>
    <w:p>
      <w:pPr>
        <w:spacing w:after="0" w:line="183" w:lineRule="exact"/>
        <w:rPr>
          <w:rFonts w:ascii="Times New Roman" w:cs="Times New Roman" w:eastAsia="Times New Roman" w:hAnsi="Times New Roman"/>
          <w:sz w:val="18"/>
          <w:szCs w:val="18"/>
          <w:color w:val="auto"/>
        </w:rPr>
      </w:pPr>
    </w:p>
    <w:p>
      <w:pPr>
        <w:ind w:left="660" w:hanging="652"/>
        <w:spacing w:after="0" w:line="282" w:lineRule="auto"/>
        <w:tabs>
          <w:tab w:leader="none" w:pos="655"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the entire agreement among the Obligors and the Original Lender with respect to subject matter hereof and supersedes all other prior agreements and understandings, both written and oral, among the parties with respect to the subject matter hereof.</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capitalized terms used herein and not otherwise defined herein shall have the respective meanings set forth in the Loan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Agreement has been entered into on the date stated at the beginning of this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execution by the Borrower</w:t>
            </w:r>
          </w:p>
        </w:tc>
        <w:tc>
          <w:tcPr>
            <w:tcW w:w="1700" w:type="dxa"/>
            <w:vAlign w:val="bottom"/>
          </w:tcPr>
          <w:p>
            <w:pPr>
              <w:spacing w:after="0"/>
              <w:rPr>
                <w:sz w:val="20"/>
                <w:szCs w:val="20"/>
                <w:color w:val="auto"/>
              </w:rPr>
            </w:pPr>
          </w:p>
        </w:tc>
        <w:tc>
          <w:tcPr>
            <w:tcW w:w="5320" w:type="dxa"/>
            <w:vAlign w:val="bottom"/>
          </w:tcPr>
          <w:p>
            <w:pPr>
              <w:spacing w:after="0"/>
              <w:rPr>
                <w:sz w:val="20"/>
                <w:szCs w:val="20"/>
                <w:color w:val="auto"/>
              </w:rPr>
            </w:pPr>
          </w:p>
        </w:tc>
      </w:tr>
      <w:tr>
        <w:trPr>
          <w:trHeight w:val="6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and DELIVERED </w:t>
            </w:r>
            <w:r>
              <w:rPr>
                <w:rFonts w:ascii="Times New Roman" w:cs="Times New Roman" w:eastAsia="Times New Roman" w:hAnsi="Times New Roman"/>
                <w:sz w:val="18"/>
                <w:szCs w:val="18"/>
                <w:color w:val="auto"/>
              </w:rPr>
              <w:t>by</w:t>
            </w: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spacing w:after="0"/>
              <w:rPr>
                <w:sz w:val="24"/>
                <w:szCs w:val="24"/>
                <w:color w:val="auto"/>
              </w:rPr>
            </w:pPr>
          </w:p>
        </w:tc>
      </w:tr>
      <w:tr>
        <w:trPr>
          <w:trHeight w:val="216"/>
        </w:trPr>
        <w:tc>
          <w:tcPr>
            <w:tcW w:w="15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spacing w:after="0"/>
              <w:rPr>
                <w:sz w:val="18"/>
                <w:szCs w:val="18"/>
                <w:color w:val="auto"/>
              </w:rPr>
            </w:pPr>
          </w:p>
        </w:tc>
      </w:tr>
      <w:tr>
        <w:trPr>
          <w:trHeight w:val="212"/>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2900" w:type="dxa"/>
            <w:vAlign w:val="bottom"/>
          </w:tcPr>
          <w:p>
            <w:pPr>
              <w:spacing w:after="0"/>
              <w:rPr>
                <w:sz w:val="18"/>
                <w:szCs w:val="18"/>
                <w:color w:val="auto"/>
              </w:rPr>
            </w:pP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spacing w:after="0"/>
              <w:rPr>
                <w:sz w:val="18"/>
                <w:szCs w:val="18"/>
                <w:color w:val="auto"/>
              </w:rPr>
            </w:pPr>
          </w:p>
        </w:tc>
      </w:tr>
      <w:tr>
        <w:trPr>
          <w:trHeight w:val="238"/>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PARTICLE INC.</w:t>
            </w:r>
          </w:p>
        </w:tc>
        <w:tc>
          <w:tcPr>
            <w:tcW w:w="2900" w:type="dxa"/>
            <w:vAlign w:val="bottom"/>
          </w:tcPr>
          <w:p>
            <w:pPr>
              <w:spacing w:after="0"/>
              <w:rPr>
                <w:sz w:val="20"/>
                <w:szCs w:val="20"/>
                <w:color w:val="auto"/>
              </w:rPr>
            </w:pP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YA Li</w:t>
            </w:r>
          </w:p>
        </w:tc>
      </w:tr>
      <w:tr>
        <w:trPr>
          <w:trHeight w:val="426"/>
        </w:trPr>
        <w:tc>
          <w:tcPr>
            <w:tcW w:w="15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 / AUTHORISED SIGNATORY</w:t>
            </w:r>
          </w:p>
        </w:tc>
      </w:tr>
      <w:tr>
        <w:trPr>
          <w:trHeight w:val="64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execution by the Covenantors</w:t>
            </w:r>
          </w:p>
        </w:tc>
        <w:tc>
          <w:tcPr>
            <w:tcW w:w="1700" w:type="dxa"/>
            <w:vAlign w:val="bottom"/>
          </w:tcPr>
          <w:p>
            <w:pPr>
              <w:spacing w:after="0"/>
              <w:rPr>
                <w:sz w:val="24"/>
                <w:szCs w:val="24"/>
                <w:color w:val="auto"/>
              </w:rPr>
            </w:pPr>
          </w:p>
        </w:tc>
        <w:tc>
          <w:tcPr>
            <w:tcW w:w="5320" w:type="dxa"/>
            <w:vAlign w:val="bottom"/>
          </w:tcPr>
          <w:p>
            <w:pPr>
              <w:spacing w:after="0"/>
              <w:rPr>
                <w:sz w:val="24"/>
                <w:szCs w:val="24"/>
                <w:color w:val="auto"/>
              </w:rPr>
            </w:pPr>
          </w:p>
        </w:tc>
      </w:tr>
      <w:tr>
        <w:trPr>
          <w:trHeight w:val="6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and DELIVERED </w:t>
            </w:r>
            <w:r>
              <w:rPr>
                <w:rFonts w:ascii="Times New Roman" w:cs="Times New Roman" w:eastAsia="Times New Roman" w:hAnsi="Times New Roman"/>
                <w:sz w:val="18"/>
                <w:szCs w:val="18"/>
                <w:color w:val="auto"/>
              </w:rPr>
              <w:t>by</w:t>
            </w: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spacing w:after="0"/>
              <w:rPr>
                <w:sz w:val="24"/>
                <w:szCs w:val="24"/>
                <w:color w:val="auto"/>
              </w:rPr>
            </w:pPr>
          </w:p>
        </w:tc>
      </w:tr>
      <w:tr>
        <w:trPr>
          <w:trHeight w:val="216"/>
        </w:trPr>
        <w:tc>
          <w:tcPr>
            <w:tcW w:w="15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spacing w:after="0"/>
              <w:rPr>
                <w:sz w:val="18"/>
                <w:szCs w:val="18"/>
                <w:color w:val="auto"/>
              </w:rPr>
            </w:pPr>
          </w:p>
        </w:tc>
      </w:tr>
      <w:tr>
        <w:trPr>
          <w:trHeight w:val="212"/>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2900" w:type="dxa"/>
            <w:vAlign w:val="bottom"/>
          </w:tcPr>
          <w:p>
            <w:pPr>
              <w:spacing w:after="0"/>
              <w:rPr>
                <w:sz w:val="18"/>
                <w:szCs w:val="18"/>
                <w:color w:val="auto"/>
              </w:rPr>
            </w:pP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spacing w:after="0"/>
              <w:rPr>
                <w:sz w:val="18"/>
                <w:szCs w:val="18"/>
                <w:color w:val="auto"/>
              </w:rPr>
            </w:pPr>
          </w:p>
        </w:tc>
      </w:tr>
      <w:tr>
        <w:trPr>
          <w:trHeight w:val="23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PARTICLE (HK) LIMITED</w:t>
            </w: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YA Li</w:t>
            </w:r>
          </w:p>
        </w:tc>
      </w:tr>
      <w:tr>
        <w:trPr>
          <w:trHeight w:val="426"/>
        </w:trPr>
        <w:tc>
          <w:tcPr>
            <w:tcW w:w="15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 / AUTHORISED SIGNATORY</w:t>
            </w:r>
          </w:p>
        </w:tc>
      </w:tr>
      <w:tr>
        <w:trPr>
          <w:trHeight w:val="6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and DELIVERED </w:t>
            </w:r>
            <w:r>
              <w:rPr>
                <w:rFonts w:ascii="Times New Roman" w:cs="Times New Roman" w:eastAsia="Times New Roman" w:hAnsi="Times New Roman"/>
                <w:sz w:val="18"/>
                <w:szCs w:val="18"/>
                <w:color w:val="auto"/>
              </w:rPr>
              <w:t>by</w:t>
            </w: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spacing w:after="0"/>
              <w:rPr>
                <w:sz w:val="24"/>
                <w:szCs w:val="24"/>
                <w:color w:val="auto"/>
              </w:rPr>
            </w:pPr>
          </w:p>
        </w:tc>
      </w:tr>
      <w:tr>
        <w:trPr>
          <w:trHeight w:val="216"/>
        </w:trPr>
        <w:tc>
          <w:tcPr>
            <w:tcW w:w="15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spacing w:after="0"/>
              <w:rPr>
                <w:sz w:val="18"/>
                <w:szCs w:val="18"/>
                <w:color w:val="auto"/>
              </w:rPr>
            </w:pPr>
          </w:p>
        </w:tc>
      </w:tr>
      <w:tr>
        <w:trPr>
          <w:trHeight w:val="212"/>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2900" w:type="dxa"/>
            <w:vAlign w:val="bottom"/>
          </w:tcPr>
          <w:p>
            <w:pPr>
              <w:spacing w:after="0"/>
              <w:rPr>
                <w:sz w:val="18"/>
                <w:szCs w:val="18"/>
                <w:color w:val="auto"/>
              </w:rPr>
            </w:pP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spacing w:after="0"/>
              <w:rPr>
                <w:sz w:val="18"/>
                <w:szCs w:val="18"/>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BEIJING PARTICLE INFORMATION</w:t>
            </w: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spacing w:after="0"/>
              <w:rPr>
                <w:sz w:val="18"/>
                <w:szCs w:val="18"/>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TECHNOLOGY CO., LTD.</w:t>
            </w: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spacing w:after="0"/>
              <w:rPr>
                <w:sz w:val="18"/>
                <w:szCs w:val="18"/>
                <w:color w:val="auto"/>
              </w:rPr>
            </w:pPr>
          </w:p>
        </w:tc>
      </w:tr>
      <w:tr>
        <w:trPr>
          <w:trHeight w:val="238"/>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900" w:type="dxa"/>
            <w:vAlign w:val="bottom"/>
          </w:tcPr>
          <w:p>
            <w:pPr>
              <w:jc w:val="right"/>
              <w:ind w:right="267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YA Li</w:t>
            </w:r>
          </w:p>
        </w:tc>
      </w:tr>
    </w:tbl>
    <w:p>
      <w:pPr>
        <w:sectPr>
          <w:pgSz w:w="11900" w:h="16838" w:orient="portrait"/>
          <w:cols w:equalWidth="0" w:num="1">
            <w:col w:w="11420"/>
          </w:cols>
          <w:pgMar w:left="240" w:top="121" w:right="239" w:bottom="0" w:gutter="0" w:footer="0" w:header="0"/>
        </w:sectPr>
      </w:pPr>
    </w:p>
    <w:bookmarkStart w:id="193" w:name="page194"/>
    <w:bookmarkEnd w:id="1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 / AUTHORISED SIGNATORY</w:t>
            </w:r>
          </w:p>
        </w:tc>
      </w:tr>
      <w:tr>
        <w:trPr>
          <w:trHeight w:val="630"/>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and DELIVERED </w:t>
            </w:r>
            <w:r>
              <w:rPr>
                <w:rFonts w:ascii="Times New Roman" w:cs="Times New Roman" w:eastAsia="Times New Roman" w:hAnsi="Times New Roman"/>
                <w:sz w:val="18"/>
                <w:szCs w:val="18"/>
                <w:color w:val="auto"/>
              </w:rPr>
              <w:t>by</w:t>
            </w:r>
          </w:p>
        </w:tc>
        <w:tc>
          <w:tcPr>
            <w:tcW w:w="206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6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spacing w:after="0"/>
              <w:rPr>
                <w:sz w:val="18"/>
                <w:szCs w:val="18"/>
                <w:color w:val="auto"/>
              </w:rPr>
            </w:pP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206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spacing w:after="0"/>
              <w:rPr>
                <w:sz w:val="18"/>
                <w:szCs w:val="18"/>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BEIJING YIDIANWANGJU</w:t>
            </w:r>
          </w:p>
        </w:tc>
        <w:tc>
          <w:tcPr>
            <w:tcW w:w="206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spacing w:after="0"/>
              <w:rPr>
                <w:sz w:val="18"/>
                <w:szCs w:val="18"/>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TECHNOLOGY CO., LTD.</w:t>
            </w:r>
          </w:p>
        </w:tc>
        <w:tc>
          <w:tcPr>
            <w:tcW w:w="206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spacing w:after="0"/>
              <w:rPr>
                <w:sz w:val="18"/>
                <w:szCs w:val="18"/>
                <w:color w:val="auto"/>
              </w:rPr>
            </w:pPr>
          </w:p>
        </w:tc>
      </w:t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320" w:type="dxa"/>
            <w:vAlign w:val="bottom"/>
          </w:tcPr>
          <w:p>
            <w:pPr>
              <w:jc w:val="right"/>
              <w:ind w:right="2530"/>
              <w:spacing w:after="0"/>
              <w:rPr>
                <w:sz w:val="20"/>
                <w:szCs w:val="20"/>
                <w:color w:val="auto"/>
              </w:rPr>
            </w:pPr>
            <w:r>
              <w:rPr>
                <w:rFonts w:ascii="Times New Roman" w:cs="Times New Roman" w:eastAsia="Times New Roman" w:hAnsi="Times New Roman"/>
                <w:sz w:val="18"/>
                <w:szCs w:val="18"/>
                <w:b w:val="1"/>
                <w:bCs w:val="1"/>
                <w:color w:val="auto"/>
              </w:rPr>
              <w:t>)</w:t>
            </w:r>
          </w:p>
        </w:tc>
        <w:tc>
          <w:tcPr>
            <w:tcW w:w="738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    /S/ YA Li</w:t>
            </w:r>
          </w:p>
        </w:tc>
      </w:tr>
      <w:tr>
        <w:trPr>
          <w:trHeight w:val="20"/>
        </w:trPr>
        <w:tc>
          <w:tcPr>
            <w:tcW w:w="7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320" w:type="dxa"/>
            <w:vAlign w:val="bottom"/>
            <w:shd w:val="clear" w:color="auto" w:fill="000000"/>
          </w:tcPr>
          <w:p>
            <w:pPr>
              <w:spacing w:after="0" w:line="20" w:lineRule="exact"/>
              <w:rPr>
                <w:sz w:val="1"/>
                <w:szCs w:val="1"/>
                <w:color w:val="auto"/>
              </w:rPr>
            </w:pPr>
          </w:p>
        </w:tc>
      </w:tr>
    </w:tbl>
    <w:p>
      <w:pPr>
        <w:spacing w:after="0" w:line="19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DIRECTOR / 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754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SIGNATURE PAGE</w:t>
            </w:r>
          </w:p>
        </w:tc>
        <w:tc>
          <w:tcPr>
            <w:tcW w:w="40" w:type="dxa"/>
            <w:vAlign w:val="bottom"/>
          </w:tcPr>
          <w:p>
            <w:pPr>
              <w:spacing w:after="0"/>
              <w:rPr>
                <w:sz w:val="20"/>
                <w:szCs w:val="20"/>
                <w:color w:val="auto"/>
              </w:rPr>
            </w:pPr>
          </w:p>
        </w:tc>
      </w:tr>
      <w:tr>
        <w:trPr>
          <w:trHeight w:val="432"/>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For execution by the Lender</w:t>
            </w:r>
          </w:p>
        </w:tc>
        <w:tc>
          <w:tcPr>
            <w:tcW w:w="22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30"/>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and DELIVERED </w:t>
            </w:r>
            <w:r>
              <w:rPr>
                <w:rFonts w:ascii="Times New Roman" w:cs="Times New Roman" w:eastAsia="Times New Roman" w:hAnsi="Times New Roman"/>
                <w:sz w:val="18"/>
                <w:szCs w:val="18"/>
                <w:color w:val="auto"/>
              </w:rPr>
              <w:t>by</w:t>
            </w:r>
          </w:p>
        </w:tc>
        <w:tc>
          <w:tcPr>
            <w:tcW w:w="22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3880" w:type="dxa"/>
            <w:vAlign w:val="bottom"/>
          </w:tcPr>
          <w:p>
            <w:pPr>
              <w:spacing w:after="0"/>
              <w:rPr>
                <w:sz w:val="18"/>
                <w:szCs w:val="18"/>
                <w:color w:val="auto"/>
              </w:rPr>
            </w:pPr>
          </w:p>
        </w:tc>
        <w:tc>
          <w:tcPr>
            <w:tcW w:w="22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22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tc>
        <w:tc>
          <w:tcPr>
            <w:tcW w:w="75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    /s/ Shuang Liu</w:t>
            </w:r>
          </w:p>
        </w:tc>
        <w:tc>
          <w:tcPr>
            <w:tcW w:w="40" w:type="dxa"/>
            <w:vAlign w:val="bottom"/>
          </w:tcPr>
          <w:p>
            <w:pPr>
              <w:spacing w:after="0"/>
              <w:rPr>
                <w:sz w:val="20"/>
                <w:szCs w:val="20"/>
                <w:color w:val="auto"/>
              </w:rPr>
            </w:pPr>
          </w:p>
        </w:tc>
      </w:tr>
      <w:tr>
        <w:trPr>
          <w:trHeight w:val="426"/>
        </w:trPr>
        <w:tc>
          <w:tcPr>
            <w:tcW w:w="38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DIRECTOR / AUTHORISED SIGNATORY</w:t>
            </w:r>
          </w:p>
        </w:tc>
        <w:tc>
          <w:tcPr>
            <w:tcW w:w="40" w:type="dxa"/>
            <w:vAlign w:val="bottom"/>
          </w:tcPr>
          <w:p>
            <w:pPr>
              <w:spacing w:after="0"/>
              <w:rPr>
                <w:sz w:val="24"/>
                <w:szCs w:val="24"/>
                <w:color w:val="auto"/>
              </w:rPr>
            </w:pPr>
          </w:p>
        </w:tc>
      </w:tr>
      <w:tr>
        <w:trPr>
          <w:trHeight w:val="348"/>
        </w:trPr>
        <w:tc>
          <w:tcPr>
            <w:tcW w:w="388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c>
          <w:tcPr>
            <w:tcW w:w="53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Exhibit 4.49</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20, 2017</w:t>
      </w:r>
    </w:p>
    <w:p>
      <w:pPr>
        <w:spacing w:after="0" w:line="225" w:lineRule="exact"/>
        <w:rPr>
          <w:sz w:val="20"/>
          <w:szCs w:val="20"/>
          <w:color w:val="auto"/>
        </w:rPr>
      </w:pPr>
    </w:p>
    <w:p>
      <w:pPr>
        <w:ind w:left="5240" w:right="3660" w:hanging="1565"/>
        <w:spacing w:after="0" w:line="286" w:lineRule="auto"/>
        <w:tabs>
          <w:tab w:leader="none" w:pos="3931" w:val="left"/>
        </w:tabs>
        <w:numPr>
          <w:ilvl w:val="0"/>
          <w:numId w:val="4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Beijing Particle Information Technology Co., Ltd. as Borrower</w:t>
      </w:r>
    </w:p>
    <w:p>
      <w:pPr>
        <w:spacing w:after="0" w:line="155" w:lineRule="exact"/>
        <w:rPr>
          <w:sz w:val="20"/>
          <w:szCs w:val="20"/>
          <w:color w:val="auto"/>
        </w:rPr>
      </w:pPr>
    </w:p>
    <w:p>
      <w:pPr>
        <w:ind w:left="5080" w:right="4920" w:hanging="159"/>
        <w:spacing w:after="0" w:line="317" w:lineRule="auto"/>
        <w:tabs>
          <w:tab w:leader="none" w:pos="5167" w:val="left"/>
        </w:tabs>
        <w:numPr>
          <w:ilvl w:val="2"/>
          <w:numId w:val="4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PARTICLE INC. as a Covenantor</w:t>
      </w:r>
    </w:p>
    <w:p>
      <w:pPr>
        <w:spacing w:after="0" w:line="131" w:lineRule="exact"/>
        <w:rPr>
          <w:rFonts w:ascii="Times New Roman" w:cs="Times New Roman" w:eastAsia="Times New Roman" w:hAnsi="Times New Roman"/>
          <w:sz w:val="17"/>
          <w:szCs w:val="17"/>
          <w:b w:val="1"/>
          <w:bCs w:val="1"/>
          <w:color w:val="auto"/>
        </w:rPr>
      </w:pPr>
    </w:p>
    <w:p>
      <w:pPr>
        <w:ind w:left="5120" w:right="4720" w:hanging="383"/>
        <w:spacing w:after="0" w:line="317" w:lineRule="auto"/>
        <w:tabs>
          <w:tab w:leader="none" w:pos="5000" w:val="left"/>
        </w:tabs>
        <w:numPr>
          <w:ilvl w:val="1"/>
          <w:numId w:val="4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Particle (HK) Limited as a Covenantor</w:t>
      </w:r>
    </w:p>
    <w:p>
      <w:pPr>
        <w:spacing w:after="0" w:line="131" w:lineRule="exact"/>
        <w:rPr>
          <w:rFonts w:ascii="Times New Roman" w:cs="Times New Roman" w:eastAsia="Times New Roman" w:hAnsi="Times New Roman"/>
          <w:sz w:val="17"/>
          <w:szCs w:val="17"/>
          <w:b w:val="1"/>
          <w:bCs w:val="1"/>
          <w:color w:val="auto"/>
        </w:rPr>
      </w:pPr>
    </w:p>
    <w:p>
      <w:pPr>
        <w:ind w:left="4180" w:hanging="255"/>
        <w:spacing w:after="0"/>
        <w:tabs>
          <w:tab w:leader="none" w:pos="4180" w:val="left"/>
        </w:tabs>
        <w:numPr>
          <w:ilvl w:val="0"/>
          <w:numId w:val="4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Beijing Yidianwangju Technology Co., Ltd.</w:t>
      </w:r>
    </w:p>
    <w:p>
      <w:pPr>
        <w:spacing w:after="0" w:line="31" w:lineRule="exact"/>
        <w:rPr>
          <w:sz w:val="20"/>
          <w:szCs w:val="20"/>
          <w:color w:val="auto"/>
        </w:rPr>
      </w:pPr>
    </w:p>
    <w:p>
      <w:pPr>
        <w:ind w:left="6360" w:hanging="1354"/>
        <w:spacing w:after="0"/>
        <w:tabs>
          <w:tab w:leader="none" w:pos="6360" w:val="left"/>
        </w:tabs>
        <w:numPr>
          <w:ilvl w:val="0"/>
          <w:numId w:val="4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9" w:lineRule="exact"/>
        <w:rPr>
          <w:rFonts w:ascii="Times New Roman" w:cs="Times New Roman" w:eastAsia="Times New Roman" w:hAnsi="Times New Roman"/>
          <w:sz w:val="18"/>
          <w:szCs w:val="18"/>
          <w:b w:val="1"/>
          <w:bCs w:val="1"/>
          <w:color w:val="auto"/>
        </w:rPr>
      </w:pPr>
    </w:p>
    <w:p>
      <w:pPr>
        <w:ind w:left="50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 a Covenantor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ind w:left="5260" w:right="3460" w:hanging="1799"/>
        <w:spacing w:after="0" w:line="537" w:lineRule="auto"/>
        <w:tabs>
          <w:tab w:leader="none" w:pos="3712" w:val="left"/>
        </w:tabs>
        <w:numPr>
          <w:ilvl w:val="0"/>
          <w:numId w:val="4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Beijing Tianying Jiuzhou Network Technology Co., Ltd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43180</wp:posOffset>
            </wp:positionV>
            <wp:extent cx="182689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506730</wp:posOffset>
            </wp:positionV>
            <wp:extent cx="726757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6760" w:type="dxa"/>
            <w:vAlign w:val="bottom"/>
            <w:gridSpan w:val="4"/>
          </w:tcPr>
          <w:p>
            <w:pPr>
              <w:jc w:val="right"/>
              <w:ind w:right="5240"/>
              <w:spacing w:after="0"/>
              <w:rPr>
                <w:sz w:val="20"/>
                <w:szCs w:val="20"/>
                <w:color w:val="auto"/>
              </w:rPr>
            </w:pPr>
            <w:r>
              <w:rPr>
                <w:rFonts w:ascii="Times New Roman" w:cs="Times New Roman" w:eastAsia="Times New Roman" w:hAnsi="Times New Roman"/>
                <w:sz w:val="18"/>
                <w:szCs w:val="18"/>
                <w:b w:val="1"/>
                <w:bCs w:val="1"/>
                <w:color w:val="auto"/>
              </w:rPr>
              <w:t>CONTENTS</w:t>
            </w:r>
          </w:p>
        </w:tc>
      </w:tr>
      <w:tr>
        <w:trPr>
          <w:trHeight w:val="365"/>
        </w:trPr>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CLAUSE</w:t>
            </w:r>
          </w:p>
        </w:tc>
        <w:tc>
          <w:tcPr>
            <w:tcW w:w="38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1"/>
        </w:trPr>
        <w:tc>
          <w:tcPr>
            <w:tcW w:w="20" w:type="dxa"/>
            <w:vAlign w:val="bottom"/>
          </w:tcPr>
          <w:p>
            <w:pPr>
              <w:spacing w:after="0"/>
              <w:rPr>
                <w:sz w:val="16"/>
                <w:szCs w:val="16"/>
                <w:color w:val="auto"/>
              </w:rPr>
            </w:pPr>
          </w:p>
        </w:tc>
        <w:tc>
          <w:tcPr>
            <w:tcW w:w="8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w:t>
            </w:r>
          </w:p>
        </w:tc>
        <w:tc>
          <w:tcPr>
            <w:tcW w:w="3860" w:type="dxa"/>
            <w:vAlign w:val="bottom"/>
            <w:tcBorders>
              <w:top w:val="single" w:sz="8" w:color="auto"/>
            </w:tcBorders>
          </w:tcPr>
          <w:p>
            <w:pPr>
              <w:ind w:left="220"/>
              <w:spacing w:after="0" w:line="191" w:lineRule="exact"/>
              <w:rPr>
                <w:sz w:val="20"/>
                <w:szCs w:val="20"/>
                <w:color w:val="auto"/>
              </w:rPr>
            </w:pPr>
            <w:r>
              <w:rPr>
                <w:rFonts w:ascii="Times New Roman" w:cs="Times New Roman" w:eastAsia="Times New Roman" w:hAnsi="Times New Roman"/>
                <w:sz w:val="18"/>
                <w:szCs w:val="18"/>
                <w:color w:val="auto"/>
              </w:rPr>
              <w:t>DEFINITIONS AND INTERPRETATION</w:t>
            </w:r>
          </w:p>
        </w:tc>
        <w:tc>
          <w:tcPr>
            <w:tcW w:w="57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r>
      <w:tr>
        <w:trPr>
          <w:trHeight w:val="2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FACILITY</w:t>
            </w:r>
          </w:p>
        </w:tc>
        <w:tc>
          <w:tcPr>
            <w:tcW w:w="6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PURPOSE</w:t>
            </w:r>
          </w:p>
        </w:tc>
        <w:tc>
          <w:tcPr>
            <w:tcW w:w="6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CONDITIONS OF UTILISATION</w:t>
            </w:r>
          </w:p>
        </w:tc>
        <w:tc>
          <w:tcPr>
            <w:tcW w:w="6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UTILISATION</w:t>
            </w:r>
          </w:p>
        </w:tc>
        <w:tc>
          <w:tcPr>
            <w:tcW w:w="6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6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w:t>
            </w:r>
          </w:p>
        </w:tc>
        <w:tc>
          <w:tcPr>
            <w:tcW w:w="6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PREPAYMENT AND CANCELLATION</w:t>
            </w:r>
          </w:p>
        </w:tc>
        <w:tc>
          <w:tcPr>
            <w:tcW w:w="6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GROSS UP AND INDEMNITIES</w:t>
            </w:r>
          </w:p>
        </w:tc>
        <w:tc>
          <w:tcPr>
            <w:tcW w:w="6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INCREASED COSTS</w:t>
            </w:r>
          </w:p>
        </w:tc>
        <w:tc>
          <w:tcPr>
            <w:tcW w:w="6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MITIGATION BY THE LENDER</w:t>
            </w:r>
          </w:p>
        </w:tc>
        <w:tc>
          <w:tcPr>
            <w:tcW w:w="6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INDEMNITIES</w:t>
            </w:r>
          </w:p>
        </w:tc>
        <w:tc>
          <w:tcPr>
            <w:tcW w:w="6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COSTS, EXPENSES AND FEE</w:t>
            </w:r>
          </w:p>
        </w:tc>
        <w:tc>
          <w:tcPr>
            <w:tcW w:w="6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REPRESENTATIONS</w:t>
            </w:r>
          </w:p>
        </w:tc>
        <w:tc>
          <w:tcPr>
            <w:tcW w:w="6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INFORMATION UNDERTAKINGS</w:t>
            </w:r>
          </w:p>
        </w:tc>
        <w:tc>
          <w:tcPr>
            <w:tcW w:w="6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16.</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UNDERTAKINGS</w:t>
            </w:r>
          </w:p>
        </w:tc>
        <w:tc>
          <w:tcPr>
            <w:tcW w:w="6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17.</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EVENTS OF DEFAULT</w:t>
            </w:r>
          </w:p>
        </w:tc>
        <w:tc>
          <w:tcPr>
            <w:tcW w:w="6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18.</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TO THE LENDER</w:t>
            </w:r>
          </w:p>
        </w:tc>
        <w:tc>
          <w:tcPr>
            <w:tcW w:w="6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19.</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TO THE OBLIGORS</w:t>
            </w:r>
          </w:p>
        </w:tc>
        <w:tc>
          <w:tcPr>
            <w:tcW w:w="6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DISCLOSURE OF INFORMATION</w:t>
            </w:r>
          </w:p>
        </w:tc>
        <w:tc>
          <w:tcPr>
            <w:tcW w:w="6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MECHANICS</w:t>
            </w:r>
          </w:p>
        </w:tc>
        <w:tc>
          <w:tcPr>
            <w:tcW w:w="6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SET-OFF</w:t>
            </w:r>
          </w:p>
        </w:tc>
        <w:tc>
          <w:tcPr>
            <w:tcW w:w="6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NOTICES</w:t>
            </w:r>
          </w:p>
        </w:tc>
        <w:tc>
          <w:tcPr>
            <w:tcW w:w="6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CALCULATIONS AND CERTIFICATES</w:t>
            </w:r>
          </w:p>
        </w:tc>
        <w:tc>
          <w:tcPr>
            <w:tcW w:w="6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PARTIAL INVALIDITY</w:t>
            </w:r>
          </w:p>
        </w:tc>
        <w:tc>
          <w:tcPr>
            <w:tcW w:w="6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26.</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REMEDIES AND WAIVERS</w:t>
            </w:r>
          </w:p>
        </w:tc>
        <w:tc>
          <w:tcPr>
            <w:tcW w:w="6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27.</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AMENDMENTS AND WAIVERS</w:t>
            </w:r>
          </w:p>
        </w:tc>
        <w:tc>
          <w:tcPr>
            <w:tcW w:w="6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28.</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COUNTERPARTS</w:t>
            </w:r>
          </w:p>
        </w:tc>
        <w:tc>
          <w:tcPr>
            <w:tcW w:w="6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29.</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GOVERNING LAW</w:t>
            </w:r>
          </w:p>
        </w:tc>
        <w:tc>
          <w:tcPr>
            <w:tcW w:w="6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DISPUTE RESOLUTION</w:t>
            </w:r>
          </w:p>
        </w:tc>
        <w:tc>
          <w:tcPr>
            <w:tcW w:w="6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bl>
    <w:p>
      <w:pPr>
        <w:spacing w:after="0"/>
        <w:rPr>
          <w:sz w:val="20"/>
          <w:szCs w:val="20"/>
          <w:color w:val="auto"/>
        </w:rPr>
      </w:pPr>
      <w:r>
        <w:rPr>
          <w:rFonts w:ascii="Times New Roman" w:cs="Times New Roman" w:eastAsia="Times New Roman" w:hAnsi="Times New Roman"/>
          <w:sz w:val="18"/>
          <w:szCs w:val="18"/>
          <w:color w:val="auto"/>
        </w:rPr>
        <w:t>SCHEDULE 1 CONDITIONS PRECEDENT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2 FORM OF UTILISATION REQUEST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 FORM OF TRANSFER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is dated January 20, 2017 and made between:</w:t>
      </w:r>
    </w:p>
    <w:p>
      <w:pPr>
        <w:sectPr>
          <w:pgSz w:w="11900" w:h="16838" w:orient="portrait"/>
          <w:cols w:equalWidth="0" w:num="1">
            <w:col w:w="11420"/>
          </w:cols>
          <w:pgMar w:left="240" w:top="117" w:right="239" w:bottom="0" w:gutter="0" w:footer="0" w:header="0"/>
        </w:sectPr>
      </w:pPr>
    </w:p>
    <w:bookmarkStart w:id="195" w:name="page196"/>
    <w:bookmarkEnd w:id="195"/>
    <w:p>
      <w:pPr>
        <w:spacing w:after="0" w:line="15" w:lineRule="exact"/>
        <w:rPr>
          <w:sz w:val="20"/>
          <w:szCs w:val="20"/>
          <w:color w:val="auto"/>
        </w:rPr>
      </w:pPr>
    </w:p>
    <w:p>
      <w:pPr>
        <w:ind w:left="660" w:right="420" w:hanging="652"/>
        <w:spacing w:after="0" w:line="286" w:lineRule="auto"/>
        <w:tabs>
          <w:tab w:leader="none" w:pos="671"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BEIJING PARTICLE INFORMATION TECHNOLOGY CO., LTD.</w:t>
      </w:r>
      <w:r>
        <w:rPr>
          <w:rFonts w:ascii="Times New Roman" w:cs="Times New Roman" w:eastAsia="Times New Roman" w:hAnsi="Times New Roman"/>
          <w:sz w:val="18"/>
          <w:szCs w:val="18"/>
          <w:color w:val="auto"/>
        </w:rPr>
        <w:t>, a limited liability company organized under the laws of the PRC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PARTICLE INC.</w:t>
      </w:r>
      <w:r>
        <w:rPr>
          <w:rFonts w:ascii="Times New Roman" w:cs="Times New Roman" w:eastAsia="Times New Roman" w:hAnsi="Times New Roman"/>
          <w:sz w:val="18"/>
          <w:szCs w:val="18"/>
          <w:color w:val="auto"/>
        </w:rPr>
        <w:t>, an exempted limited liability company organized under the laws of the Cayman Islands (the “</w:t>
      </w:r>
      <w:r>
        <w:rPr>
          <w:rFonts w:ascii="Times New Roman" w:cs="Times New Roman" w:eastAsia="Times New Roman" w:hAnsi="Times New Roman"/>
          <w:sz w:val="18"/>
          <w:szCs w:val="18"/>
          <w:b w:val="1"/>
          <w:bCs w:val="1"/>
          <w:color w:val="auto"/>
        </w:rPr>
        <w:t>Cayman Company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380" w:hanging="652"/>
        <w:spacing w:after="0" w:line="286" w:lineRule="auto"/>
        <w:tabs>
          <w:tab w:leader="none" w:pos="671"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PARTICLE (HK) LIMITED</w:t>
      </w:r>
      <w:r>
        <w:rPr>
          <w:rFonts w:ascii="Times New Roman" w:cs="Times New Roman" w:eastAsia="Times New Roman" w:hAnsi="Times New Roman"/>
          <w:sz w:val="18"/>
          <w:szCs w:val="18"/>
          <w:color w:val="auto"/>
        </w:rPr>
        <w:t>, a company organized under the laws of the Hong Kong and an Affiliate (as defined herein) of the Borrower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HK Company</w:t>
      </w:r>
      <w:r>
        <w:rPr>
          <w:rFonts w:ascii="Times New Roman" w:cs="Times New Roman" w:eastAsia="Times New Roman" w:hAnsi="Times New Roman"/>
          <w:sz w:val="18"/>
          <w:szCs w:val="18"/>
          <w:color w:val="auto"/>
        </w:rPr>
        <w: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5"/>
              </w:rPr>
              <w:t>(4)</w:t>
            </w:r>
          </w:p>
        </w:tc>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BEIJING YIDIANWANGJU TECHNOLOGY CO., LTD. (</w:t>
            </w:r>
          </w:p>
        </w:tc>
        <w:tc>
          <w:tcPr>
            <w:tcW w:w="55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 a company incorporated under the laws of the PRC and a variable</w:t>
            </w:r>
          </w:p>
        </w:tc>
      </w:tr>
      <w:tr>
        <w:trPr>
          <w:trHeight w:val="238"/>
        </w:trPr>
        <w:tc>
          <w:tcPr>
            <w:tcW w:w="440" w:type="dxa"/>
            <w:vAlign w:val="bottom"/>
          </w:tcPr>
          <w:p>
            <w:pPr>
              <w:spacing w:after="0"/>
              <w:rPr>
                <w:sz w:val="20"/>
                <w:szCs w:val="20"/>
                <w:color w:val="auto"/>
              </w:rPr>
            </w:pPr>
          </w:p>
        </w:tc>
        <w:tc>
          <w:tcPr>
            <w:tcW w:w="10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entity and Affiliate (as defined herein) of the Borrower (the “</w:t>
            </w:r>
            <w:r>
              <w:rPr>
                <w:rFonts w:ascii="Times New Roman" w:cs="Times New Roman" w:eastAsia="Times New Roman" w:hAnsi="Times New Roman"/>
                <w:sz w:val="18"/>
                <w:szCs w:val="18"/>
                <w:b w:val="1"/>
                <w:bCs w:val="1"/>
                <w:color w:val="auto"/>
              </w:rPr>
              <w:t>VIE Company</w:t>
            </w:r>
            <w:r>
              <w:rPr>
                <w:rFonts w:ascii="Times New Roman" w:cs="Times New Roman" w:eastAsia="Times New Roman" w:hAnsi="Times New Roman"/>
                <w:sz w:val="18"/>
                <w:szCs w:val="18"/>
                <w:color w:val="auto"/>
              </w:rPr>
              <w:t>”); and</w:t>
            </w:r>
          </w:p>
        </w:tc>
      </w:tr>
    </w:tbl>
    <w:p>
      <w:pPr>
        <w:spacing w:after="0" w:line="194" w:lineRule="exact"/>
        <w:rPr>
          <w:sz w:val="20"/>
          <w:szCs w:val="20"/>
          <w:color w:val="auto"/>
        </w:rPr>
      </w:pPr>
    </w:p>
    <w:p>
      <w:pPr>
        <w:ind w:left="660" w:hanging="652"/>
        <w:spacing w:after="0"/>
        <w:tabs>
          <w:tab w:leader="none" w:pos="660"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Beijing Tianying Jiuzhou Network Technology Co., Ltd.</w:t>
      </w:r>
      <w:r>
        <w:rPr>
          <w:rFonts w:ascii="Times New Roman" w:cs="Times New Roman" w:eastAsia="Times New Roman" w:hAnsi="Times New Roman"/>
          <w:sz w:val="18"/>
          <w:szCs w:val="18"/>
          <w:color w:val="auto"/>
        </w:rPr>
        <w:t>, a limited liability company organized under the laws of the PRC (the “</w:t>
      </w:r>
      <w:r>
        <w:rPr>
          <w:rFonts w:ascii="Times New Roman" w:cs="Times New Roman" w:eastAsia="Times New Roman" w:hAnsi="Times New Roman"/>
          <w:sz w:val="18"/>
          <w:szCs w:val="18"/>
          <w:b w:val="1"/>
          <w:bCs w:val="1"/>
          <w:color w:val="auto"/>
        </w:rPr>
        <w:t xml:space="preserve"> Lender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 IS AGREED </w:t>
      </w:r>
      <w:r>
        <w:rPr>
          <w:rFonts w:ascii="Times New Roman" w:cs="Times New Roman" w:eastAsia="Times New Roman" w:hAnsi="Times New Roman"/>
          <w:sz w:val="18"/>
          <w:szCs w:val="18"/>
          <w:color w:val="auto"/>
        </w:rPr>
        <w:t>as follows:</w:t>
      </w:r>
    </w:p>
    <w:p>
      <w:pPr>
        <w:spacing w:after="0" w:line="225" w:lineRule="exact"/>
        <w:rPr>
          <w:sz w:val="20"/>
          <w:szCs w:val="20"/>
          <w:color w:val="auto"/>
        </w:rPr>
      </w:pPr>
    </w:p>
    <w:p>
      <w:pPr>
        <w:ind w:left="660" w:hanging="652"/>
        <w:spacing w:after="0"/>
        <w:tabs>
          <w:tab w:leader="none" w:pos="660" w:val="left"/>
        </w:tabs>
        <w:numPr>
          <w:ilvl w:val="0"/>
          <w:numId w:val="4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this Agreement:</w:t>
      </w:r>
    </w:p>
    <w:p>
      <w:pPr>
        <w:spacing w:after="0" w:line="221" w:lineRule="exact"/>
        <w:rPr>
          <w:sz w:val="20"/>
          <w:szCs w:val="20"/>
          <w:color w:val="auto"/>
        </w:rPr>
      </w:pPr>
    </w:p>
    <w:p>
      <w:pPr>
        <w:ind w:left="6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in relation to any person, a Subsidiary of that person or a Holding Company of that person or any other Subsidiary of that Holding Company.</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Authorisation</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1300" w:hanging="656"/>
        <w:spacing w:after="0"/>
        <w:tabs>
          <w:tab w:leader="none" w:pos="130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authorisation, consent, approval, resolution, licence, exemption, filing, notarisation, lodgement or registration; or</w:t>
      </w:r>
    </w:p>
    <w:p>
      <w:pPr>
        <w:spacing w:after="0" w:line="225" w:lineRule="exact"/>
        <w:rPr>
          <w:rFonts w:ascii="Times New Roman" w:cs="Times New Roman" w:eastAsia="Times New Roman" w:hAnsi="Times New Roman"/>
          <w:sz w:val="18"/>
          <w:szCs w:val="18"/>
          <w:color w:val="auto"/>
        </w:rPr>
      </w:pPr>
    </w:p>
    <w:p>
      <w:pPr>
        <w:ind w:left="1300" w:right="100" w:hanging="656"/>
        <w:spacing w:after="0" w:line="282" w:lineRule="auto"/>
        <w:tabs>
          <w:tab w:leader="none" w:pos="1308"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anything which will be fully or partly prohibited or restricted by law if a Governmental Agency intervenes or acts in any way within a specified period after lodgement, filing, registration or notification, the expiry of that period without intervention or action.</w:t>
      </w:r>
    </w:p>
    <w:p>
      <w:pPr>
        <w:spacing w:after="0" w:line="158" w:lineRule="exact"/>
        <w:rPr>
          <w:sz w:val="20"/>
          <w:szCs w:val="20"/>
          <w:color w:val="auto"/>
        </w:rPr>
      </w:pPr>
    </w:p>
    <w:p>
      <w:pPr>
        <w:ind w:left="640" w:right="5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Availability Period</w:t>
      </w:r>
      <w:r>
        <w:rPr>
          <w:rFonts w:ascii="Times New Roman" w:cs="Times New Roman" w:eastAsia="Times New Roman" w:hAnsi="Times New Roman"/>
          <w:sz w:val="18"/>
          <w:szCs w:val="18"/>
          <w:color w:val="auto"/>
        </w:rPr>
        <w:t>” means the period from and including the Execution Date to and including January 15, 2017 (or any other date as agreed between the Parties in writing).</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Facility</w:t>
      </w:r>
      <w:r>
        <w:rPr>
          <w:rFonts w:ascii="Times New Roman" w:cs="Times New Roman" w:eastAsia="Times New Roman" w:hAnsi="Times New Roman"/>
          <w:sz w:val="18"/>
          <w:szCs w:val="18"/>
          <w:color w:val="auto"/>
        </w:rPr>
        <w:t>” means the undrawn, uncancelled balance of the Facility.</w:t>
      </w:r>
    </w:p>
    <w:p>
      <w:pPr>
        <w:spacing w:after="0" w:line="225" w:lineRule="exact"/>
        <w:rPr>
          <w:sz w:val="20"/>
          <w:szCs w:val="20"/>
          <w:color w:val="auto"/>
        </w:rPr>
      </w:pPr>
    </w:p>
    <w:p>
      <w:pPr>
        <w:ind w:left="640" w:right="3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or Sunday) on which banks are open for general business in Hong Kong, New York and the PRC.</w:t>
      </w:r>
    </w:p>
    <w:p>
      <w:pPr>
        <w:spacing w:after="0" w:line="155" w:lineRule="exact"/>
        <w:rPr>
          <w:sz w:val="20"/>
          <w:szCs w:val="20"/>
          <w:color w:val="auto"/>
        </w:rPr>
      </w:pPr>
    </w:p>
    <w:p>
      <w:pPr>
        <w:ind w:left="640" w:right="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Coercive Practice</w:t>
      </w:r>
      <w:r>
        <w:rPr>
          <w:rFonts w:ascii="Times New Roman" w:cs="Times New Roman" w:eastAsia="Times New Roman" w:hAnsi="Times New Roman"/>
          <w:sz w:val="18"/>
          <w:szCs w:val="18"/>
          <w:color w:val="auto"/>
        </w:rPr>
        <w:t>” means impairing or harming or threatening to impair or harm, directly or indirectly, any party or its property or persons closely related to a party, to improperly influence the actions of that party.</w:t>
      </w:r>
    </w:p>
    <w:p>
      <w:pPr>
        <w:spacing w:after="0" w:line="155" w:lineRule="exact"/>
        <w:rPr>
          <w:sz w:val="20"/>
          <w:szCs w:val="20"/>
          <w:color w:val="auto"/>
        </w:rPr>
      </w:pPr>
    </w:p>
    <w:p>
      <w:pPr>
        <w:ind w:left="640" w:right="1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Collusive Practice</w:t>
      </w:r>
      <w:r>
        <w:rPr>
          <w:rFonts w:ascii="Times New Roman" w:cs="Times New Roman" w:eastAsia="Times New Roman" w:hAnsi="Times New Roman"/>
          <w:sz w:val="18"/>
          <w:szCs w:val="18"/>
          <w:color w:val="auto"/>
        </w:rPr>
        <w:t>” means an arrangement between two or more entities without the knowledge, but designed to improperly influence the actions, of another party.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40" w:right="5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Corrupt Practice</w:t>
      </w:r>
      <w:r>
        <w:rPr>
          <w:rFonts w:ascii="Times New Roman" w:cs="Times New Roman" w:eastAsia="Times New Roman" w:hAnsi="Times New Roman"/>
          <w:sz w:val="18"/>
          <w:szCs w:val="18"/>
          <w:color w:val="auto"/>
        </w:rPr>
        <w:t>” means the offering, giving, receiving, or soliciting, directly or indirectly, of anything of value to improperly influence the actions of another party and in violation of the applicable law.</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Covenantors</w:t>
      </w:r>
      <w:r>
        <w:rPr>
          <w:rFonts w:ascii="Times New Roman" w:cs="Times New Roman" w:eastAsia="Times New Roman" w:hAnsi="Times New Roman"/>
          <w:sz w:val="18"/>
          <w:szCs w:val="18"/>
          <w:color w:val="auto"/>
        </w:rPr>
        <w:t>” means the Cayman Company, the HK Company and the VIE Company.</w:t>
      </w:r>
    </w:p>
    <w:p>
      <w:pPr>
        <w:spacing w:after="0" w:line="225" w:lineRule="exact"/>
        <w:rPr>
          <w:sz w:val="20"/>
          <w:szCs w:val="20"/>
          <w:color w:val="auto"/>
        </w:rPr>
      </w:pPr>
    </w:p>
    <w:p>
      <w:pPr>
        <w:ind w:left="640" w:right="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 Event of Default or any event or circumstance specified in Clause 17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which would (with the expiry of a grace period, the giving of notice, the making of any determination under the Finance Documents or any combination of any of the foregoing) be an Event of Default.</w:t>
      </w:r>
    </w:p>
    <w:p>
      <w:pPr>
        <w:spacing w:after="0" w:line="171" w:lineRule="exact"/>
        <w:rPr>
          <w:sz w:val="20"/>
          <w:szCs w:val="20"/>
          <w:color w:val="auto"/>
        </w:rPr>
      </w:pPr>
    </w:p>
    <w:p>
      <w:pPr>
        <w:jc w:val="both"/>
        <w:ind w:left="640" w:right="2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dispose</w:t>
      </w:r>
      <w:r>
        <w:rPr>
          <w:rFonts w:ascii="Times New Roman" w:cs="Times New Roman" w:eastAsia="Times New Roman" w:hAnsi="Times New Roman"/>
          <w:sz w:val="18"/>
          <w:szCs w:val="18"/>
          <w:color w:val="auto"/>
        </w:rPr>
        <w:t>” means to make or to agree to make, and “</w:t>
      </w:r>
      <w:r>
        <w:rPr>
          <w:rFonts w:ascii="Times New Roman" w:cs="Times New Roman" w:eastAsia="Times New Roman" w:hAnsi="Times New Roman"/>
          <w:sz w:val="18"/>
          <w:szCs w:val="18"/>
          <w:b w:val="1"/>
          <w:bCs w:val="1"/>
          <w:color w:val="auto"/>
        </w:rPr>
        <w:t>disposal</w:t>
      </w:r>
      <w:r>
        <w:rPr>
          <w:rFonts w:ascii="Times New Roman" w:cs="Times New Roman" w:eastAsia="Times New Roman" w:hAnsi="Times New Roman"/>
          <w:sz w:val="18"/>
          <w:szCs w:val="18"/>
          <w:color w:val="auto"/>
        </w:rPr>
        <w:t>” means, any sale, assignment, exchange, transfer, concession, loan, lease, surrender, licence, direct or indirect reservation, waiver, compromise, release, dealing with or in or granting of any option, right of first refusal or any other right or interest whatsoever, or any agreement for any of the same.</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means the lawful currency for the time being of the United States of America.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means any event or circumstance specified as such in Clause 17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Execution Date</w:t>
      </w:r>
      <w:r>
        <w:rPr>
          <w:rFonts w:ascii="Times New Roman" w:cs="Times New Roman" w:eastAsia="Times New Roman" w:hAnsi="Times New Roman"/>
          <w:sz w:val="18"/>
          <w:szCs w:val="18"/>
          <w:color w:val="auto"/>
        </w:rPr>
        <w:t>” means the date of this Agreement.</w:t>
      </w:r>
    </w:p>
    <w:p>
      <w:pPr>
        <w:spacing w:after="0" w:line="225" w:lineRule="exact"/>
        <w:rPr>
          <w:sz w:val="20"/>
          <w:szCs w:val="20"/>
          <w:color w:val="auto"/>
        </w:rPr>
      </w:pPr>
    </w:p>
    <w:p>
      <w:pPr>
        <w:ind w:left="640"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Shareholders’ Agreement</w:t>
      </w:r>
      <w:r>
        <w:rPr>
          <w:rFonts w:ascii="Times New Roman" w:cs="Times New Roman" w:eastAsia="Times New Roman" w:hAnsi="Times New Roman"/>
          <w:sz w:val="18"/>
          <w:szCs w:val="18"/>
          <w:color w:val="auto"/>
        </w:rPr>
        <w:t>” means any agreement between the Borrower and/or the Covenantors and the shareholders of the Borrower in relation to the Borrower in effect immediately prior to the Execution Date.</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means the term loan facility made available under this Agreement as described in Clause 2 (</w:t>
      </w:r>
      <w:r>
        <w:rPr>
          <w:rFonts w:ascii="Times New Roman" w:cs="Times New Roman" w:eastAsia="Times New Roman" w:hAnsi="Times New Roman"/>
          <w:sz w:val="18"/>
          <w:szCs w:val="18"/>
          <w:i w:val="1"/>
          <w:iCs w:val="1"/>
          <w:color w:val="auto"/>
        </w:rPr>
        <w:t>The Facility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right="2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Office</w:t>
      </w:r>
      <w:r>
        <w:rPr>
          <w:rFonts w:ascii="Times New Roman" w:cs="Times New Roman" w:eastAsia="Times New Roman" w:hAnsi="Times New Roman"/>
          <w:sz w:val="18"/>
          <w:szCs w:val="18"/>
          <w:color w:val="auto"/>
        </w:rPr>
        <w:t>” means the office or offices notified by the Lender to the Borrower in writing on or before the Execution Date (or, following that date, by not less than five (5) Business Days’ written notice) as the office or offices through which it will perform its obligations under this Agreement.</w:t>
      </w:r>
    </w:p>
    <w:p>
      <w:pPr>
        <w:sectPr>
          <w:pgSz w:w="11900" w:h="16853" w:orient="portrait"/>
          <w:cols w:equalWidth="0" w:num="1">
            <w:col w:w="11400"/>
          </w:cols>
          <w:pgMar w:left="240" w:top="117" w:right="259" w:bottom="0" w:gutter="0" w:footer="0" w:header="0"/>
        </w:sectPr>
      </w:pPr>
    </w:p>
    <w:bookmarkStart w:id="196" w:name="page197"/>
    <w:bookmarkEnd w:id="196"/>
    <w:p>
      <w:pPr>
        <w:ind w:right="120"/>
        <w:spacing w:after="0" w:line="282" w:lineRule="auto"/>
        <w:rPr>
          <w:sz w:val="20"/>
          <w:szCs w:val="20"/>
          <w:color w:val="auto"/>
        </w:rPr>
      </w:pPr>
      <w:r>
        <w:rPr>
          <w:rFonts w:ascii="Times New Roman" w:cs="Times New Roman" w:eastAsia="Times New Roman" w:hAnsi="Times New Roman"/>
          <w:sz w:val="18"/>
          <w:szCs w:val="18"/>
          <w:color w:val="auto"/>
        </w:rPr>
        <w:t>“Final Expiration Date” means the expiration date of 12-month period from the respective Drawdown Date, but if it falls on a non-business day, the next business day of such calendar month (if any), or the preceding business day (if there is no next business day in such month).</w:t>
      </w:r>
    </w:p>
    <w:p>
      <w:pPr>
        <w:spacing w:after="0" w:line="15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Finance Documents</w:t>
      </w:r>
      <w:r>
        <w:rPr>
          <w:rFonts w:ascii="Times New Roman" w:cs="Times New Roman" w:eastAsia="Times New Roman" w:hAnsi="Times New Roman"/>
          <w:sz w:val="18"/>
          <w:szCs w:val="18"/>
          <w:color w:val="auto"/>
        </w:rPr>
        <w:t>” means collectively this Agreement, any Utilisation Request, any Transfer Certificate and any other document designated as such by the Lender and the Borrower, and “</w:t>
      </w:r>
      <w:r>
        <w:rPr>
          <w:rFonts w:ascii="Times New Roman" w:cs="Times New Roman" w:eastAsia="Times New Roman" w:hAnsi="Times New Roman"/>
          <w:sz w:val="18"/>
          <w:szCs w:val="18"/>
          <w:b w:val="1"/>
          <w:bCs w:val="1"/>
          <w:color w:val="auto"/>
        </w:rPr>
        <w:t>Finance Document</w:t>
      </w:r>
      <w:r>
        <w:rPr>
          <w:rFonts w:ascii="Times New Roman" w:cs="Times New Roman" w:eastAsia="Times New Roman" w:hAnsi="Times New Roman"/>
          <w:sz w:val="18"/>
          <w:szCs w:val="18"/>
          <w:color w:val="auto"/>
        </w:rPr>
        <w:t>” means any one of them.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Indebtedness</w:t>
      </w:r>
      <w:r>
        <w:rPr>
          <w:rFonts w:ascii="Times New Roman" w:cs="Times New Roman" w:eastAsia="Times New Roman" w:hAnsi="Times New Roman"/>
          <w:sz w:val="18"/>
          <w:szCs w:val="18"/>
          <w:color w:val="auto"/>
        </w:rPr>
        <w:t>” means any indebtedness for or in respect of:</w:t>
      </w:r>
    </w:p>
    <w:p>
      <w:pPr>
        <w:spacing w:after="0" w:line="229" w:lineRule="exact"/>
        <w:rPr>
          <w:sz w:val="20"/>
          <w:szCs w:val="20"/>
          <w:color w:val="auto"/>
        </w:rPr>
      </w:pPr>
    </w:p>
    <w:p>
      <w:pPr>
        <w:ind w:left="640" w:hanging="636"/>
        <w:spacing w:after="0"/>
        <w:tabs>
          <w:tab w:leader="none" w:pos="64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moneys borrowed;</w:t>
      </w:r>
    </w:p>
    <w:p>
      <w:pPr>
        <w:spacing w:after="0" w:line="225" w:lineRule="exact"/>
        <w:rPr>
          <w:rFonts w:ascii="Times New Roman" w:cs="Times New Roman" w:eastAsia="Times New Roman" w:hAnsi="Times New Roman"/>
          <w:sz w:val="18"/>
          <w:szCs w:val="18"/>
          <w:color w:val="auto"/>
        </w:rPr>
      </w:pPr>
    </w:p>
    <w:p>
      <w:pPr>
        <w:ind w:left="660" w:hanging="656"/>
        <w:spacing w:after="0"/>
        <w:tabs>
          <w:tab w:leader="none" w:pos="66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raised by acceptance under any acceptance credit facility or dematerialised equivalent;</w:t>
      </w:r>
    </w:p>
    <w:p>
      <w:pPr>
        <w:spacing w:after="0" w:line="225" w:lineRule="exact"/>
        <w:rPr>
          <w:rFonts w:ascii="Times New Roman" w:cs="Times New Roman" w:eastAsia="Times New Roman" w:hAnsi="Times New Roman"/>
          <w:sz w:val="18"/>
          <w:szCs w:val="18"/>
          <w:color w:val="auto"/>
        </w:rPr>
      </w:pPr>
    </w:p>
    <w:p>
      <w:pPr>
        <w:ind w:left="660" w:hanging="656"/>
        <w:spacing w:after="0"/>
        <w:tabs>
          <w:tab w:leader="none" w:pos="66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raised pursuant to any note purchase facility or the issue of bonds, notes, debentures, loan stock or any similar instrument;</w:t>
      </w:r>
    </w:p>
    <w:p>
      <w:pPr>
        <w:spacing w:after="0" w:line="225" w:lineRule="exact"/>
        <w:rPr>
          <w:rFonts w:ascii="Times New Roman" w:cs="Times New Roman" w:eastAsia="Times New Roman" w:hAnsi="Times New Roman"/>
          <w:sz w:val="18"/>
          <w:szCs w:val="18"/>
          <w:color w:val="auto"/>
        </w:rPr>
      </w:pPr>
    </w:p>
    <w:p>
      <w:pPr>
        <w:ind w:left="660" w:right="80" w:hanging="656"/>
        <w:spacing w:after="0" w:line="282" w:lineRule="auto"/>
        <w:tabs>
          <w:tab w:leader="none" w:pos="655"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liability in respect of any lease or hire purchase contract which would, in accordance with GAAP, be treated as a finance or capital lease;</w:t>
      </w:r>
    </w:p>
    <w:p>
      <w:pPr>
        <w:spacing w:after="0" w:line="16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83820</wp:posOffset>
            </wp:positionV>
            <wp:extent cx="726757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656"/>
        <w:spacing w:after="0"/>
        <w:tabs>
          <w:tab w:leader="none" w:pos="66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sold or discounted (other than any receivables to the extent they are sold on a non-recourse basis);</w:t>
      </w:r>
    </w:p>
    <w:p>
      <w:pPr>
        <w:spacing w:after="0" w:line="225" w:lineRule="exact"/>
        <w:rPr>
          <w:rFonts w:ascii="Times New Roman" w:cs="Times New Roman" w:eastAsia="Times New Roman" w:hAnsi="Times New Roman"/>
          <w:sz w:val="18"/>
          <w:szCs w:val="18"/>
          <w:color w:val="auto"/>
        </w:rPr>
      </w:pPr>
    </w:p>
    <w:p>
      <w:pPr>
        <w:ind w:left="660" w:right="540" w:hanging="656"/>
        <w:spacing w:after="0" w:line="282" w:lineRule="auto"/>
        <w:tabs>
          <w:tab w:leader="none" w:pos="652"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raised under any other transaction (including any forward sale or purchase agreement) having the commercial effect of a borrowing;</w:t>
      </w:r>
    </w:p>
    <w:p>
      <w:pPr>
        <w:spacing w:after="0" w:line="161" w:lineRule="exact"/>
        <w:rPr>
          <w:rFonts w:ascii="Times New Roman" w:cs="Times New Roman" w:eastAsia="Times New Roman" w:hAnsi="Times New Roman"/>
          <w:sz w:val="18"/>
          <w:szCs w:val="18"/>
          <w:color w:val="auto"/>
        </w:rPr>
      </w:pPr>
    </w:p>
    <w:p>
      <w:pPr>
        <w:ind w:left="660" w:right="400" w:hanging="656"/>
        <w:spacing w:after="0" w:line="282" w:lineRule="auto"/>
        <w:tabs>
          <w:tab w:leader="none" w:pos="668"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transaction entered into in connection with protection against or benefit from fluctuation in any rate or price (and, when calculating the value of any derivative transaction, only the marked to market value shall be taken into account);</w:t>
      </w:r>
    </w:p>
    <w:p>
      <w:pPr>
        <w:spacing w:after="0" w:line="161" w:lineRule="exact"/>
        <w:rPr>
          <w:rFonts w:ascii="Times New Roman" w:cs="Times New Roman" w:eastAsia="Times New Roman" w:hAnsi="Times New Roman"/>
          <w:sz w:val="18"/>
          <w:szCs w:val="18"/>
          <w:color w:val="auto"/>
        </w:rPr>
      </w:pPr>
    </w:p>
    <w:p>
      <w:pPr>
        <w:ind w:left="660" w:hanging="656"/>
        <w:spacing w:after="0" w:line="282" w:lineRule="auto"/>
        <w:tabs>
          <w:tab w:leader="none" w:pos="655"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counter-indemnity obligation in respect of a guarantee, indemnity, bond, standby or documentary letter of credit or any other instrument issued by a bank or financial institution; and</w:t>
      </w:r>
    </w:p>
    <w:p>
      <w:pPr>
        <w:spacing w:after="0" w:line="161" w:lineRule="exact"/>
        <w:rPr>
          <w:rFonts w:ascii="Times New Roman" w:cs="Times New Roman" w:eastAsia="Times New Roman" w:hAnsi="Times New Roman"/>
          <w:sz w:val="18"/>
          <w:szCs w:val="18"/>
          <w:color w:val="auto"/>
        </w:rPr>
      </w:pPr>
    </w:p>
    <w:p>
      <w:pPr>
        <w:ind w:left="680" w:hanging="676"/>
        <w:spacing w:after="0"/>
        <w:tabs>
          <w:tab w:leader="none" w:pos="68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double counting) the amount of any liability in respect of any guarantee or indemnity for any of the items referred to in paragraphs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 (h) above.</w:t>
      </w:r>
    </w:p>
    <w:p>
      <w:pPr>
        <w:spacing w:after="0" w:line="20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Financing of Terrorism</w:t>
      </w:r>
      <w:r>
        <w:rPr>
          <w:rFonts w:ascii="Times New Roman" w:cs="Times New Roman" w:eastAsia="Times New Roman" w:hAnsi="Times New Roman"/>
          <w:sz w:val="18"/>
          <w:szCs w:val="18"/>
          <w:color w:val="auto"/>
        </w:rPr>
        <w:t>” means the act of providing or collecting funds with the intention that they be used, or in the knowledge that they are to be used, in order to carry out terrorist acts.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Fraudulent Practice”</w:t>
      </w:r>
      <w:r>
        <w:rPr>
          <w:rFonts w:ascii="Times New Roman" w:cs="Times New Roman" w:eastAsia="Times New Roman" w:hAnsi="Times New Roman"/>
          <w:sz w:val="18"/>
          <w:szCs w:val="18"/>
          <w:color w:val="auto"/>
        </w:rPr>
        <w:t xml:space="preserve"> means any action, including misrepresentation, to obtain a financial or other benefit or avoid an obligation, by deception.</w:t>
      </w:r>
    </w:p>
    <w:p>
      <w:pPr>
        <w:spacing w:after="0" w:line="2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 Raising</w:t>
      </w:r>
      <w:r>
        <w:rPr>
          <w:rFonts w:ascii="Times New Roman" w:cs="Times New Roman" w:eastAsia="Times New Roman" w:hAnsi="Times New Roman"/>
          <w:sz w:val="18"/>
          <w:szCs w:val="18"/>
          <w:color w:val="auto"/>
        </w:rPr>
        <w:t>” means the fund raising works that the Lender or its associated companies carried out for the purposes of advancing the Facility to the Borrower under this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USA or PRC.</w:t>
      </w:r>
    </w:p>
    <w:p>
      <w:pPr>
        <w:spacing w:after="0" w:line="2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Agency</w:t>
      </w:r>
      <w:r>
        <w:rPr>
          <w:rFonts w:ascii="Times New Roman" w:cs="Times New Roman" w:eastAsia="Times New Roman" w:hAnsi="Times New Roman"/>
          <w:sz w:val="18"/>
          <w:szCs w:val="18"/>
          <w:color w:val="auto"/>
        </w:rPr>
        <w:t>” means any government or any governmental agency, semi-governmental or judicial entity or authority (including any stock exchange or any self-regulatory organisation established under statute).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the Borrower and its Subsidiaries for the time being.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Holding Company</w:t>
      </w:r>
      <w:r>
        <w:rPr>
          <w:rFonts w:ascii="Times New Roman" w:cs="Times New Roman" w:eastAsia="Times New Roman" w:hAnsi="Times New Roman"/>
          <w:sz w:val="18"/>
          <w:szCs w:val="18"/>
          <w:color w:val="auto"/>
        </w:rPr>
        <w:t>” means, in relation to a company or corporation, any other company or corporation in respect of which it is a Subsidiary.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Hong Kong</w:t>
      </w:r>
      <w:r>
        <w:rPr>
          <w:rFonts w:ascii="Times New Roman" w:cs="Times New Roman" w:eastAsia="Times New Roman" w:hAnsi="Times New Roman"/>
          <w:sz w:val="18"/>
          <w:szCs w:val="18"/>
          <w:color w:val="auto"/>
        </w:rPr>
        <w:t>” means the Hong Kong Special Administrative Region of the People’s Republic of China.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Indirect Tax</w:t>
      </w:r>
      <w:r>
        <w:rPr>
          <w:rFonts w:ascii="Times New Roman" w:cs="Times New Roman" w:eastAsia="Times New Roman" w:hAnsi="Times New Roman"/>
          <w:sz w:val="18"/>
          <w:szCs w:val="18"/>
          <w:color w:val="auto"/>
        </w:rPr>
        <w:t>” means any goods and services tax, consumption tax, value added tax or any tax of a similar 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Reservations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60" w:right="240" w:hanging="656"/>
        <w:spacing w:after="0" w:line="261" w:lineRule="auto"/>
        <w:tabs>
          <w:tab w:leader="none" w:pos="645"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principle that equitable remedies (or remedies that are similar to equitable remedies in any Relevant Jurisdiction) may be granted or refused at the discretion of a court, the limitation of enforcement by laws relating to insolvency, reorganisation, liquidation, bankruptcy, moratoria, administration, court schemes and other laws generally affecting the rights of creditors and similar principles, rights, defences and limitations under the laws of any applicable jurisdiction;</w:t>
      </w:r>
    </w:p>
    <w:p>
      <w:pPr>
        <w:spacing w:after="0" w:line="180" w:lineRule="exact"/>
        <w:rPr>
          <w:rFonts w:ascii="Times New Roman" w:cs="Times New Roman" w:eastAsia="Times New Roman" w:hAnsi="Times New Roman"/>
          <w:sz w:val="18"/>
          <w:szCs w:val="18"/>
          <w:color w:val="auto"/>
        </w:rPr>
      </w:pPr>
    </w:p>
    <w:p>
      <w:pPr>
        <w:ind w:left="660" w:right="20" w:hanging="656"/>
        <w:spacing w:after="0" w:line="266" w:lineRule="auto"/>
        <w:tabs>
          <w:tab w:leader="none" w:pos="655"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barring of claims under any applicable limitation laws, the possibility that a court may strike out provisions of a contract as being invalid for reasons of oppression, undue influence or similar reasons, the possibility that an undertaking to assume liability for or indemnify a person against non-payment of stamp duty</w:t>
      </w:r>
    </w:p>
    <w:p>
      <w:pPr>
        <w:spacing w:after="0" w:line="17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83820</wp:posOffset>
            </wp:positionV>
            <wp:extent cx="726757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00"/>
        <w:spacing w:after="0" w:line="282" w:lineRule="auto"/>
        <w:rPr>
          <w:sz w:val="20"/>
          <w:szCs w:val="20"/>
          <w:color w:val="auto"/>
        </w:rPr>
      </w:pPr>
      <w:r>
        <w:rPr>
          <w:rFonts w:ascii="Times New Roman" w:cs="Times New Roman" w:eastAsia="Times New Roman" w:hAnsi="Times New Roman"/>
          <w:sz w:val="18"/>
          <w:szCs w:val="18"/>
          <w:color w:val="auto"/>
        </w:rPr>
        <w:t>may be void, defences of set off or counterclaim and similar principles, rights, defences and limitations under the laws of any applicable jurisdiction; and</w:t>
      </w:r>
    </w:p>
    <w:p>
      <w:pPr>
        <w:sectPr>
          <w:pgSz w:w="11900" w:h="16838" w:orient="portrait"/>
          <w:cols w:equalWidth="0" w:num="1">
            <w:col w:w="10760"/>
          </w:cols>
          <w:pgMar w:left="880" w:top="337" w:right="259" w:bottom="0" w:gutter="0" w:footer="0" w:header="0"/>
        </w:sectPr>
      </w:pPr>
    </w:p>
    <w:bookmarkStart w:id="197" w:name="page198"/>
    <w:bookmarkEnd w:id="197"/>
    <w:p>
      <w:pPr>
        <w:spacing w:after="0" w:line="28" w:lineRule="exact"/>
        <w:rPr>
          <w:sz w:val="20"/>
          <w:szCs w:val="20"/>
          <w:color w:val="auto"/>
        </w:rPr>
      </w:pPr>
    </w:p>
    <w:p>
      <w:pPr>
        <w:ind w:left="660" w:right="420" w:hanging="656"/>
        <w:spacing w:after="0" w:line="282" w:lineRule="auto"/>
        <w:tabs>
          <w:tab w:leader="none" w:pos="658"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general principles, reservations or qualifications, in each case, as to matters of law in any legal opinion delivered under or in connection with the Finance Documents.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40" w:hanging="636"/>
        <w:spacing w:after="0"/>
        <w:tabs>
          <w:tab w:leader="none" w:pos="64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and</w:t>
      </w:r>
    </w:p>
    <w:p>
      <w:pPr>
        <w:spacing w:after="0" w:line="223" w:lineRule="exact"/>
        <w:rPr>
          <w:rFonts w:ascii="Times New Roman" w:cs="Times New Roman" w:eastAsia="Times New Roman" w:hAnsi="Times New Roman"/>
          <w:sz w:val="18"/>
          <w:szCs w:val="18"/>
          <w:color w:val="auto"/>
        </w:rPr>
      </w:pPr>
    </w:p>
    <w:p>
      <w:pPr>
        <w:ind w:left="660" w:hanging="656"/>
        <w:spacing w:after="0"/>
        <w:tabs>
          <w:tab w:leader="none" w:pos="66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which has become a New Lender in accordance with Clause 18 (</w:t>
      </w:r>
      <w:r>
        <w:rPr>
          <w:rFonts w:ascii="Times New Roman" w:cs="Times New Roman" w:eastAsia="Times New Roman" w:hAnsi="Times New Roman"/>
          <w:sz w:val="18"/>
          <w:szCs w:val="18"/>
          <w:i w:val="1"/>
          <w:iCs w:val="1"/>
          <w:color w:val="auto"/>
        </w:rPr>
        <w:t>Changes to the Lender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in each case has not ceased to be a Party in accordance with the terms of this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means the loan(s) made or to be made under the Facility or the aggregate principal amount outstanding for the time being of that loan.</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Period</w:t>
      </w:r>
      <w:r>
        <w:rPr>
          <w:rFonts w:ascii="Times New Roman" w:cs="Times New Roman" w:eastAsia="Times New Roman" w:hAnsi="Times New Roman"/>
          <w:sz w:val="18"/>
          <w:szCs w:val="18"/>
          <w:color w:val="auto"/>
        </w:rPr>
        <w:t>” means the period from the Execution Date to the date upon which all monies owing and/or payable by the Borrower to the Lender under the Finance Documents are fully, unconditionally and irrevocably paid and the Available Facility has been reduced to zero.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 material adverse effect on:</w:t>
      </w:r>
    </w:p>
    <w:p>
      <w:pPr>
        <w:spacing w:after="0" w:line="229" w:lineRule="exact"/>
        <w:rPr>
          <w:sz w:val="20"/>
          <w:szCs w:val="20"/>
          <w:color w:val="auto"/>
        </w:rPr>
      </w:pPr>
    </w:p>
    <w:p>
      <w:pPr>
        <w:ind w:left="640" w:hanging="634"/>
        <w:spacing w:after="0"/>
        <w:tabs>
          <w:tab w:leader="none" w:pos="64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operations, property,or condition (financial or otherwise) of the Group taken as a whole;</w:t>
      </w:r>
    </w:p>
    <w:p>
      <w:pPr>
        <w:spacing w:after="0" w:line="225"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Borrower to perform its payment obligations under the Finance Documents; or</w:t>
      </w:r>
    </w:p>
    <w:p>
      <w:pPr>
        <w:spacing w:after="0" w:line="225" w:lineRule="exact"/>
        <w:rPr>
          <w:rFonts w:ascii="Times New Roman" w:cs="Times New Roman" w:eastAsia="Times New Roman" w:hAnsi="Times New Roman"/>
          <w:sz w:val="18"/>
          <w:szCs w:val="18"/>
          <w:color w:val="auto"/>
        </w:rPr>
      </w:pPr>
    </w:p>
    <w:p>
      <w:pPr>
        <w:ind w:left="640" w:right="320" w:hanging="634"/>
        <w:spacing w:after="0" w:line="282" w:lineRule="auto"/>
        <w:tabs>
          <w:tab w:leader="none" w:pos="647"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Legal Reservations, the validity or enforceability of any of the Finance Documents or the rights or remedies of the Lender under any of the Finance Documents.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Money Laundering</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40" w:right="180" w:hanging="634"/>
        <w:spacing w:after="0" w:line="282" w:lineRule="auto"/>
        <w:tabs>
          <w:tab w:leader="none" w:pos="633"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or transfer of property, knowing it is derived from a criminal offence, for the purpose of concealing or disguising its illegal origin or of assisting any person who is involved in the commission of the crime to evade the legal consequences of its actions;</w:t>
      </w:r>
    </w:p>
    <w:p>
      <w:pPr>
        <w:spacing w:after="0" w:line="161" w:lineRule="exact"/>
        <w:rPr>
          <w:rFonts w:ascii="Times New Roman" w:cs="Times New Roman" w:eastAsia="Times New Roman" w:hAnsi="Times New Roman"/>
          <w:sz w:val="18"/>
          <w:szCs w:val="18"/>
          <w:color w:val="auto"/>
        </w:rPr>
      </w:pPr>
    </w:p>
    <w:p>
      <w:pPr>
        <w:ind w:left="640" w:right="340" w:hanging="634"/>
        <w:spacing w:after="0" w:line="282" w:lineRule="auto"/>
        <w:tabs>
          <w:tab w:leader="none" w:pos="643"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concealment or disguise of the true nature, source, location, disposition, movement, rights with respect to, or ownership of, property knowing that it is derived from a criminal offence; or</w:t>
      </w:r>
    </w:p>
    <w:p>
      <w:pPr>
        <w:spacing w:after="0" w:line="161" w:lineRule="exact"/>
        <w:rPr>
          <w:rFonts w:ascii="Times New Roman" w:cs="Times New Roman" w:eastAsia="Times New Roman" w:hAnsi="Times New Roman"/>
          <w:sz w:val="18"/>
          <w:szCs w:val="18"/>
          <w:color w:val="auto"/>
        </w:rPr>
      </w:pPr>
    </w:p>
    <w:p>
      <w:pPr>
        <w:ind w:left="660" w:hanging="654"/>
        <w:spacing w:after="0"/>
        <w:tabs>
          <w:tab w:leader="none" w:pos="66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possession or use of property knowing at the time of its receipt that it is derived from a criminal offence.</w:t>
      </w:r>
    </w:p>
    <w:p>
      <w:pPr>
        <w:spacing w:after="0" w:line="22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Month</w:t>
      </w:r>
      <w:r>
        <w:rPr>
          <w:rFonts w:ascii="Times New Roman" w:cs="Times New Roman" w:eastAsia="Times New Roman" w:hAnsi="Times New Roman"/>
          <w:sz w:val="18"/>
          <w:szCs w:val="18"/>
          <w:color w:val="auto"/>
        </w:rPr>
        <w:t>” means a period starting on one day in a calendar month and ending on the numerically corresponding day in the next calendar month, except that:</w:t>
      </w:r>
    </w:p>
    <w:p>
      <w:pPr>
        <w:spacing w:after="0" w:line="159" w:lineRule="exact"/>
        <w:rPr>
          <w:sz w:val="20"/>
          <w:szCs w:val="20"/>
          <w:color w:val="auto"/>
        </w:rPr>
      </w:pPr>
    </w:p>
    <w:p>
      <w:pPr>
        <w:ind w:left="640" w:right="120" w:hanging="634"/>
        <w:spacing w:after="0" w:line="282" w:lineRule="auto"/>
        <w:tabs>
          <w:tab w:leader="none" w:pos="633"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numerically corresponding day is not a Business Day, that period shall end on the next Business Day in that calendar month in which that period is to end if there is one, or if there is not, on the immediately preceding Business Day; and</w:t>
      </w:r>
    </w:p>
    <w:p>
      <w:pPr>
        <w:spacing w:after="0" w:line="16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83820</wp:posOffset>
            </wp:positionV>
            <wp:extent cx="726757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140" w:hanging="634"/>
        <w:spacing w:after="0" w:line="282" w:lineRule="auto"/>
        <w:tabs>
          <w:tab w:leader="none" w:pos="643"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numerically corresponding day in the calendar month in which that period is to end, that period shall end on the last Business Day in that calendar month.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rules will apply only to the last Month of any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Obligors</w:t>
      </w:r>
      <w:r>
        <w:rPr>
          <w:rFonts w:ascii="Times New Roman" w:cs="Times New Roman" w:eastAsia="Times New Roman" w:hAnsi="Times New Roman"/>
          <w:sz w:val="18"/>
          <w:szCs w:val="18"/>
          <w:color w:val="auto"/>
        </w:rPr>
        <w:t>” mean the Borrower and the Covenantors and “</w:t>
      </w:r>
      <w:r>
        <w:rPr>
          <w:rFonts w:ascii="Times New Roman" w:cs="Times New Roman" w:eastAsia="Times New Roman" w:hAnsi="Times New Roman"/>
          <w:sz w:val="18"/>
          <w:szCs w:val="18"/>
          <w:b w:val="1"/>
          <w:bCs w:val="1"/>
          <w:color w:val="auto"/>
        </w:rPr>
        <w:t>Obligor</w:t>
      </w:r>
      <w:r>
        <w:rPr>
          <w:rFonts w:ascii="Times New Roman" w:cs="Times New Roman" w:eastAsia="Times New Roman" w:hAnsi="Times New Roman"/>
          <w:sz w:val="18"/>
          <w:szCs w:val="18"/>
          <w:color w:val="auto"/>
        </w:rPr>
        <w:t>” means each one of them.</w:t>
      </w:r>
    </w:p>
    <w:p>
      <w:pPr>
        <w:spacing w:after="0" w:line="2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Financial Statements</w:t>
      </w:r>
      <w:r>
        <w:rPr>
          <w:rFonts w:ascii="Times New Roman" w:cs="Times New Roman" w:eastAsia="Times New Roman" w:hAnsi="Times New Roman"/>
          <w:sz w:val="18"/>
          <w:szCs w:val="18"/>
          <w:color w:val="auto"/>
        </w:rPr>
        <w:t>” means, in relation to the Borrower, financial statements for its financial year ended December 31, 2015 and its financial quarter ended September 30, 2016.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means a party to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means the People’s Republic of China.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Renminbi</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RMB</w:t>
      </w:r>
      <w:r>
        <w:rPr>
          <w:rFonts w:ascii="Times New Roman" w:cs="Times New Roman" w:eastAsia="Times New Roman" w:hAnsi="Times New Roman"/>
          <w:sz w:val="18"/>
          <w:szCs w:val="18"/>
          <w:color w:val="auto"/>
        </w:rPr>
        <w:t>” means the lawful currency of the PRC.</w:t>
      </w:r>
    </w:p>
    <w:p>
      <w:pPr>
        <w:spacing w:after="0" w:line="22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means a mortgage, charge, pledge, lien or other security interest securing any obligation of any person or any other agreement or arrangement having a similar effect.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in relation to any company or corporation, a company or corporation:</w:t>
      </w:r>
    </w:p>
    <w:p>
      <w:pPr>
        <w:spacing w:after="0" w:line="229" w:lineRule="exact"/>
        <w:rPr>
          <w:sz w:val="20"/>
          <w:szCs w:val="20"/>
          <w:color w:val="auto"/>
        </w:rPr>
      </w:pPr>
    </w:p>
    <w:p>
      <w:pPr>
        <w:ind w:left="640" w:right="80" w:hanging="634"/>
        <w:spacing w:after="0" w:line="282" w:lineRule="auto"/>
        <w:tabs>
          <w:tab w:leader="none" w:pos="633"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controlled, directly or indirectly, though equity ownership, contractual arrangements or otherwise, by the first mentioned company or corporation;</w:t>
      </w:r>
    </w:p>
    <w:p>
      <w:pPr>
        <w:spacing w:after="0" w:line="161" w:lineRule="exact"/>
        <w:rPr>
          <w:rFonts w:ascii="Times New Roman" w:cs="Times New Roman" w:eastAsia="Times New Roman" w:hAnsi="Times New Roman"/>
          <w:sz w:val="18"/>
          <w:szCs w:val="18"/>
          <w:color w:val="auto"/>
        </w:rPr>
      </w:pPr>
    </w:p>
    <w:p>
      <w:pPr>
        <w:ind w:left="640" w:right="460" w:hanging="634"/>
        <w:spacing w:after="0" w:line="282" w:lineRule="auto"/>
        <w:tabs>
          <w:tab w:leader="none" w:pos="643"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half the issued equity share capital of which is beneficially owned, directly or indirectly, by the first mentioned company or corporation; or</w:t>
      </w:r>
    </w:p>
    <w:p>
      <w:pPr>
        <w:spacing w:after="0" w:line="161" w:lineRule="exact"/>
        <w:rPr>
          <w:rFonts w:ascii="Times New Roman" w:cs="Times New Roman" w:eastAsia="Times New Roman" w:hAnsi="Times New Roman"/>
          <w:sz w:val="18"/>
          <w:szCs w:val="18"/>
          <w:color w:val="auto"/>
        </w:rPr>
      </w:pPr>
    </w:p>
    <w:p>
      <w:pPr>
        <w:ind w:left="660" w:hanging="654"/>
        <w:spacing w:after="0"/>
        <w:tabs>
          <w:tab w:leader="none" w:pos="660"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 Subsidiary of another Subsidiary of the first mentioned company or corporation,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for this purpose, a company or corporation shall be treated as being controlled by another if that other company or corporation is able to direct its affairs and/or to control the composition of its board of directors or equivalent body.</w:t>
      </w:r>
    </w:p>
    <w:p>
      <w:pPr>
        <w:sectPr>
          <w:pgSz w:w="11900" w:h="16866" w:orient="portrait"/>
          <w:cols w:equalWidth="0" w:num="1">
            <w:col w:w="10760"/>
          </w:cols>
          <w:pgMar w:left="880" w:top="121" w:right="259" w:bottom="0" w:gutter="0" w:footer="0" w:header="0"/>
        </w:sectPr>
      </w:pPr>
    </w:p>
    <w:bookmarkStart w:id="198" w:name="page199"/>
    <w:bookmarkEnd w:id="198"/>
    <w:p>
      <w:pPr>
        <w:ind w:left="640" w:right="2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any tax, levy, impost, duty or other charge or withholding of a similar nature (including any penalty or interest payable in connection with any failure to pay or any delay in paying any of the same).</w:t>
      </w:r>
    </w:p>
    <w:p>
      <w:pPr>
        <w:spacing w:after="0" w:line="155" w:lineRule="exact"/>
        <w:rPr>
          <w:sz w:val="20"/>
          <w:szCs w:val="20"/>
          <w:color w:val="auto"/>
        </w:rPr>
      </w:pPr>
    </w:p>
    <w:p>
      <w:pPr>
        <w:ind w:left="640" w:right="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Certificate</w:t>
      </w:r>
      <w:r>
        <w:rPr>
          <w:rFonts w:ascii="Times New Roman" w:cs="Times New Roman" w:eastAsia="Times New Roman" w:hAnsi="Times New Roman"/>
          <w:sz w:val="18"/>
          <w:szCs w:val="18"/>
          <w:color w:val="auto"/>
        </w:rPr>
        <w:t>” means a certificate substantially in the form set out in Schedule 3 (</w:t>
      </w:r>
      <w:r>
        <w:rPr>
          <w:rFonts w:ascii="Times New Roman" w:cs="Times New Roman" w:eastAsia="Times New Roman" w:hAnsi="Times New Roman"/>
          <w:sz w:val="18"/>
          <w:szCs w:val="18"/>
          <w:i w:val="1"/>
          <w:iCs w:val="1"/>
          <w:color w:val="auto"/>
        </w:rPr>
        <w:t>Form of Transfer Certificate</w:t>
      </w:r>
      <w:r>
        <w:rPr>
          <w:rFonts w:ascii="Times New Roman" w:cs="Times New Roman" w:eastAsia="Times New Roman" w:hAnsi="Times New Roman"/>
          <w:sz w:val="18"/>
          <w:szCs w:val="18"/>
          <w:color w:val="auto"/>
        </w:rPr>
        <w:t>) or any other form agreed between the Lender and the Borrower.</w:t>
      </w:r>
    </w:p>
    <w:p>
      <w:pPr>
        <w:spacing w:after="0" w:line="155" w:lineRule="exact"/>
        <w:rPr>
          <w:sz w:val="20"/>
          <w:szCs w:val="20"/>
          <w:color w:val="auto"/>
        </w:rPr>
      </w:pPr>
    </w:p>
    <w:p>
      <w:pPr>
        <w:ind w:left="640" w:right="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Date</w:t>
      </w:r>
      <w:r>
        <w:rPr>
          <w:rFonts w:ascii="Times New Roman" w:cs="Times New Roman" w:eastAsia="Times New Roman" w:hAnsi="Times New Roman"/>
          <w:sz w:val="18"/>
          <w:szCs w:val="18"/>
          <w:color w:val="auto"/>
        </w:rPr>
        <w:t>” means, in relation to an assignment or a transfer, the proposed Transfer Date specified in the Transfer Certificate or in any other document agreed between the relevant assignor and assignee.</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Unpaid Sum</w:t>
      </w:r>
      <w:r>
        <w:rPr>
          <w:rFonts w:ascii="Times New Roman" w:cs="Times New Roman" w:eastAsia="Times New Roman" w:hAnsi="Times New Roman"/>
          <w:sz w:val="18"/>
          <w:szCs w:val="18"/>
          <w:color w:val="auto"/>
        </w:rPr>
        <w:t>” means any sum due and payable but unpaid by an Obligor under the Finance Documents.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USA</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Utilisation</w:t>
      </w:r>
      <w:r>
        <w:rPr>
          <w:rFonts w:ascii="Times New Roman" w:cs="Times New Roman" w:eastAsia="Times New Roman" w:hAnsi="Times New Roman"/>
          <w:sz w:val="18"/>
          <w:szCs w:val="18"/>
          <w:color w:val="auto"/>
        </w:rPr>
        <w:t>” means an utilisation of the Facility.</w:t>
      </w:r>
    </w:p>
    <w:p>
      <w:pPr>
        <w:spacing w:after="0" w:line="225" w:lineRule="exact"/>
        <w:rPr>
          <w:sz w:val="20"/>
          <w:szCs w:val="20"/>
          <w:color w:val="auto"/>
        </w:rPr>
      </w:pPr>
    </w:p>
    <w:p>
      <w:pPr>
        <w:ind w:left="640"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Utilisation Date</w:t>
      </w:r>
      <w:r>
        <w:rPr>
          <w:rFonts w:ascii="Times New Roman" w:cs="Times New Roman" w:eastAsia="Times New Roman" w:hAnsi="Times New Roman"/>
          <w:sz w:val="18"/>
          <w:szCs w:val="18"/>
          <w:color w:val="auto"/>
        </w:rPr>
        <w:t>” means the date of an Utilisation, being the date on which the Loan is to be made, which shall not be later than the last day of the Availability Period.</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Utilisation Request</w:t>
      </w:r>
      <w:r>
        <w:rPr>
          <w:rFonts w:ascii="Times New Roman" w:cs="Times New Roman" w:eastAsia="Times New Roman" w:hAnsi="Times New Roman"/>
          <w:sz w:val="18"/>
          <w:szCs w:val="18"/>
          <w:color w:val="auto"/>
        </w:rPr>
        <w:t>” means a notice substantially in the form set out in Schedule 2 (</w:t>
      </w:r>
      <w:r>
        <w:rPr>
          <w:rFonts w:ascii="Times New Roman" w:cs="Times New Roman" w:eastAsia="Times New Roman" w:hAnsi="Times New Roman"/>
          <w:sz w:val="18"/>
          <w:szCs w:val="18"/>
          <w:i w:val="1"/>
          <w:iCs w:val="1"/>
          <w:color w:val="auto"/>
        </w:rPr>
        <w:t>Requests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Construction</w:t>
      </w:r>
    </w:p>
    <w:p>
      <w:pPr>
        <w:spacing w:after="0" w:line="229" w:lineRule="exact"/>
        <w:rPr>
          <w:sz w:val="20"/>
          <w:szCs w:val="20"/>
          <w:color w:val="auto"/>
        </w:rPr>
      </w:pPr>
    </w:p>
    <w:p>
      <w:pPr>
        <w:ind w:left="1400" w:hanging="744"/>
        <w:spacing w:after="0"/>
        <w:tabs>
          <w:tab w:leader="none" w:pos="1400" w:val="left"/>
        </w:tabs>
        <w:numPr>
          <w:ilvl w:val="0"/>
          <w:numId w:val="4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a contrary indication appears, any reference in this Agreement to:</w:t>
      </w:r>
    </w:p>
    <w:p>
      <w:pPr>
        <w:spacing w:after="0" w:line="225" w:lineRule="exact"/>
        <w:rPr>
          <w:rFonts w:ascii="Times New Roman" w:cs="Times New Roman" w:eastAsia="Times New Roman" w:hAnsi="Times New Roman"/>
          <w:sz w:val="18"/>
          <w:szCs w:val="18"/>
          <w:b w:val="1"/>
          <w:bCs w:val="1"/>
          <w:color w:val="auto"/>
        </w:rPr>
      </w:pPr>
    </w:p>
    <w:p>
      <w:pPr>
        <w:ind w:left="2120" w:right="20" w:hanging="738"/>
        <w:spacing w:after="0" w:line="282" w:lineRule="auto"/>
        <w:tabs>
          <w:tab w:leader="none" w:pos="2145"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the “Lender”, any “Covenantor”, any “Obligor” or any “Party” shall be construed so as to include its successors in title, permitted assigns and permitted transferees;</w:t>
      </w:r>
    </w:p>
    <w:p>
      <w:pPr>
        <w:spacing w:after="0" w:line="161" w:lineRule="exact"/>
        <w:rPr>
          <w:rFonts w:ascii="Times New Roman" w:cs="Times New Roman" w:eastAsia="Times New Roman" w:hAnsi="Times New Roman"/>
          <w:sz w:val="18"/>
          <w:szCs w:val="18"/>
          <w:color w:val="auto"/>
        </w:rPr>
      </w:pPr>
    </w:p>
    <w:p>
      <w:pPr>
        <w:ind w:left="2140" w:hanging="758"/>
        <w:spacing w:after="0"/>
        <w:tabs>
          <w:tab w:leader="none" w:pos="2140"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includes present and future properties, revenues and rights of every description;</w:t>
      </w:r>
    </w:p>
    <w:p>
      <w:pPr>
        <w:spacing w:after="0" w:line="225" w:lineRule="exact"/>
        <w:rPr>
          <w:rFonts w:ascii="Times New Roman" w:cs="Times New Roman" w:eastAsia="Times New Roman" w:hAnsi="Times New Roman"/>
          <w:sz w:val="18"/>
          <w:szCs w:val="18"/>
          <w:color w:val="auto"/>
        </w:rPr>
      </w:pPr>
    </w:p>
    <w:p>
      <w:pPr>
        <w:ind w:left="2120" w:right="380" w:hanging="738"/>
        <w:spacing w:after="0" w:line="282" w:lineRule="auto"/>
        <w:tabs>
          <w:tab w:leader="none" w:pos="2157"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“Finance Document” or any other agreement or instrument is a reference to that Finance Document or other agreement or instrument as amended, novated, supplemented, extended or restated;</w:t>
      </w:r>
    </w:p>
    <w:p>
      <w:pPr>
        <w:spacing w:after="0" w:line="161" w:lineRule="exact"/>
        <w:rPr>
          <w:rFonts w:ascii="Times New Roman" w:cs="Times New Roman" w:eastAsia="Times New Roman" w:hAnsi="Times New Roman"/>
          <w:sz w:val="18"/>
          <w:szCs w:val="18"/>
          <w:color w:val="auto"/>
        </w:rPr>
      </w:pPr>
    </w:p>
    <w:p>
      <w:pPr>
        <w:ind w:left="2120" w:hanging="738"/>
        <w:spacing w:after="0"/>
        <w:tabs>
          <w:tab w:leader="none" w:pos="2120"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shall be construed as “including without limitation” (and cognate expressions shall be construed similarly);</w:t>
      </w:r>
    </w:p>
    <w:p>
      <w:pPr>
        <w:spacing w:after="0" w:line="225" w:lineRule="exact"/>
        <w:rPr>
          <w:rFonts w:ascii="Times New Roman" w:cs="Times New Roman" w:eastAsia="Times New Roman" w:hAnsi="Times New Roman"/>
          <w:sz w:val="18"/>
          <w:szCs w:val="18"/>
          <w:color w:val="auto"/>
        </w:rPr>
      </w:pPr>
    </w:p>
    <w:p>
      <w:pPr>
        <w:ind w:left="2120" w:right="400" w:hanging="738"/>
        <w:spacing w:after="0" w:line="282" w:lineRule="auto"/>
        <w:tabs>
          <w:tab w:leader="none" w:pos="2124"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includes any obligation (whether incurred as principal or as surety) for the payment or repayment of money, whether present or future, actual or contingent;</w:t>
      </w:r>
    </w:p>
    <w:p>
      <w:pPr>
        <w:spacing w:after="0" w:line="161" w:lineRule="exact"/>
        <w:rPr>
          <w:rFonts w:ascii="Times New Roman" w:cs="Times New Roman" w:eastAsia="Times New Roman" w:hAnsi="Times New Roman"/>
          <w:sz w:val="18"/>
          <w:szCs w:val="18"/>
          <w:color w:val="auto"/>
        </w:rPr>
      </w:pPr>
    </w:p>
    <w:p>
      <w:pPr>
        <w:ind w:left="2120" w:hanging="738"/>
        <w:spacing w:after="0" w:line="282" w:lineRule="auto"/>
        <w:tabs>
          <w:tab w:leader="none" w:pos="2133"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includes any person, firm, company, corporation, government, state or agency of a state or any association, trust, joint venture, consortium or partnership (whether or not having separate legal personality) or two or more of the foregoing;</w:t>
      </w:r>
    </w:p>
    <w:p>
      <w:pPr>
        <w:spacing w:after="0" w:line="161" w:lineRule="exact"/>
        <w:rPr>
          <w:rFonts w:ascii="Times New Roman" w:cs="Times New Roman" w:eastAsia="Times New Roman" w:hAnsi="Times New Roman"/>
          <w:sz w:val="18"/>
          <w:szCs w:val="18"/>
          <w:color w:val="auto"/>
        </w:rPr>
      </w:pPr>
    </w:p>
    <w:p>
      <w:pPr>
        <w:ind w:left="2120" w:right="100" w:hanging="738"/>
        <w:spacing w:after="0" w:line="266" w:lineRule="auto"/>
        <w:tabs>
          <w:tab w:leader="none" w:pos="2143"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“regulation” includes any regulation, rule, official directive, request or guideline (whether or not having the force of law) of any governmental, intergovernmental or supranational body, agency, department or regulatory, self-regulatory or other authority or organisation;</w:t>
      </w:r>
    </w:p>
    <w:p>
      <w:pPr>
        <w:spacing w:after="0" w:line="176" w:lineRule="exact"/>
        <w:rPr>
          <w:rFonts w:ascii="Times New Roman" w:cs="Times New Roman" w:eastAsia="Times New Roman" w:hAnsi="Times New Roman"/>
          <w:sz w:val="18"/>
          <w:szCs w:val="18"/>
          <w:color w:val="auto"/>
        </w:rPr>
      </w:pPr>
    </w:p>
    <w:p>
      <w:pPr>
        <w:ind w:left="2140" w:hanging="758"/>
        <w:spacing w:after="0"/>
        <w:tabs>
          <w:tab w:leader="none" w:pos="2140"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of law is a reference to that provision as amended or re-enacted;</w:t>
      </w:r>
    </w:p>
    <w:p>
      <w:pPr>
        <w:spacing w:after="0" w:line="225" w:lineRule="exact"/>
        <w:rPr>
          <w:rFonts w:ascii="Times New Roman" w:cs="Times New Roman" w:eastAsia="Times New Roman" w:hAnsi="Times New Roman"/>
          <w:sz w:val="18"/>
          <w:szCs w:val="18"/>
          <w:color w:val="auto"/>
        </w:rPr>
      </w:pPr>
    </w:p>
    <w:p>
      <w:pPr>
        <w:ind w:left="2120" w:hanging="738"/>
        <w:spacing w:after="0"/>
        <w:tabs>
          <w:tab w:leader="none" w:pos="2120"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one gender shall include the other genders;</w:t>
      </w:r>
    </w:p>
    <w:p>
      <w:pPr>
        <w:spacing w:after="0" w:line="225" w:lineRule="exact"/>
        <w:rPr>
          <w:rFonts w:ascii="Times New Roman" w:cs="Times New Roman" w:eastAsia="Times New Roman" w:hAnsi="Times New Roman"/>
          <w:sz w:val="18"/>
          <w:szCs w:val="18"/>
          <w:color w:val="auto"/>
        </w:rPr>
      </w:pPr>
    </w:p>
    <w:p>
      <w:pPr>
        <w:ind w:left="2120" w:hanging="738"/>
        <w:spacing w:after="0"/>
        <w:tabs>
          <w:tab w:leader="none" w:pos="2120"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shall include the plural and vice versa; and</w:t>
      </w:r>
    </w:p>
    <w:p>
      <w:pPr>
        <w:spacing w:after="0" w:line="225" w:lineRule="exact"/>
        <w:rPr>
          <w:rFonts w:ascii="Times New Roman" w:cs="Times New Roman" w:eastAsia="Times New Roman" w:hAnsi="Times New Roman"/>
          <w:sz w:val="18"/>
          <w:szCs w:val="18"/>
          <w:color w:val="auto"/>
        </w:rPr>
      </w:pPr>
    </w:p>
    <w:p>
      <w:pPr>
        <w:ind w:left="2120" w:hanging="738"/>
        <w:spacing w:after="0"/>
        <w:tabs>
          <w:tab w:leader="none" w:pos="2120"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time of day is a reference to Hong Kong time.</w:t>
      </w:r>
    </w:p>
    <w:p>
      <w:pPr>
        <w:spacing w:after="0" w:line="225"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0"/>
          <w:numId w:val="4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Clause and Schedule headings are for ease of reference only.</w:t>
      </w:r>
    </w:p>
    <w:p>
      <w:pPr>
        <w:spacing w:after="0" w:line="225" w:lineRule="exact"/>
        <w:rPr>
          <w:rFonts w:ascii="Times New Roman" w:cs="Times New Roman" w:eastAsia="Times New Roman" w:hAnsi="Times New Roman"/>
          <w:sz w:val="18"/>
          <w:szCs w:val="18"/>
          <w:b w:val="1"/>
          <w:bCs w:val="1"/>
          <w:color w:val="auto"/>
        </w:rPr>
      </w:pPr>
    </w:p>
    <w:p>
      <w:pPr>
        <w:ind w:left="1400" w:right="200" w:hanging="744"/>
        <w:spacing w:after="0" w:line="282" w:lineRule="auto"/>
        <w:tabs>
          <w:tab w:leader="none" w:pos="1413" w:val="left"/>
        </w:tabs>
        <w:numPr>
          <w:ilvl w:val="0"/>
          <w:numId w:val="4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161"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0"/>
          <w:numId w:val="4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Default or an Event of Default is “continuing” if it has not been remedied or waived.</w:t>
      </w:r>
    </w:p>
    <w:p>
      <w:pPr>
        <w:spacing w:after="0" w:line="225" w:lineRule="exact"/>
        <w:rPr>
          <w:rFonts w:ascii="Times New Roman" w:cs="Times New Roman" w:eastAsia="Times New Roman" w:hAnsi="Times New Roman"/>
          <w:sz w:val="18"/>
          <w:szCs w:val="18"/>
          <w:b w:val="1"/>
          <w:bCs w:val="1"/>
          <w:color w:val="auto"/>
        </w:rPr>
      </w:pPr>
    </w:p>
    <w:p>
      <w:pPr>
        <w:jc w:val="both"/>
        <w:ind w:left="1400" w:right="620" w:hanging="744"/>
        <w:spacing w:after="0" w:line="266" w:lineRule="auto"/>
        <w:tabs>
          <w:tab w:leader="none" w:pos="1413" w:val="left"/>
        </w:tabs>
        <w:numPr>
          <w:ilvl w:val="0"/>
          <w:numId w:val="4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Where this Agreement specifies an amount in a given currency (the “specified currency”) “or its equivalent”, the “equivalent” is a reference to the amount of any other currency which, when converted into the specified currency utilising the Lender’s spot rate of exchange for the purchase of the specified currency with that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other currency at or about 11 a.m. on the relevant date, is equal to the relevant amount in the specified currency.</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Third party rights</w:t>
      </w:r>
    </w:p>
    <w:p>
      <w:pPr>
        <w:sectPr>
          <w:pgSz w:w="11900" w:h="16838" w:orient="portrait"/>
          <w:cols w:equalWidth="0" w:num="1">
            <w:col w:w="11420"/>
          </w:cols>
          <w:pgMar w:left="240" w:top="333" w:right="239" w:bottom="0" w:gutter="0" w:footer="0" w:header="0"/>
        </w:sectPr>
      </w:pPr>
    </w:p>
    <w:bookmarkStart w:id="199" w:name="page200"/>
    <w:bookmarkEnd w:id="199"/>
    <w:p>
      <w:pPr>
        <w:ind w:left="660" w:right="200"/>
        <w:spacing w:after="0" w:line="261" w:lineRule="auto"/>
        <w:rPr>
          <w:sz w:val="20"/>
          <w:szCs w:val="20"/>
          <w:color w:val="auto"/>
        </w:rPr>
      </w:pPr>
      <w:r>
        <w:rPr>
          <w:rFonts w:ascii="Times New Roman" w:cs="Times New Roman" w:eastAsia="Times New Roman" w:hAnsi="Times New Roman"/>
          <w:sz w:val="18"/>
          <w:szCs w:val="18"/>
          <w:color w:val="auto"/>
        </w:rPr>
        <w:t>A person who is not a Party has no right under the doctrine of privity of contract to enforce or to enjoy the benefit of any term of this Agreement. The provisions of the Contracts (Rights of Third Parties) Ordinance (Cap. 623) shall not apply to this Agreement and, unless specifically herein provided, no person other than the Parties to this Agreement shall have any rights under it nor shall it be enforceable by any person other than the Parties to it.</w:t>
      </w:r>
    </w:p>
    <w:p>
      <w:pPr>
        <w:spacing w:after="0" w:line="176" w:lineRule="exact"/>
        <w:rPr>
          <w:sz w:val="20"/>
          <w:szCs w:val="20"/>
          <w:color w:val="auto"/>
        </w:rPr>
      </w:pPr>
    </w:p>
    <w:p>
      <w:pPr>
        <w:ind w:left="660" w:hanging="652"/>
        <w:spacing w:after="0"/>
        <w:tabs>
          <w:tab w:leader="none" w:pos="660" w:val="left"/>
        </w:tabs>
        <w:numPr>
          <w:ilvl w:val="0"/>
          <w:numId w:val="4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FACILITY</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17"/>
          <w:szCs w:val="17"/>
          <w:b w:val="1"/>
          <w:bCs w:val="1"/>
          <w:color w:val="auto"/>
        </w:rPr>
        <w:t>The Facility</w:t>
      </w:r>
    </w:p>
    <w:p>
      <w:pPr>
        <w:spacing w:after="0" w:line="229" w:lineRule="exact"/>
        <w:rPr>
          <w:sz w:val="20"/>
          <w:szCs w:val="20"/>
          <w:color w:val="auto"/>
        </w:rPr>
      </w:pPr>
    </w:p>
    <w:p>
      <w:pPr>
        <w:jc w:val="both"/>
        <w:ind w:left="660" w:right="160"/>
        <w:spacing w:after="0" w:line="266" w:lineRule="auto"/>
        <w:rPr>
          <w:sz w:val="20"/>
          <w:szCs w:val="20"/>
          <w:color w:val="auto"/>
        </w:rPr>
      </w:pPr>
      <w:r>
        <w:rPr>
          <w:rFonts w:ascii="Times New Roman" w:cs="Times New Roman" w:eastAsia="Times New Roman" w:hAnsi="Times New Roman"/>
          <w:sz w:val="18"/>
          <w:szCs w:val="18"/>
          <w:color w:val="auto"/>
        </w:rPr>
        <w:t>Subject to the terms of this Agreement, the Lender shall make available to the Borrower a term loan facility in aggregate amount of Seventy-Four Million Yuan Renminbi (RMB74,000,000) or equivalent amount of Dollars calculated at exchange rates agreed to and confirmed by the Borrower and the Lender.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Term of the Facility</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term of the Facility is from the relevant Utilisation Date to the Final Maturity Date.</w:t>
      </w:r>
    </w:p>
    <w:p>
      <w:pPr>
        <w:spacing w:after="0" w:line="221" w:lineRule="exact"/>
        <w:rPr>
          <w:sz w:val="20"/>
          <w:szCs w:val="20"/>
          <w:color w:val="auto"/>
        </w:rPr>
      </w:pPr>
    </w:p>
    <w:p>
      <w:pPr>
        <w:ind w:left="660" w:hanging="652"/>
        <w:spacing w:after="0"/>
        <w:tabs>
          <w:tab w:leader="none" w:pos="660" w:val="left"/>
        </w:tabs>
        <w:numPr>
          <w:ilvl w:val="0"/>
          <w:numId w:val="4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3.1</w:t>
      </w:r>
      <w:r>
        <w:rPr>
          <w:rFonts w:ascii="Times New Roman" w:cs="Times New Roman" w:eastAsia="Times New Roman" w:hAnsi="Times New Roman"/>
          <w:sz w:val="17"/>
          <w:szCs w:val="17"/>
          <w:b w:val="1"/>
          <w:bCs w:val="1"/>
          <w:color w:val="auto"/>
        </w:rPr>
        <w:t>Purpose</w:t>
      </w:r>
    </w:p>
    <w:p>
      <w:pPr>
        <w:spacing w:after="0" w:line="229" w:lineRule="exact"/>
        <w:rPr>
          <w:sz w:val="20"/>
          <w:szCs w:val="20"/>
          <w:color w:val="auto"/>
        </w:rPr>
      </w:pPr>
    </w:p>
    <w:p>
      <w:pPr>
        <w:ind w:left="660" w:right="480"/>
        <w:spacing w:after="0" w:line="282" w:lineRule="auto"/>
        <w:rPr>
          <w:sz w:val="20"/>
          <w:szCs w:val="20"/>
          <w:color w:val="auto"/>
        </w:rPr>
      </w:pPr>
      <w:r>
        <w:rPr>
          <w:rFonts w:ascii="Times New Roman" w:cs="Times New Roman" w:eastAsia="Times New Roman" w:hAnsi="Times New Roman"/>
          <w:sz w:val="18"/>
          <w:szCs w:val="18"/>
          <w:color w:val="auto"/>
        </w:rPr>
        <w:t>The Borrower shall apply all amounts borrowed by it under the Facility for the Group’s working capital requirement arising from the Group’s ordinary course of business.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Monitoring</w:t>
      </w:r>
    </w:p>
    <w:p>
      <w:pPr>
        <w:spacing w:after="0" w:line="229"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The Lender is not bound to monitor or verify the application of any amount borrowed pursuant to this Agreement, nor shall it be responsible for the consequences of Utilisation of the Loan.</w:t>
      </w:r>
    </w:p>
    <w:p>
      <w:pPr>
        <w:spacing w:after="0" w:line="158" w:lineRule="exact"/>
        <w:rPr>
          <w:sz w:val="20"/>
          <w:szCs w:val="20"/>
          <w:color w:val="auto"/>
        </w:rPr>
      </w:pPr>
    </w:p>
    <w:p>
      <w:pPr>
        <w:ind w:left="660" w:hanging="652"/>
        <w:spacing w:after="0"/>
        <w:tabs>
          <w:tab w:leader="none" w:pos="660" w:val="left"/>
        </w:tabs>
        <w:numPr>
          <w:ilvl w:val="0"/>
          <w:numId w:val="4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OF UTILISATION</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4.1</w:t>
      </w:r>
      <w:r>
        <w:rPr>
          <w:rFonts w:ascii="Times New Roman" w:cs="Times New Roman" w:eastAsia="Times New Roman" w:hAnsi="Times New Roman"/>
          <w:sz w:val="17"/>
          <w:szCs w:val="17"/>
          <w:b w:val="1"/>
          <w:bCs w:val="1"/>
          <w:color w:val="auto"/>
        </w:rPr>
        <w:t>Initial conditions precedent</w:t>
      </w:r>
    </w:p>
    <w:p>
      <w:pPr>
        <w:spacing w:after="0" w:line="227" w:lineRule="exact"/>
        <w:rPr>
          <w:sz w:val="20"/>
          <w:szCs w:val="20"/>
          <w:color w:val="auto"/>
        </w:rPr>
      </w:pPr>
    </w:p>
    <w:p>
      <w:pPr>
        <w:ind w:left="660" w:right="40"/>
        <w:spacing w:after="0" w:line="290" w:lineRule="auto"/>
        <w:rPr>
          <w:sz w:val="20"/>
          <w:szCs w:val="20"/>
          <w:color w:val="auto"/>
        </w:rPr>
      </w:pPr>
      <w:r>
        <w:rPr>
          <w:rFonts w:ascii="Times New Roman" w:cs="Times New Roman" w:eastAsia="Times New Roman" w:hAnsi="Times New Roman"/>
          <w:sz w:val="17"/>
          <w:szCs w:val="17"/>
          <w:color w:val="auto"/>
        </w:rPr>
        <w:t>The Lender will be obliged to comply with Clause 5.4 (</w:t>
      </w:r>
      <w:r>
        <w:rPr>
          <w:rFonts w:ascii="Times New Roman" w:cs="Times New Roman" w:eastAsia="Times New Roman" w:hAnsi="Times New Roman"/>
          <w:sz w:val="17"/>
          <w:szCs w:val="17"/>
          <w:i w:val="1"/>
          <w:iCs w:val="1"/>
          <w:color w:val="auto"/>
        </w:rPr>
        <w:t>Lender’s disbursement</w:t>
      </w:r>
      <w:r>
        <w:rPr>
          <w:rFonts w:ascii="Times New Roman" w:cs="Times New Roman" w:eastAsia="Times New Roman" w:hAnsi="Times New Roman"/>
          <w:sz w:val="17"/>
          <w:szCs w:val="17"/>
          <w:color w:val="auto"/>
        </w:rPr>
        <w:t>) only if Lender has received all of the documents and other evidence listed on Schedule 1 (</w:t>
      </w:r>
      <w:r>
        <w:rPr>
          <w:rFonts w:ascii="Times New Roman" w:cs="Times New Roman" w:eastAsia="Times New Roman" w:hAnsi="Times New Roman"/>
          <w:sz w:val="17"/>
          <w:szCs w:val="17"/>
          <w:i w:val="1"/>
          <w:iCs w:val="1"/>
          <w:color w:val="auto"/>
        </w:rPr>
        <w:t>Conditions precedent</w:t>
      </w:r>
      <w:r>
        <w:rPr>
          <w:rFonts w:ascii="Times New Roman" w:cs="Times New Roman" w:eastAsia="Times New Roman" w:hAnsi="Times New Roman"/>
          <w:sz w:val="17"/>
          <w:szCs w:val="17"/>
          <w:color w:val="auto"/>
        </w:rPr>
        <w:t>) in form and substance reasonably satisfactory to the Lender (unless the requirement to provide any of such documents or other evidence is waived by the Lender). The Lender shall notify the Borrower promptly upon the Lender being so satisfied.</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Further conditions precedent</w:t>
      </w:r>
    </w:p>
    <w:p>
      <w:pPr>
        <w:spacing w:after="0" w:line="2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Lender will be obliged to comply with Clause 5.4 (</w:t>
      </w:r>
      <w:r>
        <w:rPr>
          <w:rFonts w:ascii="Times New Roman" w:cs="Times New Roman" w:eastAsia="Times New Roman" w:hAnsi="Times New Roman"/>
          <w:sz w:val="18"/>
          <w:szCs w:val="18"/>
          <w:i w:val="1"/>
          <w:iCs w:val="1"/>
          <w:color w:val="auto"/>
        </w:rPr>
        <w:t>Lender’s disbursement</w:t>
      </w:r>
      <w:r>
        <w:rPr>
          <w:rFonts w:ascii="Times New Roman" w:cs="Times New Roman" w:eastAsia="Times New Roman" w:hAnsi="Times New Roman"/>
          <w:sz w:val="18"/>
          <w:szCs w:val="18"/>
          <w:color w:val="auto"/>
        </w:rPr>
        <w:t>) only if on the date of the Utilisation Request and on the proposed</w:t>
      </w:r>
    </w:p>
    <w:p>
      <w:pPr>
        <w:spacing w:after="0" w:line="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Utilisation Date:</w:t>
      </w:r>
    </w:p>
    <w:p>
      <w:pPr>
        <w:spacing w:after="0" w:line="207" w:lineRule="exact"/>
        <w:rPr>
          <w:sz w:val="20"/>
          <w:szCs w:val="20"/>
          <w:color w:val="auto"/>
        </w:rPr>
      </w:pPr>
    </w:p>
    <w:p>
      <w:pPr>
        <w:ind w:left="1320" w:hanging="664"/>
        <w:spacing w:after="0"/>
        <w:tabs>
          <w:tab w:leader="none" w:pos="1320" w:val="left"/>
        </w:tabs>
        <w:numPr>
          <w:ilvl w:val="0"/>
          <w:numId w:val="4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Default is continuing or would result from the proposed Loan;</w:t>
      </w:r>
    </w:p>
    <w:p>
      <w:pPr>
        <w:spacing w:after="0" w:line="223" w:lineRule="exact"/>
        <w:rPr>
          <w:rFonts w:ascii="Times New Roman" w:cs="Times New Roman" w:eastAsia="Times New Roman" w:hAnsi="Times New Roman"/>
          <w:sz w:val="18"/>
          <w:szCs w:val="18"/>
          <w:b w:val="1"/>
          <w:bCs w:val="1"/>
          <w:color w:val="auto"/>
        </w:rPr>
      </w:pPr>
    </w:p>
    <w:p>
      <w:pPr>
        <w:ind w:left="5660" w:right="2660" w:hanging="5004"/>
        <w:spacing w:after="0" w:line="535" w:lineRule="auto"/>
        <w:tabs>
          <w:tab w:leader="none" w:pos="1313" w:val="left"/>
        </w:tabs>
        <w:numPr>
          <w:ilvl w:val="0"/>
          <w:numId w:val="4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representations made by the Obligors under Clause 14 (</w:t>
      </w:r>
      <w:r>
        <w:rPr>
          <w:rFonts w:ascii="Times New Roman" w:cs="Times New Roman" w:eastAsia="Times New Roman" w:hAnsi="Times New Roman"/>
          <w:sz w:val="18"/>
          <w:szCs w:val="18"/>
          <w:i w:val="1"/>
          <w:iCs w:val="1"/>
          <w:color w:val="auto"/>
        </w:rPr>
        <w:t>Representations</w:t>
      </w:r>
      <w:r>
        <w:rPr>
          <w:rFonts w:ascii="Times New Roman" w:cs="Times New Roman" w:eastAsia="Times New Roman" w:hAnsi="Times New Roman"/>
          <w:sz w:val="18"/>
          <w:szCs w:val="18"/>
          <w:color w:val="auto"/>
        </w:rPr>
        <w:t>) are true and accurate; and 7</w:t>
      </w:r>
    </w:p>
    <w:p>
      <w:pPr>
        <w:spacing w:after="0" w:line="200" w:lineRule="exact"/>
        <w:rPr>
          <w:rFonts w:ascii="Times New Roman" w:cs="Times New Roman" w:eastAsia="Times New Roman" w:hAnsi="Times New Roman"/>
          <w:sz w:val="18"/>
          <w:szCs w:val="18"/>
          <w:b w:val="1"/>
          <w:bCs w:val="1"/>
          <w:color w:val="auto"/>
        </w:rPr>
      </w:pPr>
    </w:p>
    <w:p>
      <w:pPr>
        <w:spacing w:after="0" w:line="243" w:lineRule="exact"/>
        <w:rPr>
          <w:rFonts w:ascii="Times New Roman" w:cs="Times New Roman" w:eastAsia="Times New Roman" w:hAnsi="Times New Roman"/>
          <w:sz w:val="18"/>
          <w:szCs w:val="18"/>
          <w:b w:val="1"/>
          <w:bCs w:val="1"/>
          <w:color w:val="auto"/>
        </w:rPr>
      </w:pPr>
    </w:p>
    <w:p>
      <w:pPr>
        <w:ind w:left="1320" w:hanging="664"/>
        <w:spacing w:after="0"/>
        <w:tabs>
          <w:tab w:leader="none" w:pos="1320" w:val="left"/>
        </w:tabs>
        <w:numPr>
          <w:ilvl w:val="0"/>
          <w:numId w:val="4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since the Execution Date, nothing has occurred which has or could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-507365</wp:posOffset>
            </wp:positionV>
            <wp:extent cx="7267575"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Maximum number of Loan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is no maximum number of Loans that the Borrower may borrow under the Facility.</w:t>
      </w:r>
    </w:p>
    <w:p>
      <w:pPr>
        <w:spacing w:after="0" w:line="221" w:lineRule="exact"/>
        <w:rPr>
          <w:sz w:val="20"/>
          <w:szCs w:val="20"/>
          <w:color w:val="auto"/>
        </w:rPr>
      </w:pPr>
    </w:p>
    <w:p>
      <w:pPr>
        <w:ind w:left="660" w:hanging="652"/>
        <w:spacing w:after="0"/>
        <w:tabs>
          <w:tab w:leader="none" w:pos="660" w:val="left"/>
        </w:tabs>
        <w:numPr>
          <w:ilvl w:val="0"/>
          <w:numId w:val="4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UTILISATION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Delivery of a Utilisation Request</w:t>
      </w:r>
    </w:p>
    <w:p>
      <w:pPr>
        <w:spacing w:after="0" w:line="229"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The Borrower may utilise the Facility by delivering to the Lender a duly completed Utilisation Request and the Lender receives the Utilisation Request not later than 11 a.m. ten (10) Business Day before the proposed Utilisation Date, provided that the Borrower and the Lender shall agree on the Utilisation Date in advance.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Completion of a Utilisation Request</w:t>
      </w:r>
    </w:p>
    <w:p>
      <w:pPr>
        <w:spacing w:after="0" w:line="229" w:lineRule="exact"/>
        <w:rPr>
          <w:sz w:val="20"/>
          <w:szCs w:val="20"/>
          <w:color w:val="auto"/>
        </w:rPr>
      </w:pPr>
    </w:p>
    <w:p>
      <w:pPr>
        <w:ind w:left="1320" w:hanging="664"/>
        <w:spacing w:after="0"/>
        <w:tabs>
          <w:tab w:leader="none" w:pos="1320" w:val="left"/>
        </w:tabs>
        <w:numPr>
          <w:ilvl w:val="0"/>
          <w:numId w:val="4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Utilisation Request is irrevocable and will not be regarded as having been duly completed unless:</w:t>
      </w:r>
    </w:p>
    <w:p>
      <w:pPr>
        <w:spacing w:after="0" w:line="225" w:lineRule="exact"/>
        <w:rPr>
          <w:rFonts w:ascii="Times New Roman" w:cs="Times New Roman" w:eastAsia="Times New Roman" w:hAnsi="Times New Roman"/>
          <w:sz w:val="18"/>
          <w:szCs w:val="18"/>
          <w:b w:val="1"/>
          <w:bCs w:val="1"/>
          <w:color w:val="auto"/>
        </w:rPr>
      </w:pPr>
    </w:p>
    <w:p>
      <w:pPr>
        <w:ind w:left="1980" w:hanging="675"/>
        <w:spacing w:after="0"/>
        <w:tabs>
          <w:tab w:leader="none" w:pos="1980"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Utilisation Date is a Business Day within the Availability Period; and</w:t>
      </w:r>
    </w:p>
    <w:p>
      <w:pPr>
        <w:spacing w:after="0" w:line="223"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and amount of the Utilisation comply with Clause 5.3 (</w:t>
      </w:r>
      <w:r>
        <w:rPr>
          <w:rFonts w:ascii="Times New Roman" w:cs="Times New Roman" w:eastAsia="Times New Roman" w:hAnsi="Times New Roman"/>
          <w:sz w:val="18"/>
          <w:szCs w:val="18"/>
          <w:i w:val="1"/>
          <w:iCs w:val="1"/>
          <w:color w:val="auto"/>
        </w:rPr>
        <w:t>Currency and amount</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4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Only one Loan may be requested in the Utilisation Request.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7"/>
          <w:szCs w:val="17"/>
          <w:b w:val="1"/>
          <w:bCs w:val="1"/>
          <w:color w:val="auto"/>
        </w:rPr>
        <w:t>Currency and amount</w:t>
      </w:r>
    </w:p>
    <w:p>
      <w:pPr>
        <w:sectPr>
          <w:pgSz w:w="11900" w:h="16838" w:orient="portrait"/>
          <w:cols w:equalWidth="0" w:num="1">
            <w:col w:w="11320"/>
          </w:cols>
          <w:pgMar w:left="240" w:top="121" w:right="339" w:bottom="0" w:gutter="0" w:footer="0" w:header="0"/>
        </w:sectPr>
      </w:pPr>
    </w:p>
    <w:bookmarkStart w:id="200" w:name="page201"/>
    <w:bookmarkEnd w:id="200"/>
    <w:p>
      <w:pPr>
        <w:ind w:left="1320" w:hanging="664"/>
        <w:spacing w:after="0"/>
        <w:tabs>
          <w:tab w:leader="none" w:pos="1320" w:val="left"/>
        </w:tabs>
        <w:numPr>
          <w:ilvl w:val="0"/>
          <w:numId w:val="4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currency specified in an Utilisation Request must be Dollars.</w:t>
      </w:r>
    </w:p>
    <w:p>
      <w:pPr>
        <w:spacing w:after="0" w:line="225" w:lineRule="exact"/>
        <w:rPr>
          <w:rFonts w:ascii="Times New Roman" w:cs="Times New Roman" w:eastAsia="Times New Roman" w:hAnsi="Times New Roman"/>
          <w:sz w:val="18"/>
          <w:szCs w:val="18"/>
          <w:b w:val="1"/>
          <w:bCs w:val="1"/>
          <w:color w:val="auto"/>
        </w:rPr>
      </w:pPr>
    </w:p>
    <w:p>
      <w:pPr>
        <w:ind w:left="1320" w:hanging="664"/>
        <w:spacing w:after="0"/>
        <w:tabs>
          <w:tab w:leader="none" w:pos="1320" w:val="left"/>
        </w:tabs>
        <w:numPr>
          <w:ilvl w:val="0"/>
          <w:numId w:val="4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amount of the proposed Loan in an Utilisation Request shall be no more than the amount of the Available Facility.</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7"/>
          <w:szCs w:val="17"/>
          <w:b w:val="1"/>
          <w:bCs w:val="1"/>
          <w:color w:val="auto"/>
        </w:rPr>
        <w:t>Lender’s disbursement</w:t>
      </w:r>
    </w:p>
    <w:p>
      <w:pPr>
        <w:spacing w:after="0" w:line="227" w:lineRule="exact"/>
        <w:rPr>
          <w:sz w:val="20"/>
          <w:szCs w:val="20"/>
          <w:color w:val="auto"/>
        </w:rPr>
      </w:pPr>
    </w:p>
    <w:p>
      <w:pPr>
        <w:ind w:left="1300" w:right="80" w:hanging="644"/>
        <w:spacing w:after="0" w:line="267" w:lineRule="auto"/>
        <w:tabs>
          <w:tab w:leader="none" w:pos="1307" w:val="left"/>
        </w:tabs>
        <w:numPr>
          <w:ilvl w:val="0"/>
          <w:numId w:val="4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it is mutually agreed that the conditions set out in Clause 4 (</w:t>
      </w:r>
      <w:r>
        <w:rPr>
          <w:rFonts w:ascii="Times New Roman" w:cs="Times New Roman" w:eastAsia="Times New Roman" w:hAnsi="Times New Roman"/>
          <w:sz w:val="18"/>
          <w:szCs w:val="18"/>
          <w:i w:val="1"/>
          <w:iCs w:val="1"/>
          <w:color w:val="auto"/>
        </w:rPr>
        <w:t>Conditions of Utilisation</w:t>
      </w:r>
      <w:r>
        <w:rPr>
          <w:rFonts w:ascii="Times New Roman" w:cs="Times New Roman" w:eastAsia="Times New Roman" w:hAnsi="Times New Roman"/>
          <w:sz w:val="18"/>
          <w:szCs w:val="18"/>
          <w:color w:val="auto"/>
        </w:rPr>
        <w:t>) and Clause 5.1 (</w:t>
      </w:r>
      <w:r>
        <w:rPr>
          <w:rFonts w:ascii="Times New Roman" w:cs="Times New Roman" w:eastAsia="Times New Roman" w:hAnsi="Times New Roman"/>
          <w:sz w:val="18"/>
          <w:szCs w:val="18"/>
          <w:i w:val="1"/>
          <w:iCs w:val="1"/>
          <w:color w:val="auto"/>
        </w:rPr>
        <w:t>Delivery of a Utilisation Request</w:t>
      </w:r>
      <w:r>
        <w:rPr>
          <w:rFonts w:ascii="Times New Roman" w:cs="Times New Roman" w:eastAsia="Times New Roman" w:hAnsi="Times New Roman"/>
          <w:sz w:val="18"/>
          <w:szCs w:val="18"/>
          <w:color w:val="auto"/>
        </w:rPr>
        <w:t>) to Clause 5.3 (</w:t>
      </w:r>
      <w:r>
        <w:rPr>
          <w:rFonts w:ascii="Times New Roman" w:cs="Times New Roman" w:eastAsia="Times New Roman" w:hAnsi="Times New Roman"/>
          <w:sz w:val="18"/>
          <w:szCs w:val="18"/>
          <w:i w:val="1"/>
          <w:iCs w:val="1"/>
          <w:color w:val="auto"/>
        </w:rPr>
        <w:t>Currency and amount</w:t>
      </w:r>
      <w:r>
        <w:rPr>
          <w:rFonts w:ascii="Times New Roman" w:cs="Times New Roman" w:eastAsia="Times New Roman" w:hAnsi="Times New Roman"/>
          <w:sz w:val="18"/>
          <w:szCs w:val="18"/>
          <w:color w:val="auto"/>
        </w:rPr>
        <w:t>) above have been met, the Lender shall make the Loan available on the Utilisation Date through its Facility Office.</w:t>
      </w:r>
    </w:p>
    <w:p>
      <w:pPr>
        <w:spacing w:after="0" w:line="175" w:lineRule="exact"/>
        <w:rPr>
          <w:rFonts w:ascii="Times New Roman" w:cs="Times New Roman" w:eastAsia="Times New Roman" w:hAnsi="Times New Roman"/>
          <w:sz w:val="18"/>
          <w:szCs w:val="18"/>
          <w:b w:val="1"/>
          <w:bCs w:val="1"/>
          <w:color w:val="auto"/>
        </w:rPr>
      </w:pPr>
    </w:p>
    <w:p>
      <w:pPr>
        <w:ind w:left="1320" w:hanging="664"/>
        <w:spacing w:after="0"/>
        <w:tabs>
          <w:tab w:leader="none" w:pos="1320" w:val="left"/>
        </w:tabs>
        <w:numPr>
          <w:ilvl w:val="0"/>
          <w:numId w:val="4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amount of such Loan shall be equal to the amount of the Utilisation set forth in the Utilisation Request.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b w:val="1"/>
          <w:bCs w:val="1"/>
          <w:color w:val="auto"/>
        </w:rPr>
        <w:t>Cancellation of unutilised Facility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5:00 p.m. in Hong Kong on the last day of the Availability Period, the Available Facility shall be automatically cancelled.</w:t>
      </w:r>
    </w:p>
    <w:p>
      <w:pPr>
        <w:spacing w:after="0" w:line="221" w:lineRule="exact"/>
        <w:rPr>
          <w:sz w:val="20"/>
          <w:szCs w:val="20"/>
          <w:color w:val="auto"/>
        </w:rPr>
      </w:pPr>
    </w:p>
    <w:p>
      <w:pPr>
        <w:ind w:left="660" w:hanging="652"/>
        <w:spacing w:after="0"/>
        <w:tabs>
          <w:tab w:leader="none" w:pos="660" w:val="left"/>
        </w:tabs>
        <w:numPr>
          <w:ilvl w:val="0"/>
          <w:numId w:val="4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7"/>
          <w:szCs w:val="17"/>
          <w:b w:val="1"/>
          <w:bCs w:val="1"/>
          <w:color w:val="auto"/>
        </w:rPr>
        <w:t>Calculation of interest</w:t>
      </w:r>
    </w:p>
    <w:p>
      <w:pPr>
        <w:spacing w:after="0" w:line="225" w:lineRule="exact"/>
        <w:rPr>
          <w:sz w:val="20"/>
          <w:szCs w:val="20"/>
          <w:color w:val="auto"/>
        </w:rPr>
      </w:pPr>
    </w:p>
    <w:p>
      <w:pPr>
        <w:ind w:left="660" w:right="60"/>
        <w:spacing w:after="0" w:line="286" w:lineRule="auto"/>
        <w:rPr>
          <w:sz w:val="20"/>
          <w:szCs w:val="20"/>
          <w:color w:val="auto"/>
        </w:rPr>
      </w:pPr>
      <w:r>
        <w:rPr>
          <w:rFonts w:ascii="Times New Roman" w:cs="Times New Roman" w:eastAsia="Times New Roman" w:hAnsi="Times New Roman"/>
          <w:sz w:val="18"/>
          <w:szCs w:val="18"/>
          <w:color w:val="auto"/>
        </w:rPr>
        <w:t>The loan rate shall be 9% per annul (hereinafter referred to as the “</w:t>
      </w:r>
      <w:r>
        <w:rPr>
          <w:rFonts w:ascii="Times New Roman" w:cs="Times New Roman" w:eastAsia="Times New Roman" w:hAnsi="Times New Roman"/>
          <w:sz w:val="18"/>
          <w:szCs w:val="18"/>
          <w:b w:val="1"/>
          <w:bCs w:val="1"/>
          <w:color w:val="auto"/>
        </w:rPr>
        <w:t>Interest Rate</w:t>
      </w:r>
      <w:r>
        <w:rPr>
          <w:rFonts w:ascii="Times New Roman" w:cs="Times New Roman" w:eastAsia="Times New Roman" w:hAnsi="Times New Roman"/>
          <w:sz w:val="18"/>
          <w:szCs w:val="18"/>
          <w:color w:val="auto"/>
        </w:rPr>
        <w:t>”). The interest on each outstanding loan shall accrue at the Interest Rate on a daily basis prior to the due date. In case of prepayment by the Borrower, the Interest Rate</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shall still be calculated pursuant to this Agreement, and interests payable shall be calculated for the actual loan term.</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b w:val="1"/>
          <w:bCs w:val="1"/>
          <w:color w:val="auto"/>
        </w:rPr>
        <w:t>Payment of interest</w:t>
      </w:r>
    </w:p>
    <w:p>
      <w:pPr>
        <w:spacing w:after="0" w:line="229"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The Borrower shall pay all accrued interest on the Final Maturity Date. For the avoidance of doubt, the amount of interest payable by the Borrower shall be based on the actual amount of the Loan disbursed by the Lender to the Borrower.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7"/>
          <w:szCs w:val="17"/>
          <w:b w:val="1"/>
          <w:bCs w:val="1"/>
          <w:color w:val="auto"/>
        </w:rPr>
        <w:t>Default interest</w:t>
      </w:r>
    </w:p>
    <w:p>
      <w:pPr>
        <w:spacing w:after="0" w:line="229" w:lineRule="exact"/>
        <w:rPr>
          <w:sz w:val="20"/>
          <w:szCs w:val="20"/>
          <w:color w:val="auto"/>
        </w:rPr>
      </w:pPr>
    </w:p>
    <w:p>
      <w:pPr>
        <w:ind w:left="1400" w:right="20" w:hanging="744"/>
        <w:spacing w:after="0" w:line="272" w:lineRule="auto"/>
        <w:tabs>
          <w:tab w:leader="none" w:pos="1411" w:val="left"/>
        </w:tabs>
        <w:numPr>
          <w:ilvl w:val="1"/>
          <w:numId w:val="4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Without prejudice to any other remedies available to the Lender under this Agreement or otherwise (and to the maximum extent permitted by applicable law), if the Borrower fails to pay any amount payable by it under a Finance Document on its due date, interest shall accrue on the Unpaid Sum from the due date to the date of actual payment (both before and after judgment) at a rate which, subject to sub-clause</w:t>
      </w:r>
    </w:p>
    <w:p>
      <w:pPr>
        <w:spacing w:after="0" w:line="1" w:lineRule="exact"/>
        <w:rPr>
          <w:rFonts w:ascii="Times New Roman" w:cs="Times New Roman" w:eastAsia="Times New Roman" w:hAnsi="Times New Roman"/>
          <w:sz w:val="17"/>
          <w:szCs w:val="17"/>
          <w:b w:val="1"/>
          <w:bCs w:val="1"/>
          <w:color w:val="auto"/>
        </w:rPr>
      </w:pPr>
    </w:p>
    <w:p>
      <w:pPr>
        <w:ind w:left="1400" w:right="6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(b) below, shall be 0.02 per cent (0.02%) per day. Any interest accruing under this Clause 6.3 shall be immediately payable by the Borrower on demand by the Lender.</w:t>
      </w:r>
    </w:p>
    <w:p>
      <w:pPr>
        <w:spacing w:after="0" w:line="179" w:lineRule="exact"/>
        <w:rPr>
          <w:rFonts w:ascii="Times New Roman" w:cs="Times New Roman" w:eastAsia="Times New Roman" w:hAnsi="Times New Roman"/>
          <w:sz w:val="17"/>
          <w:szCs w:val="17"/>
          <w:b w:val="1"/>
          <w:bCs w:val="1"/>
          <w:color w:val="auto"/>
        </w:rPr>
      </w:pPr>
    </w:p>
    <w:p>
      <w:pPr>
        <w:ind w:left="1400" w:right="40" w:hanging="744"/>
        <w:spacing w:after="0" w:line="282" w:lineRule="auto"/>
        <w:tabs>
          <w:tab w:leader="none" w:pos="1421" w:val="left"/>
        </w:tabs>
        <w:numPr>
          <w:ilvl w:val="1"/>
          <w:numId w:val="4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Default interest (if unpaid) arising on an Unpaid Sum will be compounded with the Unpaid Sum at the end of each Month but will remain immediately due and payable.</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4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REPAYMENT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7"/>
          <w:szCs w:val="17"/>
          <w:b w:val="1"/>
          <w:bCs w:val="1"/>
          <w:color w:val="auto"/>
        </w:rPr>
        <w:t>Repayment of Loan</w:t>
      </w:r>
    </w:p>
    <w:p>
      <w:pPr>
        <w:spacing w:after="0" w:line="229"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The Borrower shall repay the Loan and all outstanding amounts with respect to the Loan on the Final Maturity Date. For the avoidance of doubt, this obligation of the Borrower shall not be avoided or excused in any way, whether due to issues relating to (a) the legality of the Loan or the use of the Loan, (b) any conflict of interests or the relationship between the Lender and the Borrower and their respective Affiliates and related parties, (c) the violation or breach of any laws and regulations in relation to the Loan, or (d) any other issue otherwise in relation to the Loan and the Finance Documents.</w:t>
      </w:r>
    </w:p>
    <w:p>
      <w:pPr>
        <w:spacing w:after="0" w:line="180" w:lineRule="exact"/>
        <w:rPr>
          <w:sz w:val="20"/>
          <w:szCs w:val="20"/>
          <w:color w:val="auto"/>
        </w:rPr>
      </w:pPr>
    </w:p>
    <w:p>
      <w:pPr>
        <w:ind w:left="660" w:hanging="652"/>
        <w:spacing w:after="0"/>
        <w:tabs>
          <w:tab w:leader="none" w:pos="660" w:val="left"/>
        </w:tabs>
        <w:numPr>
          <w:ilvl w:val="0"/>
          <w:numId w:val="4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PREPAYMENT AND CANCELLATION</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8.1</w:t>
      </w:r>
      <w:r>
        <w:rPr>
          <w:rFonts w:ascii="Times New Roman" w:cs="Times New Roman" w:eastAsia="Times New Roman" w:hAnsi="Times New Roman"/>
          <w:sz w:val="17"/>
          <w:szCs w:val="17"/>
          <w:b w:val="1"/>
          <w:bCs w:val="1"/>
          <w:color w:val="auto"/>
        </w:rPr>
        <w:t>Illegality and Mandatory Prepayment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at any time, it is or will become unlawful in any applicable jurisdiction for the Lender to perform any of its obligations as contemplated by this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Agreement or to fund or maintain its participation in any Loan or it is or will become unlawful for the Lender to do so:</w:t>
      </w:r>
    </w:p>
    <w:p>
      <w:pPr>
        <w:spacing w:after="0" w:line="207" w:lineRule="exact"/>
        <w:rPr>
          <w:sz w:val="20"/>
          <w:szCs w:val="20"/>
          <w:color w:val="auto"/>
        </w:rPr>
      </w:pPr>
    </w:p>
    <w:p>
      <w:pPr>
        <w:ind w:left="1320" w:hanging="664"/>
        <w:spacing w:after="0"/>
        <w:tabs>
          <w:tab w:leader="none" w:pos="1320" w:val="left"/>
        </w:tabs>
        <w:numPr>
          <w:ilvl w:val="0"/>
          <w:numId w:val="4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Lender shall promptly notify the Borrower upon becoming aware of that event;</w:t>
      </w:r>
    </w:p>
    <w:p>
      <w:pPr>
        <w:spacing w:after="0" w:line="225" w:lineRule="exact"/>
        <w:rPr>
          <w:rFonts w:ascii="Times New Roman" w:cs="Times New Roman" w:eastAsia="Times New Roman" w:hAnsi="Times New Roman"/>
          <w:sz w:val="18"/>
          <w:szCs w:val="18"/>
          <w:b w:val="1"/>
          <w:bCs w:val="1"/>
          <w:color w:val="auto"/>
        </w:rPr>
      </w:pPr>
    </w:p>
    <w:p>
      <w:pPr>
        <w:ind w:left="1320" w:hanging="664"/>
        <w:spacing w:after="0"/>
        <w:tabs>
          <w:tab w:leader="none" w:pos="1320" w:val="left"/>
        </w:tabs>
        <w:numPr>
          <w:ilvl w:val="0"/>
          <w:numId w:val="4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the Lender notifying the Borrower, the Available Facility of the Lender will be immediately cancelled; and</w:t>
      </w:r>
    </w:p>
    <w:p>
      <w:pPr>
        <w:spacing w:after="0" w:line="225" w:lineRule="exact"/>
        <w:rPr>
          <w:rFonts w:ascii="Times New Roman" w:cs="Times New Roman" w:eastAsia="Times New Roman" w:hAnsi="Times New Roman"/>
          <w:sz w:val="18"/>
          <w:szCs w:val="18"/>
          <w:b w:val="1"/>
          <w:bCs w:val="1"/>
          <w:color w:val="auto"/>
        </w:rPr>
      </w:pPr>
    </w:p>
    <w:p>
      <w:pPr>
        <w:ind w:left="1300" w:right="140" w:hanging="644"/>
        <w:spacing w:after="0" w:line="266" w:lineRule="auto"/>
        <w:tabs>
          <w:tab w:leader="none" w:pos="1310" w:val="left"/>
        </w:tabs>
        <w:numPr>
          <w:ilvl w:val="0"/>
          <w:numId w:val="4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Borrower shall repay or pay the Lender on the date specified by the Lender (being no earlier than the last day of any applicable grace period permitted by law) the outstanding Loan together with the interest accrued up to the repayment or, as the case may be, payment date and all other amounts accrued under the Finance Documents.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7"/>
          <w:szCs w:val="17"/>
          <w:b w:val="1"/>
          <w:bCs w:val="1"/>
          <w:color w:val="auto"/>
        </w:rPr>
        <w:t>Voluntary prepayment of Loan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may, if it gives the Lender not less than five (5) Business Days’ (or such</w:t>
      </w:r>
    </w:p>
    <w:p>
      <w:pPr>
        <w:sectPr>
          <w:pgSz w:w="11900" w:h="16838" w:orient="portrait"/>
          <w:cols w:equalWidth="0" w:num="1">
            <w:col w:w="11380"/>
          </w:cols>
          <w:pgMar w:left="240" w:top="121" w:right="279" w:bottom="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1" w:right="279" w:bottom="0" w:gutter="0" w:footer="0" w:header="0"/>
          <w:type w:val="continuous"/>
        </w:sectPr>
      </w:pPr>
    </w:p>
    <w:bookmarkStart w:id="201" w:name="page202"/>
    <w:bookmarkEnd w:id="201"/>
    <w:p>
      <w:pPr>
        <w:ind w:left="660" w:right="120"/>
        <w:spacing w:after="0" w:line="282" w:lineRule="auto"/>
        <w:rPr>
          <w:sz w:val="20"/>
          <w:szCs w:val="20"/>
          <w:color w:val="auto"/>
        </w:rPr>
      </w:pPr>
      <w:r>
        <w:rPr>
          <w:rFonts w:ascii="Times New Roman" w:cs="Times New Roman" w:eastAsia="Times New Roman" w:hAnsi="Times New Roman"/>
          <w:sz w:val="18"/>
          <w:szCs w:val="18"/>
          <w:color w:val="auto"/>
        </w:rPr>
        <w:t>shorter period as the Lender may agree) prior notice, prepay all or any portion of the Loan. When the Borrower makes the prepayment of the Loan, the Borrower shall also pay the interest accrued on the amount prepaid to the Lender at the same time.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8"/>
          <w:szCs w:val="18"/>
          <w:b w:val="1"/>
          <w:bCs w:val="1"/>
          <w:color w:val="auto"/>
        </w:rPr>
        <w:t>Restrictions</w:t>
      </w:r>
    </w:p>
    <w:p>
      <w:pPr>
        <w:spacing w:after="0" w:line="229" w:lineRule="exact"/>
        <w:rPr>
          <w:sz w:val="20"/>
          <w:szCs w:val="20"/>
          <w:color w:val="auto"/>
        </w:rPr>
      </w:pPr>
    </w:p>
    <w:p>
      <w:pPr>
        <w:ind w:left="1400" w:right="220" w:hanging="744"/>
        <w:spacing w:after="0" w:line="282" w:lineRule="auto"/>
        <w:tabs>
          <w:tab w:leader="none" w:pos="1410" w:val="left"/>
        </w:tabs>
        <w:numPr>
          <w:ilvl w:val="1"/>
          <w:numId w:val="4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notice of cancellation or mandatory prepayment given by the Lender under this Clause 8 shall specify the date or dates upon which the relevant cancellation or mandatory prepayment is to be made and the amount of that cancellation or mandatory prepayment.</w:t>
      </w:r>
    </w:p>
    <w:p>
      <w:pPr>
        <w:spacing w:after="0" w:line="161"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1"/>
          <w:numId w:val="4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Borrower may not reborrow any part of the Facility which is prepaid.</w:t>
      </w:r>
    </w:p>
    <w:p>
      <w:pPr>
        <w:spacing w:after="0" w:line="225" w:lineRule="exact"/>
        <w:rPr>
          <w:rFonts w:ascii="Times New Roman" w:cs="Times New Roman" w:eastAsia="Times New Roman" w:hAnsi="Times New Roman"/>
          <w:sz w:val="18"/>
          <w:szCs w:val="18"/>
          <w:b w:val="1"/>
          <w:bCs w:val="1"/>
          <w:color w:val="auto"/>
        </w:rPr>
      </w:pPr>
    </w:p>
    <w:p>
      <w:pPr>
        <w:ind w:left="1400" w:hanging="744"/>
        <w:spacing w:after="0" w:line="282" w:lineRule="auto"/>
        <w:tabs>
          <w:tab w:leader="none" w:pos="1413" w:val="left"/>
        </w:tabs>
        <w:numPr>
          <w:ilvl w:val="1"/>
          <w:numId w:val="4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Borrower shall not repay or prepay all or any part of the Loan or cancel all or any part of the Available Facility except at the times and in the manner expressly provided for in this Agreement.</w:t>
      </w:r>
    </w:p>
    <w:p>
      <w:pPr>
        <w:spacing w:after="0" w:line="161" w:lineRule="exact"/>
        <w:rPr>
          <w:rFonts w:ascii="Times New Roman" w:cs="Times New Roman" w:eastAsia="Times New Roman" w:hAnsi="Times New Roman"/>
          <w:sz w:val="18"/>
          <w:szCs w:val="18"/>
          <w:b w:val="1"/>
          <w:bCs w:val="1"/>
          <w:color w:val="auto"/>
        </w:rPr>
      </w:pPr>
    </w:p>
    <w:p>
      <w:pPr>
        <w:ind w:left="1420" w:hanging="764"/>
        <w:spacing w:after="0"/>
        <w:tabs>
          <w:tab w:leader="none" w:pos="1420" w:val="left"/>
        </w:tabs>
        <w:numPr>
          <w:ilvl w:val="1"/>
          <w:numId w:val="4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amount of the Available Facility cancelled under this Agreement may be subsequently reinstated.</w:t>
      </w:r>
    </w:p>
    <w:p>
      <w:pPr>
        <w:spacing w:after="0" w:line="22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4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GROSS UP AND INDEMNITIES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ind w:left="1400" w:hanging="744"/>
        <w:spacing w:after="0"/>
        <w:tabs>
          <w:tab w:leader="none" w:pos="1400" w:val="left"/>
        </w:tabs>
        <w:numPr>
          <w:ilvl w:val="0"/>
          <w:numId w:val="4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this Clause 9:</w:t>
      </w:r>
    </w:p>
    <w:p>
      <w:pPr>
        <w:spacing w:after="0" w:line="221" w:lineRule="exact"/>
        <w:rPr>
          <w:rFonts w:ascii="Times New Roman" w:cs="Times New Roman" w:eastAsia="Times New Roman" w:hAnsi="Times New Roman"/>
          <w:sz w:val="18"/>
          <w:szCs w:val="18"/>
          <w:b w:val="1"/>
          <w:bCs w:val="1"/>
          <w:color w:val="auto"/>
        </w:rPr>
      </w:pPr>
    </w:p>
    <w:p>
      <w:pPr>
        <w:ind w:left="1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Credit</w:t>
      </w:r>
      <w:r>
        <w:rPr>
          <w:rFonts w:ascii="Times New Roman" w:cs="Times New Roman" w:eastAsia="Times New Roman" w:hAnsi="Times New Roman"/>
          <w:sz w:val="18"/>
          <w:szCs w:val="18"/>
          <w:color w:val="auto"/>
        </w:rPr>
        <w:t>” means a credit against, relief or remission for, or repayment of any Tax.</w:t>
      </w:r>
    </w:p>
    <w:p>
      <w:pPr>
        <w:spacing w:after="0" w:line="225" w:lineRule="exact"/>
        <w:rPr>
          <w:rFonts w:ascii="Times New Roman" w:cs="Times New Roman" w:eastAsia="Times New Roman" w:hAnsi="Times New Roman"/>
          <w:sz w:val="18"/>
          <w:szCs w:val="18"/>
          <w:b w:val="1"/>
          <w:bCs w:val="1"/>
          <w:color w:val="auto"/>
        </w:rPr>
      </w:pPr>
    </w:p>
    <w:p>
      <w:pPr>
        <w:ind w:left="1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Deduction</w:t>
      </w:r>
      <w:r>
        <w:rPr>
          <w:rFonts w:ascii="Times New Roman" w:cs="Times New Roman" w:eastAsia="Times New Roman" w:hAnsi="Times New Roman"/>
          <w:sz w:val="18"/>
          <w:szCs w:val="18"/>
          <w:color w:val="auto"/>
        </w:rPr>
        <w:t>” means a deduction or withholding for or on account of Tax from a payment under a Finance Document.</w:t>
      </w:r>
    </w:p>
    <w:p>
      <w:pPr>
        <w:spacing w:after="0" w:line="225" w:lineRule="exact"/>
        <w:rPr>
          <w:rFonts w:ascii="Times New Roman" w:cs="Times New Roman" w:eastAsia="Times New Roman" w:hAnsi="Times New Roman"/>
          <w:sz w:val="18"/>
          <w:szCs w:val="18"/>
          <w:b w:val="1"/>
          <w:bCs w:val="1"/>
          <w:color w:val="auto"/>
        </w:rPr>
      </w:pPr>
    </w:p>
    <w:p>
      <w:pPr>
        <w:ind w:left="1420" w:right="4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Payment</w:t>
      </w:r>
      <w:r>
        <w:rPr>
          <w:rFonts w:ascii="Times New Roman" w:cs="Times New Roman" w:eastAsia="Times New Roman" w:hAnsi="Times New Roman"/>
          <w:sz w:val="18"/>
          <w:szCs w:val="18"/>
          <w:color w:val="auto"/>
        </w:rPr>
        <w:t>” means an increased payment made by an Obligor to the Lender under Clause 9.2 (</w:t>
      </w:r>
      <w:r>
        <w:rPr>
          <w:rFonts w:ascii="Times New Roman" w:cs="Times New Roman" w:eastAsia="Times New Roman" w:hAnsi="Times New Roman"/>
          <w:sz w:val="18"/>
          <w:szCs w:val="18"/>
          <w:i w:val="1"/>
          <w:iCs w:val="1"/>
          <w:color w:val="auto"/>
        </w:rPr>
        <w:t>Tax gross-up</w:t>
      </w:r>
      <w:r>
        <w:rPr>
          <w:rFonts w:ascii="Times New Roman" w:cs="Times New Roman" w:eastAsia="Times New Roman" w:hAnsi="Times New Roman"/>
          <w:sz w:val="18"/>
          <w:szCs w:val="18"/>
          <w:color w:val="auto"/>
        </w:rPr>
        <w:t>) or a payment under Clause 9.3 (</w:t>
      </w: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b w:val="1"/>
          <w:bCs w:val="1"/>
          <w:color w:val="auto"/>
        </w:rPr>
      </w:pPr>
    </w:p>
    <w:p>
      <w:pPr>
        <w:ind w:left="1400" w:right="400" w:hanging="744"/>
        <w:spacing w:after="0" w:line="282" w:lineRule="auto"/>
        <w:tabs>
          <w:tab w:leader="none" w:pos="1420" w:val="left"/>
        </w:tabs>
        <w:numPr>
          <w:ilvl w:val="0"/>
          <w:numId w:val="4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a contrary indication appears, in this Clause 9 a reference to “determines” or “determined” means a determination made in the absolute discretion of the person making the determination.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7"/>
          <w:szCs w:val="17"/>
          <w:b w:val="1"/>
          <w:bCs w:val="1"/>
          <w:color w:val="auto"/>
        </w:rPr>
        <w:t>Tax gross-up</w:t>
      </w:r>
    </w:p>
    <w:p>
      <w:pPr>
        <w:spacing w:after="0" w:line="229" w:lineRule="exact"/>
        <w:rPr>
          <w:sz w:val="20"/>
          <w:szCs w:val="20"/>
          <w:color w:val="auto"/>
        </w:rPr>
      </w:pPr>
    </w:p>
    <w:p>
      <w:pPr>
        <w:jc w:val="both"/>
        <w:ind w:left="1400" w:right="160" w:hanging="744"/>
        <w:spacing w:after="0" w:line="281" w:lineRule="auto"/>
        <w:tabs>
          <w:tab w:leader="none" w:pos="1410" w:val="left"/>
        </w:tabs>
        <w:numPr>
          <w:ilvl w:val="0"/>
          <w:numId w:val="4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All payments to be made by an Obligor to the Lender under the Finance Documents shall be made free and clear of and without any Tax Deduction unless such Obligor is required to make a Tax Deduction, in which case the sum payable by such Obligor (in respect of which such Tax Deduction is required to be made) shall be increased to the extent necessary to ensure that the Lender receives a sum net of any deduction or withholding equal to the sum which it would have received had no such Tax Deduction been made or required to be made.</w:t>
      </w:r>
    </w:p>
    <w:p>
      <w:pPr>
        <w:spacing w:after="0" w:line="164" w:lineRule="exact"/>
        <w:rPr>
          <w:rFonts w:ascii="Times New Roman" w:cs="Times New Roman" w:eastAsia="Times New Roman" w:hAnsi="Times New Roman"/>
          <w:sz w:val="17"/>
          <w:szCs w:val="17"/>
          <w:b w:val="1"/>
          <w:bCs w:val="1"/>
          <w:color w:val="auto"/>
        </w:rPr>
      </w:pPr>
    </w:p>
    <w:p>
      <w:pPr>
        <w:ind w:left="1400" w:right="100" w:hanging="744"/>
        <w:spacing w:after="0" w:line="266" w:lineRule="auto"/>
        <w:tabs>
          <w:tab w:leader="none" w:pos="1420" w:val="left"/>
        </w:tabs>
        <w:numPr>
          <w:ilvl w:val="0"/>
          <w:numId w:val="4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Borrower shall promptly upon becoming aware that an Obligor must make a Tax Deduction (or that there is any change in the rate or the basis of a Tax Deduction) notify the Lender accordingly. Similarly, the Lender shall notify the Borrower on becoming so aware in respect of a payment payable to the Lender.</w:t>
      </w:r>
    </w:p>
    <w:p>
      <w:pPr>
        <w:spacing w:after="0" w:line="176" w:lineRule="exact"/>
        <w:rPr>
          <w:rFonts w:ascii="Times New Roman" w:cs="Times New Roman" w:eastAsia="Times New Roman" w:hAnsi="Times New Roman"/>
          <w:sz w:val="18"/>
          <w:szCs w:val="18"/>
          <w:b w:val="1"/>
          <w:bCs w:val="1"/>
          <w:color w:val="auto"/>
        </w:rPr>
      </w:pPr>
    </w:p>
    <w:p>
      <w:pPr>
        <w:ind w:left="1400" w:right="260" w:hanging="744"/>
        <w:spacing w:after="0" w:line="282" w:lineRule="auto"/>
        <w:tabs>
          <w:tab w:leader="none" w:pos="1413" w:val="left"/>
        </w:tabs>
        <w:numPr>
          <w:ilvl w:val="0"/>
          <w:numId w:val="4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 Obligor is required to make a Tax Deduction, that Obligor shall make that Tax Deduction and any payment required in connection with that Tax Deduction within the time allowed and in the minimum amount required by law.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40" w:hanging="644"/>
        <w:spacing w:after="0" w:line="266" w:lineRule="auto"/>
        <w:tabs>
          <w:tab w:leader="none" w:pos="1317" w:val="left"/>
        </w:tabs>
        <w:numPr>
          <w:ilvl w:val="0"/>
          <w:numId w:val="4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Within thirty (30) days of making either a Tax Deduction or any payment required in connection with that Tax Deduction, the Obligor making that Tax Deduction shall deliver to the Lender entitled to the payment evidence reasonably satisfactory to the Lender that the Tax Deduction has been made or (as applicable) any appropriate payment paid to the relevant taxing authority.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7"/>
          <w:szCs w:val="17"/>
          <w:b w:val="1"/>
          <w:bCs w:val="1"/>
          <w:color w:val="auto"/>
        </w:rPr>
        <w:t>Tax indemnity</w:t>
      </w:r>
    </w:p>
    <w:p>
      <w:pPr>
        <w:spacing w:after="0" w:line="227" w:lineRule="exact"/>
        <w:rPr>
          <w:sz w:val="20"/>
          <w:szCs w:val="20"/>
          <w:color w:val="auto"/>
        </w:rPr>
      </w:pPr>
    </w:p>
    <w:p>
      <w:pPr>
        <w:ind w:left="1300" w:right="40" w:hanging="644"/>
        <w:spacing w:after="0" w:line="257" w:lineRule="auto"/>
        <w:tabs>
          <w:tab w:leader="none" w:pos="1307" w:val="left"/>
        </w:tabs>
        <w:numPr>
          <w:ilvl w:val="0"/>
          <w:numId w:val="4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Without prejudice to Clause 9.2 (</w:t>
      </w:r>
      <w:r>
        <w:rPr>
          <w:rFonts w:ascii="Times New Roman" w:cs="Times New Roman" w:eastAsia="Times New Roman" w:hAnsi="Times New Roman"/>
          <w:sz w:val="18"/>
          <w:szCs w:val="18"/>
          <w:i w:val="1"/>
          <w:iCs w:val="1"/>
          <w:color w:val="auto"/>
        </w:rPr>
        <w:t>Tax gross-up</w:t>
      </w:r>
      <w:r>
        <w:rPr>
          <w:rFonts w:ascii="Times New Roman" w:cs="Times New Roman" w:eastAsia="Times New Roman" w:hAnsi="Times New Roman"/>
          <w:sz w:val="18"/>
          <w:szCs w:val="18"/>
          <w:color w:val="auto"/>
        </w:rPr>
        <w:t>), if the Lender is required to make any payment of or on account of Tax on or in relation to any sum received or receivable under the Finance Documents (including any sum deemed for purposes of Tax to be received or receivable by the Lender whether or not actually received or receivable) or if any liability in respect of any such payment is asserted, imposed, levied or assessed against the Lender, the Borrower shall, within three (3) Business Days of demand of the Lender, promptly indemnify the Lender which suffers a loss or liability as a result against such payment or liability, together with any interest, penalties, costs and expenses payable or incurred in connection therewith, provided that this Clause 9.3 shall not apply to:</w:t>
      </w:r>
    </w:p>
    <w:p>
      <w:pPr>
        <w:spacing w:after="0" w:line="184" w:lineRule="exact"/>
        <w:rPr>
          <w:rFonts w:ascii="Times New Roman" w:cs="Times New Roman" w:eastAsia="Times New Roman" w:hAnsi="Times New Roman"/>
          <w:sz w:val="18"/>
          <w:szCs w:val="18"/>
          <w:b w:val="1"/>
          <w:bCs w:val="1"/>
          <w:color w:val="auto"/>
        </w:rPr>
      </w:pPr>
    </w:p>
    <w:p>
      <w:pPr>
        <w:ind w:left="1960" w:right="100" w:hanging="655"/>
        <w:spacing w:after="0" w:line="266" w:lineRule="auto"/>
        <w:tabs>
          <w:tab w:leader="none" w:pos="1981" w:val="left"/>
        </w:tabs>
        <w:numPr>
          <w:ilvl w:val="1"/>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imposed on and calculated by reference to the net income actually received or receivable by the Lender (but, for the avoidance of doubt, not including any sum deemed for purposes of Tax to be received or receivable by the Lender but not actually receivable) by the jurisdiction in which the Lender is incorporated; or</w:t>
      </w:r>
    </w:p>
    <w:p>
      <w:pPr>
        <w:spacing w:after="0" w:line="176" w:lineRule="exact"/>
        <w:rPr>
          <w:rFonts w:ascii="Times New Roman" w:cs="Times New Roman" w:eastAsia="Times New Roman" w:hAnsi="Times New Roman"/>
          <w:sz w:val="18"/>
          <w:szCs w:val="18"/>
          <w:color w:val="auto"/>
        </w:rPr>
      </w:pPr>
    </w:p>
    <w:p>
      <w:pPr>
        <w:ind w:left="1960" w:right="360" w:hanging="655"/>
        <w:spacing w:after="0" w:line="266" w:lineRule="auto"/>
        <w:tabs>
          <w:tab w:leader="none" w:pos="1991" w:val="left"/>
        </w:tabs>
        <w:numPr>
          <w:ilvl w:val="1"/>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imposed on and calculated by reference to the net income of the Facility Office of the Lender actually received or receivable by the Lender (but, for the avoidance of doubt, not including any sum deemed for purposes of Tax to be received or receivable by the Lender but not actually receivable) by the jurisdiction in which its Facility Office is located.</w:t>
      </w:r>
    </w:p>
    <w:p>
      <w:pPr>
        <w:spacing w:after="0" w:line="176"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4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Lender intends to make a claim under sub-clause (a), it shall notify the Borrower of the event giving rise to the claim.</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9.4</w:t>
      </w:r>
      <w:r>
        <w:rPr>
          <w:sz w:val="20"/>
          <w:szCs w:val="20"/>
          <w:color w:val="auto"/>
        </w:rPr>
        <w:tab/>
      </w:r>
      <w:r>
        <w:rPr>
          <w:rFonts w:ascii="Times New Roman" w:cs="Times New Roman" w:eastAsia="Times New Roman" w:hAnsi="Times New Roman"/>
          <w:sz w:val="17"/>
          <w:szCs w:val="17"/>
          <w:b w:val="1"/>
          <w:bCs w:val="1"/>
          <w:color w:val="auto"/>
        </w:rPr>
        <w:t>Tax credit</w:t>
      </w:r>
    </w:p>
    <w:p>
      <w:pPr>
        <w:sectPr>
          <w:pgSz w:w="11900" w:h="16838" w:orient="portrait"/>
          <w:cols w:equalWidth="0" w:num="1">
            <w:col w:w="11420"/>
          </w:cols>
          <w:pgMar w:left="240" w:top="580" w:right="239" w:bottom="0" w:gutter="0" w:footer="0" w:header="0"/>
        </w:sectPr>
      </w:pPr>
    </w:p>
    <w:bookmarkStart w:id="202" w:name="page203"/>
    <w:bookmarkEnd w:id="202"/>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 Obligor makes a Tax Payment and the Lender determines that:</w:t>
      </w:r>
    </w:p>
    <w:p>
      <w:pPr>
        <w:spacing w:after="0" w:line="225" w:lineRule="exact"/>
        <w:rPr>
          <w:sz w:val="20"/>
          <w:szCs w:val="20"/>
          <w:color w:val="auto"/>
        </w:rPr>
      </w:pPr>
    </w:p>
    <w:p>
      <w:pPr>
        <w:ind w:left="1320" w:hanging="664"/>
        <w:spacing w:after="0"/>
        <w:tabs>
          <w:tab w:leader="none" w:pos="1320" w:val="left"/>
        </w:tabs>
        <w:numPr>
          <w:ilvl w:val="0"/>
          <w:numId w:val="4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Tax Credit is attributable to that Tax Payment; and</w:t>
      </w:r>
    </w:p>
    <w:p>
      <w:pPr>
        <w:spacing w:after="0" w:line="225" w:lineRule="exact"/>
        <w:rPr>
          <w:rFonts w:ascii="Times New Roman" w:cs="Times New Roman" w:eastAsia="Times New Roman" w:hAnsi="Times New Roman"/>
          <w:sz w:val="18"/>
          <w:szCs w:val="18"/>
          <w:b w:val="1"/>
          <w:bCs w:val="1"/>
          <w:color w:val="auto"/>
        </w:rPr>
      </w:pPr>
    </w:p>
    <w:p>
      <w:pPr>
        <w:ind w:left="1320" w:hanging="664"/>
        <w:spacing w:after="0"/>
        <w:tabs>
          <w:tab w:leader="none" w:pos="1320" w:val="left"/>
        </w:tabs>
        <w:numPr>
          <w:ilvl w:val="0"/>
          <w:numId w:val="4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Lender has obtained, utilised and retained that Tax Credit,</w:t>
      </w:r>
    </w:p>
    <w:p>
      <w:pPr>
        <w:spacing w:after="0" w:line="225" w:lineRule="exact"/>
        <w:rPr>
          <w:sz w:val="20"/>
          <w:szCs w:val="20"/>
          <w:color w:val="auto"/>
        </w:rPr>
      </w:pPr>
    </w:p>
    <w:p>
      <w:pPr>
        <w:ind w:left="660" w:right="380"/>
        <w:spacing w:after="0" w:line="282" w:lineRule="auto"/>
        <w:rPr>
          <w:sz w:val="20"/>
          <w:szCs w:val="20"/>
          <w:color w:val="auto"/>
        </w:rPr>
      </w:pPr>
      <w:r>
        <w:rPr>
          <w:rFonts w:ascii="Times New Roman" w:cs="Times New Roman" w:eastAsia="Times New Roman" w:hAnsi="Times New Roman"/>
          <w:sz w:val="18"/>
          <w:szCs w:val="18"/>
          <w:color w:val="auto"/>
        </w:rPr>
        <w:t>the Lender shall pay an amount to the Obligor which the Lender determines will leave it (after that payment) in the same after-Tax position as it would have been in had the Tax Payment not been required to be made by the Obligor.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9.5</w:t>
      </w:r>
      <w:r>
        <w:rPr>
          <w:sz w:val="20"/>
          <w:szCs w:val="20"/>
          <w:color w:val="auto"/>
        </w:rPr>
        <w:tab/>
      </w:r>
      <w:r>
        <w:rPr>
          <w:rFonts w:ascii="Times New Roman" w:cs="Times New Roman" w:eastAsia="Times New Roman" w:hAnsi="Times New Roman"/>
          <w:sz w:val="17"/>
          <w:szCs w:val="17"/>
          <w:b w:val="1"/>
          <w:bCs w:val="1"/>
          <w:color w:val="auto"/>
        </w:rPr>
        <w:t>Stamp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shall:</w:t>
      </w:r>
    </w:p>
    <w:p>
      <w:pPr>
        <w:spacing w:after="0" w:line="225" w:lineRule="exact"/>
        <w:rPr>
          <w:sz w:val="20"/>
          <w:szCs w:val="20"/>
          <w:color w:val="auto"/>
        </w:rPr>
      </w:pPr>
    </w:p>
    <w:p>
      <w:pPr>
        <w:ind w:left="1320" w:hanging="664"/>
        <w:spacing w:after="0"/>
        <w:tabs>
          <w:tab w:leader="none" w:pos="1320" w:val="left"/>
        </w:tabs>
        <w:numPr>
          <w:ilvl w:val="0"/>
          <w:numId w:val="4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pay all stamp duty, registration and other similar Taxes payable in respect of any Finance Document, and</w:t>
      </w:r>
    </w:p>
    <w:p>
      <w:pPr>
        <w:spacing w:after="0" w:line="225" w:lineRule="exact"/>
        <w:rPr>
          <w:rFonts w:ascii="Times New Roman" w:cs="Times New Roman" w:eastAsia="Times New Roman" w:hAnsi="Times New Roman"/>
          <w:sz w:val="18"/>
          <w:szCs w:val="18"/>
          <w:b w:val="1"/>
          <w:bCs w:val="1"/>
          <w:color w:val="auto"/>
        </w:rPr>
      </w:pPr>
    </w:p>
    <w:p>
      <w:pPr>
        <w:ind w:left="1300" w:right="220" w:hanging="644"/>
        <w:spacing w:after="0" w:line="282" w:lineRule="auto"/>
        <w:tabs>
          <w:tab w:leader="none" w:pos="1317" w:val="left"/>
        </w:tabs>
        <w:numPr>
          <w:ilvl w:val="0"/>
          <w:numId w:val="4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within three (3) Business Days of demand, indemnify the Lender against any cost, loss or liability that the Lender incurs in relation to all stamp duty, registration and other similar Taxes payable in respect of any Finance Document.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9.6</w:t>
      </w:r>
      <w:r>
        <w:rPr>
          <w:sz w:val="20"/>
          <w:szCs w:val="20"/>
          <w:color w:val="auto"/>
        </w:rPr>
        <w:tab/>
      </w:r>
      <w:r>
        <w:rPr>
          <w:rFonts w:ascii="Times New Roman" w:cs="Times New Roman" w:eastAsia="Times New Roman" w:hAnsi="Times New Roman"/>
          <w:sz w:val="17"/>
          <w:szCs w:val="17"/>
          <w:b w:val="1"/>
          <w:bCs w:val="1"/>
          <w:color w:val="auto"/>
        </w:rPr>
        <w:t>Indirect tax</w:t>
      </w:r>
    </w:p>
    <w:p>
      <w:pPr>
        <w:spacing w:after="0" w:line="229" w:lineRule="exact"/>
        <w:rPr>
          <w:sz w:val="20"/>
          <w:szCs w:val="20"/>
          <w:color w:val="auto"/>
        </w:rPr>
      </w:pPr>
    </w:p>
    <w:p>
      <w:pPr>
        <w:jc w:val="both"/>
        <w:ind w:left="1300" w:right="120" w:hanging="644"/>
        <w:spacing w:after="0" w:line="261" w:lineRule="auto"/>
        <w:tabs>
          <w:tab w:leader="none" w:pos="1307" w:val="left"/>
        </w:tabs>
        <w:numPr>
          <w:ilvl w:val="1"/>
          <w:numId w:val="4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consideration expressed to be payable under a Finance Document by any Obligor to the Lender shall be deemed to be exclusive of any Indirect Tax. If any Indirect Tax is chargeable on any supply made by the Lender to any Obligor in connection with a Finance Document, that Obligor shall pay to the Lender (in addition to and at the same time as paying the consideration) an amount equal to the amount of the Indirect Tax.</w:t>
      </w:r>
    </w:p>
    <w:p>
      <w:pPr>
        <w:spacing w:after="0" w:line="180" w:lineRule="exact"/>
        <w:rPr>
          <w:rFonts w:ascii="Times New Roman" w:cs="Times New Roman" w:eastAsia="Times New Roman" w:hAnsi="Times New Roman"/>
          <w:sz w:val="18"/>
          <w:szCs w:val="18"/>
          <w:b w:val="1"/>
          <w:bCs w:val="1"/>
          <w:color w:val="auto"/>
        </w:rPr>
      </w:pPr>
    </w:p>
    <w:p>
      <w:pPr>
        <w:ind w:left="1300" w:hanging="644"/>
        <w:spacing w:after="0" w:line="266" w:lineRule="auto"/>
        <w:tabs>
          <w:tab w:leader="none" w:pos="1317" w:val="left"/>
        </w:tabs>
        <w:numPr>
          <w:ilvl w:val="1"/>
          <w:numId w:val="4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Where a Finance Document requires any Obligor to reimburse the Lender for any costs or expenses, that Obligor shall also at the same time pay and indemnify the Lender against all Indirect Tax incurred by the Lender in respect of the costs or expenses to the extent the Lender reasonably determines that it is not entitled to credit or repayment in respect of the Indirect Tax.</w:t>
      </w:r>
    </w:p>
    <w:p>
      <w:pPr>
        <w:spacing w:after="0" w:line="172"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4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INCREASED COSTS</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7"/>
          <w:szCs w:val="17"/>
          <w:b w:val="1"/>
          <w:bCs w:val="1"/>
          <w:color w:val="auto"/>
        </w:rPr>
        <w:t>Increased costs</w:t>
      </w:r>
    </w:p>
    <w:p>
      <w:pPr>
        <w:spacing w:after="0" w:line="227" w:lineRule="exact"/>
        <w:rPr>
          <w:sz w:val="20"/>
          <w:szCs w:val="20"/>
          <w:color w:val="auto"/>
        </w:rPr>
      </w:pPr>
    </w:p>
    <w:p>
      <w:pPr>
        <w:jc w:val="both"/>
        <w:ind w:left="1300" w:right="220" w:hanging="644"/>
        <w:spacing w:after="0" w:line="267" w:lineRule="auto"/>
        <w:tabs>
          <w:tab w:leader="none" w:pos="1307" w:val="left"/>
        </w:tabs>
        <w:numPr>
          <w:ilvl w:val="0"/>
          <w:numId w:val="4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Clause 10.3 (</w:t>
      </w:r>
      <w:r>
        <w:rPr>
          <w:rFonts w:ascii="Times New Roman" w:cs="Times New Roman" w:eastAsia="Times New Roman" w:hAnsi="Times New Roman"/>
          <w:sz w:val="18"/>
          <w:szCs w:val="18"/>
          <w:i w:val="1"/>
          <w:iCs w:val="1"/>
          <w:color w:val="auto"/>
        </w:rPr>
        <w:t>Exceptions</w:t>
      </w:r>
      <w:r>
        <w:rPr>
          <w:rFonts w:ascii="Times New Roman" w:cs="Times New Roman" w:eastAsia="Times New Roman" w:hAnsi="Times New Roman"/>
          <w:sz w:val="18"/>
          <w:szCs w:val="18"/>
          <w:color w:val="auto"/>
        </w:rPr>
        <w:t>) the Borrower shall, within three (3) Business Days of a demand by the Lender, pay to the Lender the amount of any Increased Costs incurred by the Lender as a result of (A) any Fund Raising, (B) the introduction of or any change in (or in the interpretation, administration or application of) any law or regulation after the Execution Date and the compliance thereof.</w:t>
      </w:r>
    </w:p>
    <w:p>
      <w:pPr>
        <w:spacing w:after="0" w:line="171" w:lineRule="exact"/>
        <w:rPr>
          <w:rFonts w:ascii="Times New Roman" w:cs="Times New Roman" w:eastAsia="Times New Roman" w:hAnsi="Times New Roman"/>
          <w:sz w:val="18"/>
          <w:szCs w:val="18"/>
          <w:b w:val="1"/>
          <w:bCs w:val="1"/>
          <w:color w:val="auto"/>
        </w:rPr>
      </w:pPr>
    </w:p>
    <w:p>
      <w:pPr>
        <w:ind w:left="1320" w:hanging="664"/>
        <w:spacing w:after="0"/>
        <w:tabs>
          <w:tab w:leader="none" w:pos="1320" w:val="left"/>
        </w:tabs>
        <w:numPr>
          <w:ilvl w:val="0"/>
          <w:numId w:val="4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this Agreement “</w:t>
      </w:r>
      <w:r>
        <w:rPr>
          <w:rFonts w:ascii="Times New Roman" w:cs="Times New Roman" w:eastAsia="Times New Roman" w:hAnsi="Times New Roman"/>
          <w:sz w:val="18"/>
          <w:szCs w:val="18"/>
          <w:b w:val="1"/>
          <w:bCs w:val="1"/>
          <w:color w:val="auto"/>
        </w:rPr>
        <w:t>Increased Costs</w:t>
      </w:r>
      <w:r>
        <w:rPr>
          <w:rFonts w:ascii="Times New Roman" w:cs="Times New Roman" w:eastAsia="Times New Roman" w:hAnsi="Times New Roman"/>
          <w:sz w:val="18"/>
          <w:szCs w:val="18"/>
          <w:color w:val="auto"/>
        </w:rPr>
        <w:t>” means:</w:t>
      </w:r>
    </w:p>
    <w:p>
      <w:pPr>
        <w:spacing w:after="0" w:line="229" w:lineRule="exact"/>
        <w:rPr>
          <w:rFonts w:ascii="Times New Roman" w:cs="Times New Roman" w:eastAsia="Times New Roman" w:hAnsi="Times New Roman"/>
          <w:sz w:val="18"/>
          <w:szCs w:val="18"/>
          <w:b w:val="1"/>
          <w:bCs w:val="1"/>
          <w:color w:val="auto"/>
        </w:rPr>
      </w:pPr>
    </w:p>
    <w:p>
      <w:pPr>
        <w:ind w:left="1960" w:right="140" w:hanging="655"/>
        <w:spacing w:after="0" w:line="282" w:lineRule="auto"/>
        <w:tabs>
          <w:tab w:leader="none" w:pos="1981" w:val="left"/>
        </w:tabs>
        <w:numPr>
          <w:ilvl w:val="1"/>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rate of return from the Facility or on the Lender’s (or its Affiliate’s) overall capital (including as a result of any reduction in the rate of return on capital brought about by more capital being required to be allocated by the Lender);</w:t>
      </w:r>
    </w:p>
    <w:p>
      <w:pPr>
        <w:spacing w:after="0" w:line="161"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or increased cost as a result of, among others, any Fund Raising; or</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1"/>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of any amount due and payable under any Finance Document,</w:t>
      </w:r>
    </w:p>
    <w:p>
      <w:pPr>
        <w:spacing w:after="0" w:line="225" w:lineRule="exact"/>
        <w:rPr>
          <w:sz w:val="20"/>
          <w:szCs w:val="20"/>
          <w:color w:val="auto"/>
        </w:rPr>
      </w:pPr>
    </w:p>
    <w:p>
      <w:pPr>
        <w:ind w:left="1300" w:right="280"/>
        <w:spacing w:after="0" w:line="282" w:lineRule="auto"/>
        <w:rPr>
          <w:sz w:val="20"/>
          <w:szCs w:val="20"/>
          <w:color w:val="auto"/>
        </w:rPr>
      </w:pPr>
      <w:r>
        <w:rPr>
          <w:rFonts w:ascii="Times New Roman" w:cs="Times New Roman" w:eastAsia="Times New Roman" w:hAnsi="Times New Roman"/>
          <w:sz w:val="18"/>
          <w:szCs w:val="18"/>
          <w:color w:val="auto"/>
        </w:rPr>
        <w:t>which is incurred or suffered by the Lender or any of its Affiliates to the extent that it is attributable to the Lender having entered into or funding or performing its obligations under any Finance Document.</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8"/>
          <w:szCs w:val="18"/>
          <w:b w:val="1"/>
          <w:bCs w:val="1"/>
          <w:color w:val="auto"/>
        </w:rPr>
        <w:t>Increased cost claims</w:t>
      </w:r>
    </w:p>
    <w:p>
      <w:pPr>
        <w:spacing w:after="0" w:line="227" w:lineRule="exact"/>
        <w:rPr>
          <w:sz w:val="20"/>
          <w:szCs w:val="20"/>
          <w:color w:val="auto"/>
        </w:rPr>
      </w:pPr>
    </w:p>
    <w:p>
      <w:pPr>
        <w:ind w:left="1300" w:right="180" w:hanging="644"/>
        <w:spacing w:after="0" w:line="284" w:lineRule="auto"/>
        <w:tabs>
          <w:tab w:leader="none" w:pos="1307" w:val="left"/>
        </w:tabs>
        <w:numPr>
          <w:ilvl w:val="0"/>
          <w:numId w:val="4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Lender intends to make a claim pursuant to Clause 10.1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it shall notify the Borrower of the event giving rise to the claim.</w:t>
      </w:r>
    </w:p>
    <w:p>
      <w:pPr>
        <w:spacing w:after="0" w:line="160" w:lineRule="exact"/>
        <w:rPr>
          <w:rFonts w:ascii="Times New Roman" w:cs="Times New Roman" w:eastAsia="Times New Roman" w:hAnsi="Times New Roman"/>
          <w:sz w:val="18"/>
          <w:szCs w:val="18"/>
          <w:b w:val="1"/>
          <w:bCs w:val="1"/>
          <w:color w:val="auto"/>
        </w:rPr>
      </w:pPr>
    </w:p>
    <w:p>
      <w:pPr>
        <w:ind w:left="1320" w:hanging="664"/>
        <w:spacing w:after="0"/>
        <w:tabs>
          <w:tab w:leader="none" w:pos="1320" w:val="left"/>
        </w:tabs>
        <w:numPr>
          <w:ilvl w:val="0"/>
          <w:numId w:val="4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Lender shall, as soon as practicable after a demand by the Borrower, provide a certificate confirming the amount of its Increased Costs.</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7"/>
          <w:szCs w:val="17"/>
          <w:b w:val="1"/>
          <w:bCs w:val="1"/>
          <w:color w:val="auto"/>
        </w:rPr>
        <w:t>Exceptions</w:t>
      </w:r>
    </w:p>
    <w:p>
      <w:pPr>
        <w:spacing w:after="0" w:line="227" w:lineRule="exact"/>
        <w:rPr>
          <w:sz w:val="20"/>
          <w:szCs w:val="20"/>
          <w:color w:val="auto"/>
        </w:rPr>
      </w:pPr>
    </w:p>
    <w:p>
      <w:pPr>
        <w:ind w:left="1320" w:hanging="664"/>
        <w:spacing w:after="0"/>
        <w:tabs>
          <w:tab w:leader="none" w:pos="1320" w:val="left"/>
        </w:tabs>
        <w:numPr>
          <w:ilvl w:val="1"/>
          <w:numId w:val="4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Clause 10.1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does not apply to the extent any Increased Cost is:</w:t>
      </w:r>
    </w:p>
    <w:p>
      <w:pPr>
        <w:spacing w:after="0" w:line="227" w:lineRule="exact"/>
        <w:rPr>
          <w:rFonts w:ascii="Times New Roman" w:cs="Times New Roman" w:eastAsia="Times New Roman" w:hAnsi="Times New Roman"/>
          <w:sz w:val="18"/>
          <w:szCs w:val="18"/>
          <w:b w:val="1"/>
          <w:bCs w:val="1"/>
          <w:color w:val="auto"/>
        </w:rPr>
      </w:pPr>
    </w:p>
    <w:p>
      <w:pPr>
        <w:ind w:left="5620" w:right="3900" w:hanging="4315"/>
        <w:spacing w:after="0" w:line="532" w:lineRule="auto"/>
        <w:tabs>
          <w:tab w:leader="none" w:pos="1970" w:val="left"/>
        </w:tabs>
        <w:numPr>
          <w:ilvl w:val="2"/>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to a Tax Deduction required by law to be made by an Obligor; or 12</w:t>
      </w:r>
    </w:p>
    <w:p>
      <w:pPr>
        <w:spacing w:after="0" w:line="200" w:lineRule="exact"/>
        <w:rPr>
          <w:rFonts w:ascii="Times New Roman" w:cs="Times New Roman" w:eastAsia="Times New Roman" w:hAnsi="Times New Roman"/>
          <w:sz w:val="18"/>
          <w:szCs w:val="18"/>
          <w:color w:val="auto"/>
        </w:rPr>
      </w:pPr>
    </w:p>
    <w:p>
      <w:pPr>
        <w:spacing w:after="0" w:line="244" w:lineRule="exact"/>
        <w:rPr>
          <w:rFonts w:ascii="Times New Roman" w:cs="Times New Roman" w:eastAsia="Times New Roman" w:hAnsi="Times New Roman"/>
          <w:sz w:val="18"/>
          <w:szCs w:val="18"/>
          <w:color w:val="auto"/>
        </w:rPr>
      </w:pPr>
    </w:p>
    <w:p>
      <w:pPr>
        <w:ind w:left="1960" w:right="220" w:hanging="655"/>
        <w:spacing w:after="0" w:line="284" w:lineRule="auto"/>
        <w:tabs>
          <w:tab w:leader="none" w:pos="1991" w:val="left"/>
        </w:tabs>
        <w:numPr>
          <w:ilvl w:val="2"/>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compensated for by Clause 9.3 (</w:t>
      </w: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 (or would have been compensated for under Clause 9.3 (</w:t>
      </w: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 but was not so compensated solely because the exclusion in sub-clause (a) applied).</w:t>
      </w:r>
    </w:p>
    <w:p>
      <w:pPr>
        <w:spacing w:after="0" w:line="158"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4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this Clause 10.3, a reference to a “Tax Deduction” has the same meaning given to the term in Clause 9.1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b w:val="1"/>
          <w:bCs w:val="1"/>
          <w:color w:val="auto"/>
        </w:rPr>
      </w:pPr>
    </w:p>
    <w:p>
      <w:pPr>
        <w:ind w:left="640" w:hanging="632"/>
        <w:spacing w:after="0"/>
        <w:tabs>
          <w:tab w:leader="none" w:pos="640" w:val="left"/>
        </w:tabs>
        <w:numPr>
          <w:ilvl w:val="0"/>
          <w:numId w:val="4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MITIGATION BY THE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-1190625</wp:posOffset>
            </wp:positionV>
            <wp:extent cx="726757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66" w:orient="portrait"/>
          <w:cols w:equalWidth="0" w:num="1">
            <w:col w:w="11400"/>
          </w:cols>
          <w:pgMar w:left="240" w:top="122" w:right="259" w:bottom="0" w:gutter="0" w:footer="0" w:header="0"/>
        </w:sectPr>
      </w:pPr>
    </w:p>
    <w:bookmarkStart w:id="203" w:name="page204"/>
    <w:bookmarkEnd w:id="203"/>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11.1</w:t>
      </w:r>
      <w:r>
        <w:rPr>
          <w:sz w:val="20"/>
          <w:szCs w:val="20"/>
          <w:color w:val="auto"/>
        </w:rPr>
        <w:tab/>
      </w:r>
      <w:r>
        <w:rPr>
          <w:rFonts w:ascii="Times New Roman" w:cs="Times New Roman" w:eastAsia="Times New Roman" w:hAnsi="Times New Roman"/>
          <w:sz w:val="17"/>
          <w:szCs w:val="17"/>
          <w:b w:val="1"/>
          <w:bCs w:val="1"/>
          <w:color w:val="auto"/>
        </w:rPr>
        <w:t>Mitigation</w:t>
      </w:r>
    </w:p>
    <w:p>
      <w:pPr>
        <w:spacing w:after="0" w:line="229" w:lineRule="exact"/>
        <w:rPr>
          <w:sz w:val="20"/>
          <w:szCs w:val="20"/>
          <w:color w:val="auto"/>
        </w:rPr>
      </w:pPr>
    </w:p>
    <w:p>
      <w:pPr>
        <w:ind w:left="1300" w:hanging="644"/>
        <w:spacing w:after="0" w:line="281" w:lineRule="auto"/>
        <w:tabs>
          <w:tab w:leader="none" w:pos="1307" w:val="left"/>
        </w:tabs>
        <w:numPr>
          <w:ilvl w:val="0"/>
          <w:numId w:val="4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Lender shall, in consultation with the Borrower, take all reasonable steps to mitigate any circumstances which arise and which would result in any amount becoming payable under or pursuant to, or cancelled pursuant to, any of Clause 8.1 (</w:t>
      </w:r>
      <w:r>
        <w:rPr>
          <w:rFonts w:ascii="Times New Roman" w:cs="Times New Roman" w:eastAsia="Times New Roman" w:hAnsi="Times New Roman"/>
          <w:sz w:val="17"/>
          <w:szCs w:val="17"/>
          <w:i w:val="1"/>
          <w:iCs w:val="1"/>
          <w:color w:val="auto"/>
        </w:rPr>
        <w:t>Illegality and Mandatory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Prepayment</w:t>
      </w:r>
      <w:r>
        <w:rPr>
          <w:rFonts w:ascii="Times New Roman" w:cs="Times New Roman" w:eastAsia="Times New Roman" w:hAnsi="Times New Roman"/>
          <w:sz w:val="17"/>
          <w:szCs w:val="17"/>
          <w:color w:val="auto"/>
        </w:rPr>
        <w:t>), Clause 9 (</w:t>
      </w:r>
      <w:r>
        <w:rPr>
          <w:rFonts w:ascii="Times New Roman" w:cs="Times New Roman" w:eastAsia="Times New Roman" w:hAnsi="Times New Roman"/>
          <w:sz w:val="17"/>
          <w:szCs w:val="17"/>
          <w:i w:val="1"/>
          <w:iCs w:val="1"/>
          <w:color w:val="auto"/>
        </w:rPr>
        <w:t>Tax gross-up and indemnities</w:t>
      </w:r>
      <w:r>
        <w:rPr>
          <w:rFonts w:ascii="Times New Roman" w:cs="Times New Roman" w:eastAsia="Times New Roman" w:hAnsi="Times New Roman"/>
          <w:sz w:val="17"/>
          <w:szCs w:val="17"/>
          <w:color w:val="auto"/>
        </w:rPr>
        <w:t>) or Clause 10 (</w:t>
      </w:r>
      <w:r>
        <w:rPr>
          <w:rFonts w:ascii="Times New Roman" w:cs="Times New Roman" w:eastAsia="Times New Roman" w:hAnsi="Times New Roman"/>
          <w:sz w:val="17"/>
          <w:szCs w:val="17"/>
          <w:i w:val="1"/>
          <w:iCs w:val="1"/>
          <w:color w:val="auto"/>
        </w:rPr>
        <w:t>Increased costs</w:t>
      </w:r>
      <w:r>
        <w:rPr>
          <w:rFonts w:ascii="Times New Roman" w:cs="Times New Roman" w:eastAsia="Times New Roman" w:hAnsi="Times New Roman"/>
          <w:sz w:val="17"/>
          <w:szCs w:val="17"/>
          <w:color w:val="auto"/>
        </w:rPr>
        <w:t>), including transferring its rights and obligations under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Finance Documents to another Affiliate or Facility Office in relation to any circumstances which arise following the Execution Date.</w:t>
      </w:r>
    </w:p>
    <w:p>
      <w:pPr>
        <w:spacing w:after="0" w:line="164" w:lineRule="exact"/>
        <w:rPr>
          <w:rFonts w:ascii="Times New Roman" w:cs="Times New Roman" w:eastAsia="Times New Roman" w:hAnsi="Times New Roman"/>
          <w:sz w:val="17"/>
          <w:szCs w:val="17"/>
          <w:b w:val="1"/>
          <w:bCs w:val="1"/>
          <w:color w:val="auto"/>
        </w:rPr>
      </w:pPr>
    </w:p>
    <w:p>
      <w:pPr>
        <w:ind w:left="1320" w:hanging="664"/>
        <w:spacing w:after="0"/>
        <w:tabs>
          <w:tab w:leader="none" w:pos="1320" w:val="left"/>
        </w:tabs>
        <w:numPr>
          <w:ilvl w:val="0"/>
          <w:numId w:val="4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Sub-clause (a) above does not in any way limit the obligations of any Obligor under the Finance Documents.</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11.2</w:t>
      </w:r>
      <w:r>
        <w:rPr>
          <w:sz w:val="20"/>
          <w:szCs w:val="20"/>
          <w:color w:val="auto"/>
        </w:rPr>
        <w:tab/>
      </w:r>
      <w:r>
        <w:rPr>
          <w:rFonts w:ascii="Times New Roman" w:cs="Times New Roman" w:eastAsia="Times New Roman" w:hAnsi="Times New Roman"/>
          <w:sz w:val="17"/>
          <w:szCs w:val="17"/>
          <w:b w:val="1"/>
          <w:bCs w:val="1"/>
          <w:color w:val="auto"/>
        </w:rPr>
        <w:t>Limitation of liability</w:t>
      </w:r>
    </w:p>
    <w:p>
      <w:pPr>
        <w:spacing w:after="0" w:line="229" w:lineRule="exact"/>
        <w:rPr>
          <w:sz w:val="20"/>
          <w:szCs w:val="20"/>
          <w:color w:val="auto"/>
        </w:rPr>
      </w:pPr>
    </w:p>
    <w:p>
      <w:pPr>
        <w:ind w:left="1300" w:right="160" w:hanging="644"/>
        <w:spacing w:after="0" w:line="282" w:lineRule="auto"/>
        <w:tabs>
          <w:tab w:leader="none" w:pos="1307" w:val="left"/>
        </w:tabs>
        <w:numPr>
          <w:ilvl w:val="0"/>
          <w:numId w:val="4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Borrower shall promptly indemnify the Lender for all costs and expenses incurred by the Lender as a result of steps taken by it under Clause 11.1 (</w:t>
      </w:r>
      <w:r>
        <w:rPr>
          <w:rFonts w:ascii="Times New Roman" w:cs="Times New Roman" w:eastAsia="Times New Roman" w:hAnsi="Times New Roman"/>
          <w:sz w:val="18"/>
          <w:szCs w:val="18"/>
          <w:i w:val="1"/>
          <w:iCs w:val="1"/>
          <w:color w:val="auto"/>
        </w:rPr>
        <w:t>Mitigation</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b w:val="1"/>
          <w:bCs w:val="1"/>
          <w:color w:val="auto"/>
        </w:rPr>
      </w:pPr>
    </w:p>
    <w:p>
      <w:pPr>
        <w:ind w:left="1300" w:right="100" w:hanging="644"/>
        <w:spacing w:after="0" w:line="284" w:lineRule="auto"/>
        <w:tabs>
          <w:tab w:leader="none" w:pos="1317" w:val="left"/>
        </w:tabs>
        <w:numPr>
          <w:ilvl w:val="0"/>
          <w:numId w:val="4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Lender is not obliged to take any steps under Clause 11.1 (</w:t>
      </w:r>
      <w:r>
        <w:rPr>
          <w:rFonts w:ascii="Times New Roman" w:cs="Times New Roman" w:eastAsia="Times New Roman" w:hAnsi="Times New Roman"/>
          <w:sz w:val="18"/>
          <w:szCs w:val="18"/>
          <w:i w:val="1"/>
          <w:iCs w:val="1"/>
          <w:color w:val="auto"/>
        </w:rPr>
        <w:t>Mitigation</w:t>
      </w:r>
      <w:r>
        <w:rPr>
          <w:rFonts w:ascii="Times New Roman" w:cs="Times New Roman" w:eastAsia="Times New Roman" w:hAnsi="Times New Roman"/>
          <w:sz w:val="18"/>
          <w:szCs w:val="18"/>
          <w:color w:val="auto"/>
        </w:rPr>
        <w:t>) if, in the opinion of the Lender, to do so might be prejudicial to it.</w:t>
      </w:r>
    </w:p>
    <w:p>
      <w:pPr>
        <w:spacing w:after="0" w:line="1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11.3</w:t>
      </w:r>
      <w:r>
        <w:rPr>
          <w:sz w:val="20"/>
          <w:szCs w:val="20"/>
          <w:color w:val="auto"/>
        </w:rPr>
        <w:tab/>
      </w:r>
      <w:r>
        <w:rPr>
          <w:rFonts w:ascii="Times New Roman" w:cs="Times New Roman" w:eastAsia="Times New Roman" w:hAnsi="Times New Roman"/>
          <w:sz w:val="17"/>
          <w:szCs w:val="17"/>
          <w:b w:val="1"/>
          <w:bCs w:val="1"/>
          <w:color w:val="auto"/>
        </w:rPr>
        <w:t>Conduct of business by the Lender</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 provision of this Agreement will:</w:t>
      </w:r>
    </w:p>
    <w:p>
      <w:pPr>
        <w:spacing w:after="0" w:line="225" w:lineRule="exact"/>
        <w:rPr>
          <w:sz w:val="20"/>
          <w:szCs w:val="20"/>
          <w:color w:val="auto"/>
        </w:rPr>
      </w:pPr>
    </w:p>
    <w:p>
      <w:pPr>
        <w:ind w:left="1320" w:hanging="664"/>
        <w:spacing w:after="0"/>
        <w:tabs>
          <w:tab w:leader="none" w:pos="1320" w:val="left"/>
        </w:tabs>
        <w:numPr>
          <w:ilvl w:val="0"/>
          <w:numId w:val="4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interfere with the right of the Lender to arrange its affairs (tax or otherwise) in whatever manner it thinks fit;</w:t>
      </w:r>
    </w:p>
    <w:p>
      <w:pPr>
        <w:spacing w:after="0" w:line="225" w:lineRule="exact"/>
        <w:rPr>
          <w:rFonts w:ascii="Times New Roman" w:cs="Times New Roman" w:eastAsia="Times New Roman" w:hAnsi="Times New Roman"/>
          <w:sz w:val="18"/>
          <w:szCs w:val="18"/>
          <w:b w:val="1"/>
          <w:bCs w:val="1"/>
          <w:color w:val="auto"/>
        </w:rPr>
      </w:pPr>
    </w:p>
    <w:p>
      <w:pPr>
        <w:ind w:left="1300" w:right="300" w:hanging="644"/>
        <w:spacing w:after="0" w:line="282" w:lineRule="auto"/>
        <w:tabs>
          <w:tab w:leader="none" w:pos="1317" w:val="left"/>
        </w:tabs>
        <w:numPr>
          <w:ilvl w:val="0"/>
          <w:numId w:val="4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oblige the Lender to investigate or claim any credit, relief, remission or repayment available to it or the extent, order and manner of any claim; or</w:t>
      </w:r>
    </w:p>
    <w:p>
      <w:pPr>
        <w:spacing w:after="0" w:line="161" w:lineRule="exact"/>
        <w:rPr>
          <w:rFonts w:ascii="Times New Roman" w:cs="Times New Roman" w:eastAsia="Times New Roman" w:hAnsi="Times New Roman"/>
          <w:sz w:val="18"/>
          <w:szCs w:val="18"/>
          <w:b w:val="1"/>
          <w:bCs w:val="1"/>
          <w:color w:val="auto"/>
        </w:rPr>
      </w:pPr>
    </w:p>
    <w:p>
      <w:pPr>
        <w:ind w:left="1300" w:right="180" w:hanging="644"/>
        <w:spacing w:after="0" w:line="282" w:lineRule="auto"/>
        <w:tabs>
          <w:tab w:leader="none" w:pos="1310" w:val="left"/>
        </w:tabs>
        <w:numPr>
          <w:ilvl w:val="0"/>
          <w:numId w:val="4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oblige the Lender to disclose any information relating to its affairs (tax, foreign exchange or otherwise) or any computations in respect of Tax.</w:t>
      </w:r>
    </w:p>
    <w:p>
      <w:pPr>
        <w:spacing w:after="0" w:line="158" w:lineRule="exact"/>
        <w:rPr>
          <w:sz w:val="20"/>
          <w:szCs w:val="20"/>
          <w:color w:val="auto"/>
        </w:rPr>
      </w:pPr>
    </w:p>
    <w:p>
      <w:pPr>
        <w:ind w:right="8800" w:firstLine="8"/>
        <w:spacing w:after="0" w:line="501" w:lineRule="auto"/>
        <w:tabs>
          <w:tab w:leader="none" w:pos="644" w:val="left"/>
        </w:tabs>
        <w:numPr>
          <w:ilvl w:val="0"/>
          <w:numId w:val="4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INDEMNITIES 12.1 Currency indemnity</w:t>
      </w:r>
    </w:p>
    <w:p>
      <w:pPr>
        <w:ind w:left="1300" w:right="200" w:hanging="644"/>
        <w:spacing w:after="0" w:line="268" w:lineRule="auto"/>
        <w:tabs>
          <w:tab w:leader="none" w:pos="1307" w:val="left"/>
        </w:tabs>
        <w:numPr>
          <w:ilvl w:val="1"/>
          <w:numId w:val="4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sum due from an Obligor under the Finance Documents (a “</w:t>
      </w:r>
      <w:r>
        <w:rPr>
          <w:rFonts w:ascii="Times New Roman" w:cs="Times New Roman" w:eastAsia="Times New Roman" w:hAnsi="Times New Roman"/>
          <w:sz w:val="18"/>
          <w:szCs w:val="18"/>
          <w:b w:val="1"/>
          <w:bCs w:val="1"/>
          <w:color w:val="auto"/>
        </w:rPr>
        <w:t>Sum</w:t>
      </w:r>
      <w:r>
        <w:rPr>
          <w:rFonts w:ascii="Times New Roman" w:cs="Times New Roman" w:eastAsia="Times New Roman" w:hAnsi="Times New Roman"/>
          <w:sz w:val="18"/>
          <w:szCs w:val="18"/>
          <w:color w:val="auto"/>
        </w:rPr>
        <w:t>”), or any order, judgment or award given or made in relation to a Sum, has to be converted from the currency (the “</w:t>
      </w:r>
      <w:r>
        <w:rPr>
          <w:rFonts w:ascii="Times New Roman" w:cs="Times New Roman" w:eastAsia="Times New Roman" w:hAnsi="Times New Roman"/>
          <w:sz w:val="18"/>
          <w:szCs w:val="18"/>
          <w:b w:val="1"/>
          <w:bCs w:val="1"/>
          <w:color w:val="auto"/>
        </w:rPr>
        <w:t>First Currency</w:t>
      </w:r>
      <w:r>
        <w:rPr>
          <w:rFonts w:ascii="Times New Roman" w:cs="Times New Roman" w:eastAsia="Times New Roman" w:hAnsi="Times New Roman"/>
          <w:sz w:val="18"/>
          <w:szCs w:val="18"/>
          <w:color w:val="auto"/>
        </w:rPr>
        <w:t>”) in which that Sum is payable into another currency (the “</w:t>
      </w: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Currency</w:t>
      </w:r>
      <w:r>
        <w:rPr>
          <w:rFonts w:ascii="Times New Roman" w:cs="Times New Roman" w:eastAsia="Times New Roman" w:hAnsi="Times New Roman"/>
          <w:sz w:val="18"/>
          <w:szCs w:val="18"/>
          <w:color w:val="auto"/>
        </w:rPr>
        <w:t>”) for the purpose of:</w:t>
      </w:r>
    </w:p>
    <w:p>
      <w:pPr>
        <w:spacing w:after="0" w:line="174" w:lineRule="exact"/>
        <w:rPr>
          <w:rFonts w:ascii="Times New Roman" w:cs="Times New Roman" w:eastAsia="Times New Roman" w:hAnsi="Times New Roman"/>
          <w:sz w:val="18"/>
          <w:szCs w:val="18"/>
          <w:b w:val="1"/>
          <w:bCs w:val="1"/>
          <w:color w:val="auto"/>
        </w:rPr>
      </w:pPr>
    </w:p>
    <w:p>
      <w:pPr>
        <w:ind w:left="1980" w:hanging="675"/>
        <w:spacing w:after="0"/>
        <w:tabs>
          <w:tab w:leader="none" w:pos="1980" w:val="left"/>
        </w:tabs>
        <w:numPr>
          <w:ilvl w:val="2"/>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or filing a claim or proof against that Obligor; or</w:t>
      </w:r>
    </w:p>
    <w:p>
      <w:pPr>
        <w:spacing w:after="0" w:line="225"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2"/>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or enforcing an order, judgment or award in relation to any litigation or arbitration proceedings,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00"/>
        <w:spacing w:after="0" w:line="261" w:lineRule="auto"/>
        <w:rPr>
          <w:sz w:val="20"/>
          <w:szCs w:val="20"/>
          <w:color w:val="auto"/>
        </w:rPr>
      </w:pPr>
      <w:r>
        <w:rPr>
          <w:rFonts w:ascii="Times New Roman" w:cs="Times New Roman" w:eastAsia="Times New Roman" w:hAnsi="Times New Roman"/>
          <w:sz w:val="18"/>
          <w:szCs w:val="18"/>
          <w:color w:val="auto"/>
        </w:rPr>
        <w:t>the Obligor shall, as an independent obligation, within three (3) Business Days of demand, indemnify the Lender to whom that Sum is due against any cost, loss or liability arising out of or as a result of the conversion including any discrepancy between (i) the rate of exchange used to convert that Sum from the First Currency into the Second Currency and (ii) the rate or rates of exchange available to that person at the time of its receipt of that Sum.</w:t>
      </w:r>
    </w:p>
    <w:p>
      <w:pPr>
        <w:spacing w:after="0" w:line="180" w:lineRule="exact"/>
        <w:rPr>
          <w:sz w:val="20"/>
          <w:szCs w:val="20"/>
          <w:color w:val="auto"/>
        </w:rPr>
      </w:pPr>
    </w:p>
    <w:p>
      <w:pPr>
        <w:ind w:left="1300" w:right="180" w:hanging="644"/>
        <w:spacing w:after="0" w:line="282" w:lineRule="auto"/>
        <w:tabs>
          <w:tab w:leader="none" w:pos="1317" w:val="left"/>
        </w:tabs>
        <w:numPr>
          <w:ilvl w:val="0"/>
          <w:numId w:val="4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Obligor waives any right it may have in any jurisdiction to pay any amount under the Finance Documents in a currency or currency unit other than that in which it is expressed to be payable.</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12.2</w:t>
      </w:r>
      <w:r>
        <w:rPr>
          <w:sz w:val="20"/>
          <w:szCs w:val="20"/>
          <w:color w:val="auto"/>
        </w:rPr>
        <w:tab/>
      </w:r>
      <w:r>
        <w:rPr>
          <w:rFonts w:ascii="Times New Roman" w:cs="Times New Roman" w:eastAsia="Times New Roman" w:hAnsi="Times New Roman"/>
          <w:sz w:val="18"/>
          <w:szCs w:val="18"/>
          <w:b w:val="1"/>
          <w:bCs w:val="1"/>
          <w:color w:val="auto"/>
        </w:rPr>
        <w:t>Other indemnities</w:t>
      </w:r>
    </w:p>
    <w:p>
      <w:pPr>
        <w:spacing w:after="0" w:line="229" w:lineRule="exact"/>
        <w:rPr>
          <w:sz w:val="20"/>
          <w:szCs w:val="20"/>
          <w:color w:val="auto"/>
        </w:rPr>
      </w:pPr>
    </w:p>
    <w:p>
      <w:pPr>
        <w:ind w:left="640" w:right="200"/>
        <w:spacing w:after="0" w:line="282" w:lineRule="auto"/>
        <w:rPr>
          <w:sz w:val="20"/>
          <w:szCs w:val="20"/>
          <w:color w:val="auto"/>
        </w:rPr>
      </w:pPr>
      <w:r>
        <w:rPr>
          <w:rFonts w:ascii="Times New Roman" w:cs="Times New Roman" w:eastAsia="Times New Roman" w:hAnsi="Times New Roman"/>
          <w:sz w:val="18"/>
          <w:szCs w:val="18"/>
          <w:color w:val="auto"/>
        </w:rPr>
        <w:t>The Borrower shall, within three (3) Business Days of demand, indemnify the Lender against any cost, loss or liability incurred by the Lender as a result of:</w:t>
      </w:r>
    </w:p>
    <w:p>
      <w:pPr>
        <w:spacing w:after="0" w:line="162" w:lineRule="exact"/>
        <w:rPr>
          <w:sz w:val="20"/>
          <w:szCs w:val="20"/>
          <w:color w:val="auto"/>
        </w:rPr>
      </w:pPr>
    </w:p>
    <w:p>
      <w:pPr>
        <w:ind w:left="1320" w:hanging="664"/>
        <w:spacing w:after="0"/>
        <w:tabs>
          <w:tab w:leader="none" w:pos="1320" w:val="left"/>
        </w:tabs>
        <w:numPr>
          <w:ilvl w:val="0"/>
          <w:numId w:val="4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occurrence of any Event of Default;</w:t>
      </w:r>
    </w:p>
    <w:p>
      <w:pPr>
        <w:spacing w:after="0" w:line="225" w:lineRule="exact"/>
        <w:rPr>
          <w:rFonts w:ascii="Times New Roman" w:cs="Times New Roman" w:eastAsia="Times New Roman" w:hAnsi="Times New Roman"/>
          <w:sz w:val="18"/>
          <w:szCs w:val="18"/>
          <w:b w:val="1"/>
          <w:bCs w:val="1"/>
          <w:color w:val="auto"/>
        </w:rPr>
      </w:pPr>
    </w:p>
    <w:p>
      <w:pPr>
        <w:ind w:left="1320" w:hanging="664"/>
        <w:spacing w:after="0"/>
        <w:tabs>
          <w:tab w:leader="none" w:pos="1320" w:val="left"/>
        </w:tabs>
        <w:numPr>
          <w:ilvl w:val="0"/>
          <w:numId w:val="4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information produced or approved by the Borrower being or being alleged to be misleading and/or deceptive in any respect;</w:t>
      </w:r>
    </w:p>
    <w:p>
      <w:pPr>
        <w:spacing w:after="0" w:line="225" w:lineRule="exact"/>
        <w:rPr>
          <w:rFonts w:ascii="Times New Roman" w:cs="Times New Roman" w:eastAsia="Times New Roman" w:hAnsi="Times New Roman"/>
          <w:sz w:val="18"/>
          <w:szCs w:val="18"/>
          <w:b w:val="1"/>
          <w:bCs w:val="1"/>
          <w:color w:val="auto"/>
        </w:rPr>
      </w:pPr>
    </w:p>
    <w:p>
      <w:pPr>
        <w:ind w:left="1300" w:right="780" w:hanging="644"/>
        <w:spacing w:after="0" w:line="282" w:lineRule="auto"/>
        <w:tabs>
          <w:tab w:leader="none" w:pos="1310" w:val="left"/>
        </w:tabs>
        <w:numPr>
          <w:ilvl w:val="0"/>
          <w:numId w:val="4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enquiry, investigation, subpoena (or similar order) or litigation with respect to any Obligor or with respect to the transactions contemplated or financed under any of the Finance Documents;</w:t>
      </w:r>
    </w:p>
    <w:p>
      <w:pPr>
        <w:spacing w:after="0" w:line="161" w:lineRule="exact"/>
        <w:rPr>
          <w:rFonts w:ascii="Times New Roman" w:cs="Times New Roman" w:eastAsia="Times New Roman" w:hAnsi="Times New Roman"/>
          <w:sz w:val="18"/>
          <w:szCs w:val="18"/>
          <w:b w:val="1"/>
          <w:bCs w:val="1"/>
          <w:color w:val="auto"/>
        </w:rPr>
      </w:pPr>
    </w:p>
    <w:p>
      <w:pPr>
        <w:ind w:left="1320" w:hanging="664"/>
        <w:spacing w:after="0"/>
        <w:tabs>
          <w:tab w:leader="none" w:pos="1320" w:val="left"/>
        </w:tabs>
        <w:numPr>
          <w:ilvl w:val="0"/>
          <w:numId w:val="4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failure by an Obligor to pay any amount due under a Finance Document on its due date or in the relevant currency;</w:t>
      </w:r>
    </w:p>
    <w:p>
      <w:pPr>
        <w:spacing w:after="0" w:line="225" w:lineRule="exact"/>
        <w:rPr>
          <w:rFonts w:ascii="Times New Roman" w:cs="Times New Roman" w:eastAsia="Times New Roman" w:hAnsi="Times New Roman"/>
          <w:sz w:val="18"/>
          <w:szCs w:val="18"/>
          <w:b w:val="1"/>
          <w:bCs w:val="1"/>
          <w:color w:val="auto"/>
        </w:rPr>
      </w:pPr>
    </w:p>
    <w:p>
      <w:pPr>
        <w:ind w:left="1300" w:right="40" w:hanging="644"/>
        <w:spacing w:after="0" w:line="266" w:lineRule="auto"/>
        <w:tabs>
          <w:tab w:leader="none" w:pos="1310" w:val="left"/>
        </w:tabs>
        <w:numPr>
          <w:ilvl w:val="0"/>
          <w:numId w:val="4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funding, or making arrangements to fund, its participation in a Loan requested by the Borrower in a Utilisation Request but not made by reason of the operation of any one or more of the provisions of this Agreement (other than by reason of default or negligence by the Lender alone);</w:t>
      </w:r>
    </w:p>
    <w:p>
      <w:pPr>
        <w:spacing w:after="0" w:line="176"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4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Loan (or part of a Loan) not being prepaid in accordance with a notice of mandatory prepayment given by the Lender;</w:t>
      </w:r>
    </w:p>
    <w:p>
      <w:pPr>
        <w:spacing w:after="0" w:line="225" w:lineRule="exact"/>
        <w:rPr>
          <w:rFonts w:ascii="Times New Roman" w:cs="Times New Roman" w:eastAsia="Times New Roman" w:hAnsi="Times New Roman"/>
          <w:sz w:val="18"/>
          <w:szCs w:val="18"/>
          <w:b w:val="1"/>
          <w:bCs w:val="1"/>
          <w:color w:val="auto"/>
        </w:rPr>
      </w:pPr>
    </w:p>
    <w:p>
      <w:pPr>
        <w:ind w:left="1320" w:hanging="664"/>
        <w:spacing w:after="0"/>
        <w:tabs>
          <w:tab w:leader="none" w:pos="1320" w:val="left"/>
        </w:tabs>
        <w:numPr>
          <w:ilvl w:val="0"/>
          <w:numId w:val="4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investigating any event which it reasonably believes is a Default; or</w:t>
      </w:r>
    </w:p>
    <w:p>
      <w:pPr>
        <w:sectPr>
          <w:pgSz w:w="11900" w:h="16838" w:orient="portrait"/>
          <w:cols w:equalWidth="0" w:num="1">
            <w:col w:w="11380"/>
          </w:cols>
          <w:pgMar w:left="240" w:top="333" w:right="279" w:bottom="0" w:gutter="0" w:footer="0" w:header="0"/>
        </w:sectPr>
      </w:pPr>
    </w:p>
    <w:bookmarkStart w:id="204" w:name="page205"/>
    <w:bookmarkEnd w:id="204"/>
    <w:p>
      <w:pPr>
        <w:ind w:left="1320" w:hanging="664"/>
        <w:spacing w:after="0"/>
        <w:tabs>
          <w:tab w:leader="none" w:pos="1320" w:val="left"/>
        </w:tabs>
        <w:numPr>
          <w:ilvl w:val="1"/>
          <w:numId w:val="4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acting or relying on any notice, request or instruction which it reasonably believes to be genuine, correct and appropriately authorised.</w:t>
      </w:r>
    </w:p>
    <w:p>
      <w:pPr>
        <w:spacing w:after="0" w:line="22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4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COSTS, EXPENSES AND FEE</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13.1</w:t>
      </w:r>
      <w:r>
        <w:rPr>
          <w:sz w:val="20"/>
          <w:szCs w:val="20"/>
          <w:color w:val="auto"/>
        </w:rPr>
        <w:tab/>
      </w:r>
      <w:r>
        <w:rPr>
          <w:rFonts w:ascii="Times New Roman" w:cs="Times New Roman" w:eastAsia="Times New Roman" w:hAnsi="Times New Roman"/>
          <w:sz w:val="18"/>
          <w:szCs w:val="18"/>
          <w:b w:val="1"/>
          <w:bCs w:val="1"/>
          <w:color w:val="auto"/>
        </w:rPr>
        <w:t>Fund Raising costs</w:t>
      </w:r>
    </w:p>
    <w:p>
      <w:pPr>
        <w:spacing w:after="0" w:line="229" w:lineRule="exact"/>
        <w:rPr>
          <w:sz w:val="20"/>
          <w:szCs w:val="20"/>
          <w:color w:val="auto"/>
        </w:rPr>
      </w:pPr>
    </w:p>
    <w:p>
      <w:pPr>
        <w:ind w:left="660" w:right="120"/>
        <w:spacing w:after="0" w:line="258" w:lineRule="auto"/>
        <w:rPr>
          <w:sz w:val="20"/>
          <w:szCs w:val="20"/>
          <w:color w:val="auto"/>
        </w:rPr>
      </w:pPr>
      <w:r>
        <w:rPr>
          <w:rFonts w:ascii="Times New Roman" w:cs="Times New Roman" w:eastAsia="Times New Roman" w:hAnsi="Times New Roman"/>
          <w:sz w:val="18"/>
          <w:szCs w:val="18"/>
          <w:color w:val="auto"/>
        </w:rPr>
        <w:t>The Borrower shall, within three (3) Business Days of demand, pay to the Lender the amount of all reasonable costs and expenses (including legal fees) incurred by the Lender in connection with any Fund Raising (which, for the avoidance of doubt, shall include but not limit to fees and charges of any bank or other financial institution with which the Lender enters into “foreign loan with domestic security” arrangement for the purpose of deploying funds offshore in order to advance the Facility to the Borrower) irrespective of whether such costs and expenses are incurred prior to or after the Execution Date or the Utilisation Date.</w:t>
      </w:r>
    </w:p>
    <w:p>
      <w:pPr>
        <w:spacing w:after="0" w:line="184" w:lineRule="exact"/>
        <w:rPr>
          <w:sz w:val="20"/>
          <w:szCs w:val="20"/>
          <w:color w:val="auto"/>
        </w:rPr>
      </w:pPr>
    </w:p>
    <w:p>
      <w:pPr>
        <w:ind w:left="660" w:right="140"/>
        <w:spacing w:after="0" w:line="266" w:lineRule="auto"/>
        <w:rPr>
          <w:sz w:val="20"/>
          <w:szCs w:val="20"/>
          <w:color w:val="auto"/>
        </w:rPr>
      </w:pPr>
      <w:r>
        <w:rPr>
          <w:rFonts w:ascii="Times New Roman" w:cs="Times New Roman" w:eastAsia="Times New Roman" w:hAnsi="Times New Roman"/>
          <w:sz w:val="18"/>
          <w:szCs w:val="18"/>
          <w:color w:val="auto"/>
        </w:rPr>
        <w:t>For the avoidance of doubt, if the Lender has entered into a “foreign loan with domestic security” arrangement before the Execution Date or the Utilisation Date for the purpose of deploying funds offshore in order to advance the Facility to the Borrower, the amount of costs and expenses that the Borrower shall pay to the Lender pursuant to the first paragraph</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80"/>
        <w:spacing w:after="0" w:line="282" w:lineRule="auto"/>
        <w:rPr>
          <w:sz w:val="20"/>
          <w:szCs w:val="20"/>
          <w:color w:val="auto"/>
        </w:rPr>
      </w:pPr>
      <w:r>
        <w:rPr>
          <w:rFonts w:ascii="Times New Roman" w:cs="Times New Roman" w:eastAsia="Times New Roman" w:hAnsi="Times New Roman"/>
          <w:sz w:val="18"/>
          <w:szCs w:val="18"/>
          <w:color w:val="auto"/>
        </w:rPr>
        <w:t>of this Section 13.1 shall include, among others, all reasonable costs and expenses (including legal fees) incurred by the Lender in connection with such “foreign loan with domestic security” arrangement before the Execution Date or the Utilisation Date.</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13.2</w:t>
      </w:r>
      <w:r>
        <w:rPr>
          <w:sz w:val="20"/>
          <w:szCs w:val="20"/>
          <w:color w:val="auto"/>
        </w:rPr>
        <w:tab/>
      </w:r>
      <w:r>
        <w:rPr>
          <w:rFonts w:ascii="Times New Roman" w:cs="Times New Roman" w:eastAsia="Times New Roman" w:hAnsi="Times New Roman"/>
          <w:sz w:val="18"/>
          <w:szCs w:val="18"/>
          <w:b w:val="1"/>
          <w:bCs w:val="1"/>
          <w:color w:val="auto"/>
        </w:rPr>
        <w:t>Amendment costs</w:t>
      </w:r>
    </w:p>
    <w:p>
      <w:pPr>
        <w:spacing w:after="0" w:line="229"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If an Obligor requests an amendment, waiver or consent, the Borrower shall, within three (3) Business Days of demand, reimburse the Lender for the amount of all costs and expenses (including legal fees) incurred by the Lender in responding to, evaluating, negotiating or complying with that request or requirement.</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13.3</w:t>
      </w:r>
      <w:r>
        <w:rPr>
          <w:sz w:val="20"/>
          <w:szCs w:val="20"/>
          <w:color w:val="auto"/>
        </w:rPr>
        <w:tab/>
      </w:r>
      <w:r>
        <w:rPr>
          <w:rFonts w:ascii="Times New Roman" w:cs="Times New Roman" w:eastAsia="Times New Roman" w:hAnsi="Times New Roman"/>
          <w:sz w:val="18"/>
          <w:szCs w:val="18"/>
          <w:b w:val="1"/>
          <w:bCs w:val="1"/>
          <w:color w:val="auto"/>
        </w:rPr>
        <w:t>Legal fees and enforcement costs</w:t>
      </w:r>
    </w:p>
    <w:p>
      <w:pPr>
        <w:spacing w:after="0" w:line="229" w:lineRule="exact"/>
        <w:rPr>
          <w:sz w:val="20"/>
          <w:szCs w:val="20"/>
          <w:color w:val="auto"/>
        </w:rPr>
      </w:pPr>
    </w:p>
    <w:p>
      <w:pPr>
        <w:ind w:left="660" w:right="40"/>
        <w:spacing w:after="0" w:line="266" w:lineRule="auto"/>
        <w:rPr>
          <w:sz w:val="20"/>
          <w:szCs w:val="20"/>
          <w:color w:val="auto"/>
        </w:rPr>
      </w:pPr>
      <w:r>
        <w:rPr>
          <w:rFonts w:ascii="Times New Roman" w:cs="Times New Roman" w:eastAsia="Times New Roman" w:hAnsi="Times New Roman"/>
          <w:sz w:val="18"/>
          <w:szCs w:val="18"/>
          <w:color w:val="auto"/>
        </w:rPr>
        <w:t>The Borrower shall, within three (3) Business Days of demand, pay to the Lender the amount of all legal fees incurred by the Lender in connection with the preparation, negotiation and execution of the Finance Documents and the amount of all reasonable costs and expenses (including legal fees) incurred by the Lender in connection with the enforcement of, or the preservation of any rights under, any Finance Document.</w:t>
      </w:r>
    </w:p>
    <w:p>
      <w:pPr>
        <w:spacing w:after="0" w:line="172" w:lineRule="exact"/>
        <w:rPr>
          <w:sz w:val="20"/>
          <w:szCs w:val="20"/>
          <w:color w:val="auto"/>
        </w:rPr>
      </w:pPr>
    </w:p>
    <w:p>
      <w:pPr>
        <w:ind w:left="660" w:hanging="652"/>
        <w:spacing w:after="0"/>
        <w:tabs>
          <w:tab w:leader="none" w:pos="660" w:val="left"/>
        </w:tabs>
        <w:numPr>
          <w:ilvl w:val="0"/>
          <w:numId w:val="4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Obligors hereby, joint and severally, make the representations and warranties set out in this Clause 14 to the Lender.</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14.1</w:t>
      </w:r>
      <w:r>
        <w:rPr>
          <w:sz w:val="20"/>
          <w:szCs w:val="20"/>
          <w:color w:val="auto"/>
        </w:rPr>
        <w:tab/>
      </w:r>
      <w:r>
        <w:rPr>
          <w:rFonts w:ascii="Times New Roman" w:cs="Times New Roman" w:eastAsia="Times New Roman" w:hAnsi="Times New Roman"/>
          <w:sz w:val="17"/>
          <w:szCs w:val="17"/>
          <w:b w:val="1"/>
          <w:bCs w:val="1"/>
          <w:color w:val="auto"/>
        </w:rPr>
        <w:t>Status</w:t>
      </w:r>
    </w:p>
    <w:p>
      <w:pPr>
        <w:spacing w:after="0" w:line="229" w:lineRule="exact"/>
        <w:rPr>
          <w:sz w:val="20"/>
          <w:szCs w:val="20"/>
          <w:color w:val="auto"/>
        </w:rPr>
      </w:pPr>
    </w:p>
    <w:p>
      <w:pPr>
        <w:ind w:left="1300" w:right="160" w:hanging="644"/>
        <w:spacing w:after="0" w:line="282" w:lineRule="auto"/>
        <w:tabs>
          <w:tab w:leader="none" w:pos="1307" w:val="left"/>
        </w:tabs>
        <w:numPr>
          <w:ilvl w:val="0"/>
          <w:numId w:val="4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the Obligors is a corporation, duly incorporated and validly existing and (where applicable) in good standing under the laws of its jurisdiction of incorporation.</w:t>
      </w:r>
    </w:p>
    <w:p>
      <w:pPr>
        <w:spacing w:after="0" w:line="161" w:lineRule="exact"/>
        <w:rPr>
          <w:rFonts w:ascii="Times New Roman" w:cs="Times New Roman" w:eastAsia="Times New Roman" w:hAnsi="Times New Roman"/>
          <w:sz w:val="18"/>
          <w:szCs w:val="18"/>
          <w:b w:val="1"/>
          <w:bCs w:val="1"/>
          <w:color w:val="auto"/>
        </w:rPr>
      </w:pPr>
    </w:p>
    <w:p>
      <w:pPr>
        <w:ind w:left="1320" w:hanging="664"/>
        <w:spacing w:after="0"/>
        <w:tabs>
          <w:tab w:leader="none" w:pos="1320" w:val="left"/>
        </w:tabs>
        <w:numPr>
          <w:ilvl w:val="0"/>
          <w:numId w:val="4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the Obligors and their Subsidiaries has the capacity and power to own its assets and carry on its business as it is being conducted.</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14.2</w:t>
      </w:r>
      <w:r>
        <w:rPr>
          <w:sz w:val="20"/>
          <w:szCs w:val="20"/>
          <w:color w:val="auto"/>
        </w:rPr>
        <w:tab/>
      </w:r>
      <w:r>
        <w:rPr>
          <w:rFonts w:ascii="Times New Roman" w:cs="Times New Roman" w:eastAsia="Times New Roman" w:hAnsi="Times New Roman"/>
          <w:sz w:val="18"/>
          <w:szCs w:val="18"/>
          <w:b w:val="1"/>
          <w:bCs w:val="1"/>
          <w:color w:val="auto"/>
        </w:rPr>
        <w:t>Binding obligations</w:t>
      </w:r>
    </w:p>
    <w:p>
      <w:pPr>
        <w:spacing w:after="0" w:line="229"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The obligations expressed to be assumed by each of the Obligors in each Finance Document are, subject to any general principles of law limiting its obligations including the Legal Reservations, legal, valid, binding and enforceable obligations.</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14.3</w:t>
      </w:r>
      <w:r>
        <w:rPr>
          <w:sz w:val="20"/>
          <w:szCs w:val="20"/>
          <w:color w:val="auto"/>
        </w:rPr>
        <w:tab/>
      </w:r>
      <w:r>
        <w:rPr>
          <w:rFonts w:ascii="Times New Roman" w:cs="Times New Roman" w:eastAsia="Times New Roman" w:hAnsi="Times New Roman"/>
          <w:sz w:val="18"/>
          <w:szCs w:val="18"/>
          <w:b w:val="1"/>
          <w:bCs w:val="1"/>
          <w:color w:val="auto"/>
        </w:rPr>
        <w:t>Non-conflict with other obligations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entry into and performance by each of the Obligors of, and the transactions contemplated by, the Finance Documents do not and will not conflict with:</w:t>
      </w:r>
    </w:p>
    <w:p>
      <w:pPr>
        <w:spacing w:after="0" w:line="162" w:lineRule="exact"/>
        <w:rPr>
          <w:sz w:val="20"/>
          <w:szCs w:val="20"/>
          <w:color w:val="auto"/>
        </w:rPr>
      </w:pPr>
    </w:p>
    <w:p>
      <w:pPr>
        <w:ind w:left="1320" w:hanging="664"/>
        <w:spacing w:after="0"/>
        <w:tabs>
          <w:tab w:leader="none" w:pos="1320" w:val="left"/>
        </w:tabs>
        <w:numPr>
          <w:ilvl w:val="0"/>
          <w:numId w:val="4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law or regulation applicable to any of the Obligors;</w:t>
      </w:r>
    </w:p>
    <w:p>
      <w:pPr>
        <w:spacing w:after="0" w:line="225" w:lineRule="exact"/>
        <w:rPr>
          <w:rFonts w:ascii="Times New Roman" w:cs="Times New Roman" w:eastAsia="Times New Roman" w:hAnsi="Times New Roman"/>
          <w:sz w:val="18"/>
          <w:szCs w:val="18"/>
          <w:b w:val="1"/>
          <w:bCs w:val="1"/>
          <w:color w:val="auto"/>
        </w:rPr>
      </w:pPr>
    </w:p>
    <w:p>
      <w:pPr>
        <w:ind w:left="1320" w:hanging="664"/>
        <w:spacing w:after="0"/>
        <w:tabs>
          <w:tab w:leader="none" w:pos="1320" w:val="left"/>
        </w:tabs>
        <w:numPr>
          <w:ilvl w:val="0"/>
          <w:numId w:val="4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constitutional documents of any of the Obligors; or</w:t>
      </w:r>
    </w:p>
    <w:p>
      <w:pPr>
        <w:spacing w:after="0" w:line="225" w:lineRule="exact"/>
        <w:rPr>
          <w:rFonts w:ascii="Times New Roman" w:cs="Times New Roman" w:eastAsia="Times New Roman" w:hAnsi="Times New Roman"/>
          <w:sz w:val="18"/>
          <w:szCs w:val="18"/>
          <w:b w:val="1"/>
          <w:bCs w:val="1"/>
          <w:color w:val="auto"/>
        </w:rPr>
      </w:pPr>
    </w:p>
    <w:p>
      <w:pPr>
        <w:ind w:left="1320" w:hanging="664"/>
        <w:spacing w:after="0"/>
        <w:tabs>
          <w:tab w:leader="none" w:pos="1320" w:val="left"/>
        </w:tabs>
        <w:numPr>
          <w:ilvl w:val="0"/>
          <w:numId w:val="4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agreement or instrument binding upon any of the Obligors or any of its assets.</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14.4</w:t>
      </w:r>
      <w:r>
        <w:rPr>
          <w:sz w:val="20"/>
          <w:szCs w:val="20"/>
          <w:color w:val="auto"/>
        </w:rPr>
        <w:tab/>
      </w:r>
      <w:r>
        <w:rPr>
          <w:rFonts w:ascii="Times New Roman" w:cs="Times New Roman" w:eastAsia="Times New Roman" w:hAnsi="Times New Roman"/>
          <w:sz w:val="18"/>
          <w:szCs w:val="18"/>
          <w:b w:val="1"/>
          <w:bCs w:val="1"/>
          <w:color w:val="auto"/>
        </w:rPr>
        <w:t>Power and authority</w:t>
      </w:r>
    </w:p>
    <w:p>
      <w:pPr>
        <w:spacing w:after="0" w:line="229" w:lineRule="exact"/>
        <w:rPr>
          <w:sz w:val="20"/>
          <w:szCs w:val="20"/>
          <w:color w:val="auto"/>
        </w:rPr>
      </w:pPr>
    </w:p>
    <w:p>
      <w:pPr>
        <w:ind w:left="660" w:right="540"/>
        <w:spacing w:after="0" w:line="266" w:lineRule="auto"/>
        <w:rPr>
          <w:sz w:val="20"/>
          <w:szCs w:val="20"/>
          <w:color w:val="auto"/>
        </w:rPr>
      </w:pPr>
      <w:r>
        <w:rPr>
          <w:rFonts w:ascii="Times New Roman" w:cs="Times New Roman" w:eastAsia="Times New Roman" w:hAnsi="Times New Roman"/>
          <w:sz w:val="18"/>
          <w:szCs w:val="18"/>
          <w:color w:val="auto"/>
        </w:rPr>
        <w:t>Each of the Obligors has the capacity, corporate power and authority to enter into, perform and deliver, and has taken all necessary action to authorise its entry into, performance and delivery of, the Finance Documents to which it is a party and the transactions contemplated by those Finance Documents.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14.5</w:t>
      </w:r>
      <w:r>
        <w:rPr>
          <w:sz w:val="20"/>
          <w:szCs w:val="20"/>
          <w:color w:val="auto"/>
        </w:rPr>
        <w:tab/>
      </w:r>
      <w:r>
        <w:rPr>
          <w:rFonts w:ascii="Times New Roman" w:cs="Times New Roman" w:eastAsia="Times New Roman" w:hAnsi="Times New Roman"/>
          <w:sz w:val="17"/>
          <w:szCs w:val="17"/>
          <w:b w:val="1"/>
          <w:bCs w:val="1"/>
          <w:color w:val="auto"/>
        </w:rPr>
        <w:t>Validity and admissibility in evidence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Legal Reservations, all Authorisations required or desirable:</w:t>
      </w:r>
    </w:p>
    <w:p>
      <w:pPr>
        <w:sectPr>
          <w:pgSz w:w="11900" w:h="16838" w:orient="portrait"/>
          <w:cols w:equalWidth="0" w:num="1">
            <w:col w:w="11400"/>
          </w:cols>
          <w:pgMar w:left="240" w:top="121" w:right="259" w:bottom="0" w:gutter="0" w:footer="0" w:header="0"/>
        </w:sectPr>
      </w:pPr>
    </w:p>
    <w:bookmarkStart w:id="205" w:name="page206"/>
    <w:bookmarkEnd w:id="205"/>
    <w:p>
      <w:pPr>
        <w:ind w:left="1300" w:right="120" w:hanging="644"/>
        <w:spacing w:after="0" w:line="282" w:lineRule="auto"/>
        <w:tabs>
          <w:tab w:leader="none" w:pos="1307" w:val="left"/>
        </w:tabs>
        <w:numPr>
          <w:ilvl w:val="0"/>
          <w:numId w:val="4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enable each of the Obligors lawfully to enter into, exercise its rights and comply with its obligations in the Finance Documents to which it is a party,</w:t>
      </w:r>
    </w:p>
    <w:p>
      <w:pPr>
        <w:spacing w:after="0" w:line="161" w:lineRule="exact"/>
        <w:rPr>
          <w:rFonts w:ascii="Times New Roman" w:cs="Times New Roman" w:eastAsia="Times New Roman" w:hAnsi="Times New Roman"/>
          <w:sz w:val="18"/>
          <w:szCs w:val="18"/>
          <w:b w:val="1"/>
          <w:bCs w:val="1"/>
          <w:color w:val="auto"/>
        </w:rPr>
      </w:pPr>
    </w:p>
    <w:p>
      <w:pPr>
        <w:ind w:left="1320" w:hanging="664"/>
        <w:spacing w:after="0"/>
        <w:tabs>
          <w:tab w:leader="none" w:pos="1320" w:val="left"/>
        </w:tabs>
        <w:numPr>
          <w:ilvl w:val="0"/>
          <w:numId w:val="4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make the Finance Documents to which it is a party admissible in evidence in its jurisdiction of incorporation, and</w:t>
      </w:r>
    </w:p>
    <w:p>
      <w:pPr>
        <w:spacing w:after="0" w:line="225" w:lineRule="exact"/>
        <w:rPr>
          <w:rFonts w:ascii="Times New Roman" w:cs="Times New Roman" w:eastAsia="Times New Roman" w:hAnsi="Times New Roman"/>
          <w:sz w:val="18"/>
          <w:szCs w:val="18"/>
          <w:b w:val="1"/>
          <w:bCs w:val="1"/>
          <w:color w:val="auto"/>
        </w:rPr>
      </w:pPr>
    </w:p>
    <w:p>
      <w:pPr>
        <w:ind w:left="1320" w:hanging="664"/>
        <w:spacing w:after="0"/>
        <w:tabs>
          <w:tab w:leader="none" w:pos="1320" w:val="left"/>
        </w:tabs>
        <w:numPr>
          <w:ilvl w:val="0"/>
          <w:numId w:val="4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it to carry on its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have been obtained or effected and are in full force and effect.</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14.6</w:t>
      </w:r>
      <w:r>
        <w:rPr>
          <w:sz w:val="20"/>
          <w:szCs w:val="20"/>
          <w:color w:val="auto"/>
        </w:rPr>
        <w:tab/>
      </w:r>
      <w:r>
        <w:rPr>
          <w:rFonts w:ascii="Times New Roman" w:cs="Times New Roman" w:eastAsia="Times New Roman" w:hAnsi="Times New Roman"/>
          <w:sz w:val="18"/>
          <w:szCs w:val="18"/>
          <w:b w:val="1"/>
          <w:bCs w:val="1"/>
          <w:color w:val="auto"/>
        </w:rPr>
        <w:t>Governing law and enforcement</w:t>
      </w:r>
    </w:p>
    <w:p>
      <w:pPr>
        <w:spacing w:after="0" w:line="229" w:lineRule="exact"/>
        <w:rPr>
          <w:sz w:val="20"/>
          <w:szCs w:val="20"/>
          <w:color w:val="auto"/>
        </w:rPr>
      </w:pPr>
    </w:p>
    <w:p>
      <w:pPr>
        <w:ind w:left="1300" w:right="400" w:hanging="644"/>
        <w:spacing w:after="0" w:line="282" w:lineRule="auto"/>
        <w:tabs>
          <w:tab w:leader="none" w:pos="1307" w:val="left"/>
        </w:tabs>
        <w:numPr>
          <w:ilvl w:val="0"/>
          <w:numId w:val="4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choice of law specified as the governing law of each Finance Document will, subject to the Legal Reservations, be recognised and enforced in the jurisdiction of incorporation of each of the Obligors.</w:t>
      </w:r>
    </w:p>
    <w:p>
      <w:pPr>
        <w:spacing w:after="0" w:line="161" w:lineRule="exact"/>
        <w:rPr>
          <w:rFonts w:ascii="Times New Roman" w:cs="Times New Roman" w:eastAsia="Times New Roman" w:hAnsi="Times New Roman"/>
          <w:sz w:val="18"/>
          <w:szCs w:val="18"/>
          <w:b w:val="1"/>
          <w:bCs w:val="1"/>
          <w:color w:val="auto"/>
        </w:rPr>
      </w:pPr>
    </w:p>
    <w:p>
      <w:pPr>
        <w:ind w:left="1300" w:right="800" w:hanging="644"/>
        <w:spacing w:after="0" w:line="282" w:lineRule="auto"/>
        <w:tabs>
          <w:tab w:leader="none" w:pos="1317" w:val="left"/>
        </w:tabs>
        <w:numPr>
          <w:ilvl w:val="0"/>
          <w:numId w:val="4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monetary judgment or arbitration award obtained in Hong Kong in relation to a Finance Document will, subject to the Legal Reservations, be recognised and enforced in the jurisdiction of incorporation of each of the Obligors.</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14.7</w:t>
      </w:r>
      <w:r>
        <w:rPr>
          <w:sz w:val="20"/>
          <w:szCs w:val="20"/>
          <w:color w:val="auto"/>
        </w:rPr>
        <w:tab/>
      </w:r>
      <w:r>
        <w:rPr>
          <w:rFonts w:ascii="Times New Roman" w:cs="Times New Roman" w:eastAsia="Times New Roman" w:hAnsi="Times New Roman"/>
          <w:sz w:val="17"/>
          <w:szCs w:val="17"/>
          <w:b w:val="1"/>
          <w:bCs w:val="1"/>
          <w:color w:val="auto"/>
        </w:rPr>
        <w:t>Deduction of Tax</w:t>
      </w:r>
    </w:p>
    <w:p>
      <w:pPr>
        <w:spacing w:after="0" w:line="229"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It is not required under the law currently applicable where each of the Obligors is incorporated or at the address specified in this Agreement to make any deduction for or on account of Tax from any payment it may make under any Finance Document.</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14.8</w:t>
      </w:r>
      <w:r>
        <w:rPr>
          <w:sz w:val="20"/>
          <w:szCs w:val="20"/>
          <w:color w:val="auto"/>
        </w:rPr>
        <w:tab/>
      </w:r>
      <w:r>
        <w:rPr>
          <w:rFonts w:ascii="Times New Roman" w:cs="Times New Roman" w:eastAsia="Times New Roman" w:hAnsi="Times New Roman"/>
          <w:sz w:val="17"/>
          <w:szCs w:val="17"/>
          <w:b w:val="1"/>
          <w:bCs w:val="1"/>
          <w:color w:val="auto"/>
        </w:rPr>
        <w:t>No filing or stamp taxes or announcement</w:t>
      </w:r>
    </w:p>
    <w:p>
      <w:pPr>
        <w:spacing w:after="0" w:line="229" w:lineRule="exact"/>
        <w:rPr>
          <w:sz w:val="20"/>
          <w:szCs w:val="20"/>
          <w:color w:val="auto"/>
        </w:rPr>
      </w:pPr>
    </w:p>
    <w:p>
      <w:pPr>
        <w:ind w:left="660" w:right="380"/>
        <w:spacing w:after="0" w:line="266" w:lineRule="auto"/>
        <w:rPr>
          <w:sz w:val="20"/>
          <w:szCs w:val="20"/>
          <w:color w:val="auto"/>
        </w:rPr>
      </w:pPr>
      <w:r>
        <w:rPr>
          <w:rFonts w:ascii="Times New Roman" w:cs="Times New Roman" w:eastAsia="Times New Roman" w:hAnsi="Times New Roman"/>
          <w:sz w:val="18"/>
          <w:szCs w:val="18"/>
          <w:color w:val="auto"/>
        </w:rPr>
        <w:t>Under the law of the jurisdiction of incorporation of each of the Obligors, it is not necessary that the Finance Documents be filed, recorded or enrolled with any court or other authority in that jurisdiction or that any stamp, registration or similar tax be paid on or in relation to the Finance Documents or the transactions contemplated by the Finance Documents, or that any public announcement be made.</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14.9</w:t>
      </w:r>
      <w:r>
        <w:rPr>
          <w:sz w:val="20"/>
          <w:szCs w:val="20"/>
          <w:color w:val="auto"/>
        </w:rPr>
        <w:tab/>
      </w:r>
      <w:r>
        <w:rPr>
          <w:rFonts w:ascii="Times New Roman" w:cs="Times New Roman" w:eastAsia="Times New Roman" w:hAnsi="Times New Roman"/>
          <w:sz w:val="18"/>
          <w:szCs w:val="18"/>
          <w:b w:val="1"/>
          <w:bCs w:val="1"/>
          <w:color w:val="auto"/>
        </w:rPr>
        <w:t>No default</w:t>
      </w:r>
    </w:p>
    <w:p>
      <w:pPr>
        <w:spacing w:after="0" w:line="229" w:lineRule="exact"/>
        <w:rPr>
          <w:sz w:val="20"/>
          <w:szCs w:val="20"/>
          <w:color w:val="auto"/>
        </w:rPr>
      </w:pPr>
    </w:p>
    <w:p>
      <w:pPr>
        <w:ind w:left="1320" w:hanging="664"/>
        <w:spacing w:after="0"/>
        <w:tabs>
          <w:tab w:leader="none" w:pos="1320" w:val="left"/>
        </w:tabs>
        <w:numPr>
          <w:ilvl w:val="0"/>
          <w:numId w:val="4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NoEvent of Default is continuing or might reasonably be expected to result from the making of any Utilisation.</w:t>
      </w:r>
    </w:p>
    <w:p>
      <w:pPr>
        <w:spacing w:after="0" w:line="225" w:lineRule="exact"/>
        <w:rPr>
          <w:rFonts w:ascii="Times New Roman" w:cs="Times New Roman" w:eastAsia="Times New Roman" w:hAnsi="Times New Roman"/>
          <w:sz w:val="18"/>
          <w:szCs w:val="18"/>
          <w:b w:val="1"/>
          <w:bCs w:val="1"/>
          <w:color w:val="auto"/>
        </w:rPr>
      </w:pPr>
    </w:p>
    <w:p>
      <w:pPr>
        <w:ind w:left="1300" w:right="60" w:hanging="644"/>
        <w:spacing w:after="0" w:line="282" w:lineRule="auto"/>
        <w:tabs>
          <w:tab w:leader="none" w:pos="1317" w:val="left"/>
        </w:tabs>
        <w:numPr>
          <w:ilvl w:val="0"/>
          <w:numId w:val="4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other event or circumstance is outstanding which constitutes a default under any other agreement or instrument which is binding on any of the Obligors or to which any of the Obligors’ assets are subject which would reasonably be expected to have a Material Adverse Effect.</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14.10</w:t>
      </w:r>
      <w:r>
        <w:rPr>
          <w:sz w:val="20"/>
          <w:szCs w:val="20"/>
          <w:color w:val="auto"/>
        </w:rPr>
        <w:tab/>
      </w:r>
      <w:r>
        <w:rPr>
          <w:rFonts w:ascii="Times New Roman" w:cs="Times New Roman" w:eastAsia="Times New Roman" w:hAnsi="Times New Roman"/>
          <w:sz w:val="17"/>
          <w:szCs w:val="17"/>
          <w:b w:val="1"/>
          <w:bCs w:val="1"/>
          <w:color w:val="auto"/>
        </w:rPr>
        <w:t>No misleading information</w:t>
      </w:r>
    </w:p>
    <w:p>
      <w:pPr>
        <w:spacing w:after="0" w:line="229" w:lineRule="exact"/>
        <w:rPr>
          <w:sz w:val="20"/>
          <w:szCs w:val="20"/>
          <w:color w:val="auto"/>
        </w:rPr>
      </w:pPr>
    </w:p>
    <w:p>
      <w:pPr>
        <w:ind w:left="660" w:right="320"/>
        <w:spacing w:after="0" w:line="282" w:lineRule="auto"/>
        <w:rPr>
          <w:sz w:val="20"/>
          <w:szCs w:val="20"/>
          <w:color w:val="auto"/>
        </w:rPr>
      </w:pPr>
      <w:r>
        <w:rPr>
          <w:rFonts w:ascii="Times New Roman" w:cs="Times New Roman" w:eastAsia="Times New Roman" w:hAnsi="Times New Roman"/>
          <w:sz w:val="18"/>
          <w:szCs w:val="18"/>
          <w:color w:val="auto"/>
        </w:rPr>
        <w:t>All written information supplied by any of the Obligors or on its behalf is true, complete and accurate in all material respects as at the date it was given and is not misleading in any material respect.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14.11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1300" w:right="500" w:hanging="644"/>
        <w:spacing w:after="0" w:line="282" w:lineRule="auto"/>
        <w:tabs>
          <w:tab w:leader="none" w:pos="1307" w:val="left"/>
        </w:tabs>
        <w:numPr>
          <w:ilvl w:val="0"/>
          <w:numId w:val="4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Original Financial Statements give a true and fair view of the financial condition and operations of the Group during the relevant financial period save to the extent expressly disclosed in such Original Financial Statements.</w:t>
      </w:r>
    </w:p>
    <w:p>
      <w:pPr>
        <w:spacing w:after="0" w:line="161" w:lineRule="exact"/>
        <w:rPr>
          <w:rFonts w:ascii="Times New Roman" w:cs="Times New Roman" w:eastAsia="Times New Roman" w:hAnsi="Times New Roman"/>
          <w:sz w:val="18"/>
          <w:szCs w:val="18"/>
          <w:b w:val="1"/>
          <w:bCs w:val="1"/>
          <w:color w:val="auto"/>
        </w:rPr>
      </w:pPr>
    </w:p>
    <w:p>
      <w:pPr>
        <w:ind w:left="1320" w:hanging="664"/>
        <w:spacing w:after="0"/>
        <w:tabs>
          <w:tab w:leader="none" w:pos="1320" w:val="left"/>
        </w:tabs>
        <w:numPr>
          <w:ilvl w:val="0"/>
          <w:numId w:val="4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has been no Material Adverse Effect since the date of the Original Financial Statements.</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14.12</w:t>
      </w:r>
      <w:r>
        <w:rPr>
          <w:sz w:val="20"/>
          <w:szCs w:val="20"/>
          <w:color w:val="auto"/>
        </w:rPr>
        <w:tab/>
      </w:r>
      <w:r>
        <w:rPr>
          <w:rFonts w:ascii="Times New Roman" w:cs="Times New Roman" w:eastAsia="Times New Roman" w:hAnsi="Times New Roman"/>
          <w:sz w:val="17"/>
          <w:szCs w:val="17"/>
          <w:b w:val="1"/>
          <w:bCs w:val="1"/>
          <w:color w:val="auto"/>
        </w:rPr>
        <w:t>Pari passu ranking</w:t>
      </w:r>
    </w:p>
    <w:p>
      <w:pPr>
        <w:spacing w:after="0" w:line="229" w:lineRule="exact"/>
        <w:rPr>
          <w:sz w:val="20"/>
          <w:szCs w:val="20"/>
          <w:color w:val="auto"/>
        </w:rPr>
      </w:pPr>
    </w:p>
    <w:p>
      <w:pPr>
        <w:ind w:left="660" w:right="340"/>
        <w:spacing w:after="0" w:line="282" w:lineRule="auto"/>
        <w:rPr>
          <w:sz w:val="20"/>
          <w:szCs w:val="20"/>
          <w:color w:val="auto"/>
        </w:rPr>
      </w:pPr>
      <w:r>
        <w:rPr>
          <w:rFonts w:ascii="Times New Roman" w:cs="Times New Roman" w:eastAsia="Times New Roman" w:hAnsi="Times New Roman"/>
          <w:sz w:val="18"/>
          <w:szCs w:val="18"/>
          <w:color w:val="auto"/>
        </w:rPr>
        <w:t>Each of the Obligors’ payment obligations under the Finance Documents rank at least pari passu with the claims of all of its other unsecured and unsubordinated creditors, except for obligations mandatorily preferred by law applying to companies generally.</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14.13</w:t>
      </w:r>
      <w:r>
        <w:rPr>
          <w:sz w:val="20"/>
          <w:szCs w:val="20"/>
          <w:color w:val="auto"/>
        </w:rPr>
        <w:tab/>
      </w:r>
      <w:r>
        <w:rPr>
          <w:rFonts w:ascii="Times New Roman" w:cs="Times New Roman" w:eastAsia="Times New Roman" w:hAnsi="Times New Roman"/>
          <w:sz w:val="17"/>
          <w:szCs w:val="17"/>
          <w:b w:val="1"/>
          <w:bCs w:val="1"/>
          <w:color w:val="auto"/>
        </w:rPr>
        <w:t>No proceedings pending or threatened</w:t>
      </w:r>
    </w:p>
    <w:p>
      <w:pPr>
        <w:spacing w:after="0" w:line="229" w:lineRule="exact"/>
        <w:rPr>
          <w:sz w:val="20"/>
          <w:szCs w:val="20"/>
          <w:color w:val="auto"/>
        </w:rPr>
      </w:pPr>
    </w:p>
    <w:p>
      <w:pPr>
        <w:ind w:left="660" w:right="40"/>
        <w:spacing w:after="0" w:line="266" w:lineRule="auto"/>
        <w:rPr>
          <w:sz w:val="20"/>
          <w:szCs w:val="20"/>
          <w:color w:val="auto"/>
        </w:rPr>
      </w:pPr>
      <w:r>
        <w:rPr>
          <w:rFonts w:ascii="Times New Roman" w:cs="Times New Roman" w:eastAsia="Times New Roman" w:hAnsi="Times New Roman"/>
          <w:sz w:val="18"/>
          <w:szCs w:val="18"/>
          <w:color w:val="auto"/>
        </w:rPr>
        <w:t>No litigation, arbitration or administrative proceedings of or before any court, arbitral body or agency which, if adversely determined, might reasonably be expected to have a Material Adverse Effect, (to the best of the Obligors’ knowledge and belief) have been started or threatened against any of the Obligors or any of their Subsidiaries.</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14.14</w:t>
      </w:r>
      <w:r>
        <w:rPr>
          <w:sz w:val="20"/>
          <w:szCs w:val="20"/>
          <w:color w:val="auto"/>
        </w:rPr>
        <w:tab/>
      </w:r>
      <w:r>
        <w:rPr>
          <w:rFonts w:ascii="Times New Roman" w:cs="Times New Roman" w:eastAsia="Times New Roman" w:hAnsi="Times New Roman"/>
          <w:sz w:val="17"/>
          <w:szCs w:val="17"/>
          <w:b w:val="1"/>
          <w:bCs w:val="1"/>
          <w:color w:val="auto"/>
        </w:rPr>
        <w:t>Authorised Signatures</w:t>
      </w:r>
    </w:p>
    <w:p>
      <w:pPr>
        <w:spacing w:after="0" w:line="227" w:lineRule="exact"/>
        <w:rPr>
          <w:sz w:val="20"/>
          <w:szCs w:val="20"/>
          <w:color w:val="auto"/>
        </w:rPr>
      </w:pPr>
    </w:p>
    <w:p>
      <w:pPr>
        <w:ind w:left="660"/>
        <w:spacing w:after="0" w:line="267" w:lineRule="auto"/>
        <w:rPr>
          <w:sz w:val="20"/>
          <w:szCs w:val="20"/>
          <w:color w:val="auto"/>
        </w:rPr>
      </w:pPr>
      <w:r>
        <w:rPr>
          <w:rFonts w:ascii="Times New Roman" w:cs="Times New Roman" w:eastAsia="Times New Roman" w:hAnsi="Times New Roman"/>
          <w:sz w:val="18"/>
          <w:szCs w:val="18"/>
          <w:color w:val="auto"/>
        </w:rPr>
        <w:t>Any person specified as the authorised signatory of an Obligor under Schedule 1 (</w:t>
      </w:r>
      <w:r>
        <w:rPr>
          <w:rFonts w:ascii="Times New Roman" w:cs="Times New Roman" w:eastAsia="Times New Roman" w:hAnsi="Times New Roman"/>
          <w:sz w:val="18"/>
          <w:szCs w:val="18"/>
          <w:i w:val="1"/>
          <w:iCs w:val="1"/>
          <w:color w:val="auto"/>
        </w:rPr>
        <w:t>Conditions precedent</w:t>
      </w:r>
      <w:r>
        <w:rPr>
          <w:rFonts w:ascii="Times New Roman" w:cs="Times New Roman" w:eastAsia="Times New Roman" w:hAnsi="Times New Roman"/>
          <w:sz w:val="18"/>
          <w:szCs w:val="18"/>
          <w:color w:val="auto"/>
        </w:rPr>
        <w:t>), as such schedule may be updated, or Clause 15.1 (</w:t>
      </w:r>
      <w:r>
        <w:rPr>
          <w:rFonts w:ascii="Times New Roman" w:cs="Times New Roman" w:eastAsia="Times New Roman" w:hAnsi="Times New Roman"/>
          <w:sz w:val="18"/>
          <w:szCs w:val="18"/>
          <w:i w:val="1"/>
          <w:iCs w:val="1"/>
          <w:color w:val="auto"/>
        </w:rPr>
        <w:t>Information: miscellaneous</w:t>
      </w:r>
      <w:r>
        <w:rPr>
          <w:rFonts w:ascii="Times New Roman" w:cs="Times New Roman" w:eastAsia="Times New Roman" w:hAnsi="Times New Roman"/>
          <w:sz w:val="18"/>
          <w:szCs w:val="18"/>
          <w:color w:val="auto"/>
        </w:rPr>
        <w:t>) is authorised to sign Utilisation Requests (in the case of the Borrower only) and other notices on such Obligor’s behalf.</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14.15</w:t>
        <w:tab/>
        <w:t>No immunity</w:t>
      </w:r>
    </w:p>
    <w:p>
      <w:pPr>
        <w:spacing w:after="0" w:line="229" w:lineRule="exact"/>
        <w:rPr>
          <w:sz w:val="20"/>
          <w:szCs w:val="20"/>
          <w:color w:val="auto"/>
        </w:rPr>
      </w:pPr>
    </w:p>
    <w:p>
      <w:pPr>
        <w:ind w:left="660" w:right="360"/>
        <w:spacing w:after="0" w:line="261" w:lineRule="auto"/>
        <w:rPr>
          <w:sz w:val="20"/>
          <w:szCs w:val="20"/>
          <w:color w:val="auto"/>
        </w:rPr>
      </w:pPr>
      <w:r>
        <w:rPr>
          <w:rFonts w:ascii="Times New Roman" w:cs="Times New Roman" w:eastAsia="Times New Roman" w:hAnsi="Times New Roman"/>
          <w:sz w:val="18"/>
          <w:szCs w:val="18"/>
          <w:color w:val="auto"/>
        </w:rPr>
        <w:t>Each of the Obligors is generally subject to civil and commercial law and to set-off, suit, judgment and execution with respect to their respective obligations under this Agreement and neither the Obligors nor any of their assets has or is entitled to any immunity or privilege, whether characterised as sovereign immunity or otherwise from any set-off, suit, legal action, proceeding, judgment, execution, attachment or other legal process.</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14.16</w:t>
      </w:r>
      <w:r>
        <w:rPr>
          <w:sz w:val="20"/>
          <w:szCs w:val="20"/>
          <w:color w:val="auto"/>
        </w:rPr>
        <w:tab/>
      </w:r>
      <w:r>
        <w:rPr>
          <w:rFonts w:ascii="Times New Roman" w:cs="Times New Roman" w:eastAsia="Times New Roman" w:hAnsi="Times New Roman"/>
          <w:sz w:val="17"/>
          <w:szCs w:val="17"/>
          <w:b w:val="1"/>
          <w:bCs w:val="1"/>
          <w:color w:val="auto"/>
        </w:rPr>
        <w:t>No omissions</w:t>
      </w:r>
    </w:p>
    <w:p>
      <w:pPr>
        <w:sectPr>
          <w:pgSz w:w="11900" w:h="16838" w:orient="portrait"/>
          <w:cols w:equalWidth="0" w:num="1">
            <w:col w:w="11420"/>
          </w:cols>
          <w:pgMar w:left="240" w:top="121" w:right="239" w:bottom="0" w:gutter="0" w:footer="0" w:header="0"/>
        </w:sectPr>
      </w:pPr>
    </w:p>
    <w:bookmarkStart w:id="206" w:name="page207"/>
    <w:bookmarkEnd w:id="206"/>
    <w:p>
      <w:pPr>
        <w:ind w:left="660" w:right="440"/>
        <w:spacing w:after="0" w:line="284" w:lineRule="auto"/>
        <w:rPr>
          <w:sz w:val="20"/>
          <w:szCs w:val="20"/>
          <w:color w:val="auto"/>
        </w:rPr>
      </w:pPr>
      <w:r>
        <w:rPr>
          <w:rFonts w:ascii="Times New Roman" w:cs="Times New Roman" w:eastAsia="Times New Roman" w:hAnsi="Times New Roman"/>
          <w:sz w:val="18"/>
          <w:szCs w:val="18"/>
          <w:color w:val="auto"/>
        </w:rPr>
        <w:t>None of the representations and warranties set out in Clauses 14.1 (</w:t>
      </w:r>
      <w:r>
        <w:rPr>
          <w:rFonts w:ascii="Times New Roman" w:cs="Times New Roman" w:eastAsia="Times New Roman" w:hAnsi="Times New Roman"/>
          <w:sz w:val="18"/>
          <w:szCs w:val="18"/>
          <w:i w:val="1"/>
          <w:iCs w:val="1"/>
          <w:color w:val="auto"/>
        </w:rPr>
        <w:t>Status</w:t>
      </w:r>
      <w:r>
        <w:rPr>
          <w:rFonts w:ascii="Times New Roman" w:cs="Times New Roman" w:eastAsia="Times New Roman" w:hAnsi="Times New Roman"/>
          <w:sz w:val="18"/>
          <w:szCs w:val="18"/>
          <w:color w:val="auto"/>
        </w:rPr>
        <w:t>) to 14.15 (</w:t>
      </w:r>
      <w:r>
        <w:rPr>
          <w:rFonts w:ascii="Times New Roman" w:cs="Times New Roman" w:eastAsia="Times New Roman" w:hAnsi="Times New Roman"/>
          <w:sz w:val="18"/>
          <w:szCs w:val="18"/>
          <w:i w:val="1"/>
          <w:iCs w:val="1"/>
          <w:color w:val="auto"/>
        </w:rPr>
        <w:t>No immunity</w:t>
      </w:r>
      <w:r>
        <w:rPr>
          <w:rFonts w:ascii="Times New Roman" w:cs="Times New Roman" w:eastAsia="Times New Roman" w:hAnsi="Times New Roman"/>
          <w:sz w:val="18"/>
          <w:szCs w:val="18"/>
          <w:color w:val="auto"/>
        </w:rPr>
        <w:t>) (both clauses included) omits any matter the omission of which makes any of such representation and warranty misleading.</w:t>
      </w:r>
    </w:p>
    <w:p>
      <w:pPr>
        <w:spacing w:after="0" w:line="1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14.17</w:t>
        <w:tab/>
        <w:t>Repetition</w:t>
      </w:r>
    </w:p>
    <w:p>
      <w:pPr>
        <w:spacing w:after="0" w:line="227" w:lineRule="exact"/>
        <w:rPr>
          <w:sz w:val="20"/>
          <w:szCs w:val="20"/>
          <w:color w:val="auto"/>
        </w:rPr>
      </w:pPr>
    </w:p>
    <w:p>
      <w:pPr>
        <w:ind w:left="660" w:right="460"/>
        <w:spacing w:after="0" w:line="284" w:lineRule="auto"/>
        <w:rPr>
          <w:sz w:val="20"/>
          <w:szCs w:val="20"/>
          <w:color w:val="auto"/>
        </w:rPr>
      </w:pPr>
      <w:r>
        <w:rPr>
          <w:rFonts w:ascii="Times New Roman" w:cs="Times New Roman" w:eastAsia="Times New Roman" w:hAnsi="Times New Roman"/>
          <w:sz w:val="18"/>
          <w:szCs w:val="18"/>
          <w:color w:val="auto"/>
        </w:rPr>
        <w:t>The representations set out in Clauses 14.1 (</w:t>
      </w:r>
      <w:r>
        <w:rPr>
          <w:rFonts w:ascii="Times New Roman" w:cs="Times New Roman" w:eastAsia="Times New Roman" w:hAnsi="Times New Roman"/>
          <w:sz w:val="18"/>
          <w:szCs w:val="18"/>
          <w:i w:val="1"/>
          <w:iCs w:val="1"/>
          <w:color w:val="auto"/>
        </w:rPr>
        <w:t>Status</w:t>
      </w:r>
      <w:r>
        <w:rPr>
          <w:rFonts w:ascii="Times New Roman" w:cs="Times New Roman" w:eastAsia="Times New Roman" w:hAnsi="Times New Roman"/>
          <w:sz w:val="18"/>
          <w:szCs w:val="18"/>
          <w:color w:val="auto"/>
        </w:rPr>
        <w:t>) to 14.16 (</w:t>
      </w:r>
      <w:r>
        <w:rPr>
          <w:rFonts w:ascii="Times New Roman" w:cs="Times New Roman" w:eastAsia="Times New Roman" w:hAnsi="Times New Roman"/>
          <w:sz w:val="18"/>
          <w:szCs w:val="18"/>
          <w:i w:val="1"/>
          <w:iCs w:val="1"/>
          <w:color w:val="auto"/>
        </w:rPr>
        <w:t>No omissions</w:t>
      </w:r>
      <w:r>
        <w:rPr>
          <w:rFonts w:ascii="Times New Roman" w:cs="Times New Roman" w:eastAsia="Times New Roman" w:hAnsi="Times New Roman"/>
          <w:sz w:val="18"/>
          <w:szCs w:val="18"/>
          <w:color w:val="auto"/>
        </w:rPr>
        <w:t>) (both clauses included) are deemed to be made by each Obligor by reference to the facts and circumstances then existing on the first day of each month during the Loan Period.</w:t>
      </w:r>
    </w:p>
    <w:p>
      <w:pPr>
        <w:spacing w:after="0" w:line="156" w:lineRule="exact"/>
        <w:rPr>
          <w:sz w:val="20"/>
          <w:szCs w:val="20"/>
          <w:color w:val="auto"/>
        </w:rPr>
      </w:pPr>
    </w:p>
    <w:p>
      <w:pPr>
        <w:ind w:left="660" w:hanging="652"/>
        <w:spacing w:after="0"/>
        <w:tabs>
          <w:tab w:leader="none" w:pos="660" w:val="left"/>
        </w:tabs>
        <w:numPr>
          <w:ilvl w:val="0"/>
          <w:numId w:val="4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INFORMATION UNDERTAKINGS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undertakings in this Clause 15 shall remain in force during the Loan Period.</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15.1</w:t>
      </w:r>
      <w:r>
        <w:rPr>
          <w:sz w:val="20"/>
          <w:szCs w:val="20"/>
          <w:color w:val="auto"/>
        </w:rPr>
        <w:tab/>
      </w:r>
      <w:r>
        <w:rPr>
          <w:rFonts w:ascii="Times New Roman" w:cs="Times New Roman" w:eastAsia="Times New Roman" w:hAnsi="Times New Roman"/>
          <w:sz w:val="18"/>
          <w:szCs w:val="18"/>
          <w:b w:val="1"/>
          <w:bCs w:val="1"/>
          <w:color w:val="auto"/>
        </w:rPr>
        <w:t>Information: miscellaneous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Obligor shall deliver to the Lender: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 w:hanging="644"/>
        <w:spacing w:after="0" w:line="266" w:lineRule="auto"/>
        <w:tabs>
          <w:tab w:leader="none" w:pos="1307" w:val="left"/>
        </w:tabs>
        <w:numPr>
          <w:ilvl w:val="0"/>
          <w:numId w:val="4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promptly upon becoming aware of them, the details of any litigation, arbitration or administrative proceedings which are current, threatened or pending against any member of the Group or any Obligor which if adversely determined would reasonably be expected to have a Material Adverse Effect;</w:t>
      </w:r>
    </w:p>
    <w:p>
      <w:pPr>
        <w:spacing w:after="0" w:line="176" w:lineRule="exact"/>
        <w:rPr>
          <w:rFonts w:ascii="Times New Roman" w:cs="Times New Roman" w:eastAsia="Times New Roman" w:hAnsi="Times New Roman"/>
          <w:sz w:val="18"/>
          <w:szCs w:val="18"/>
          <w:b w:val="1"/>
          <w:bCs w:val="1"/>
          <w:color w:val="auto"/>
        </w:rPr>
      </w:pPr>
    </w:p>
    <w:p>
      <w:pPr>
        <w:ind w:left="1300" w:hanging="644"/>
        <w:spacing w:after="0" w:line="282" w:lineRule="auto"/>
        <w:tabs>
          <w:tab w:leader="none" w:pos="1317" w:val="left"/>
        </w:tabs>
        <w:numPr>
          <w:ilvl w:val="0"/>
          <w:numId w:val="4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promptly, such further information regarding the financial condition, business and operations of any member of the Group or any Obligor as the Lender may reasonably request; and</w:t>
      </w:r>
    </w:p>
    <w:p>
      <w:pPr>
        <w:spacing w:after="0" w:line="161" w:lineRule="exact"/>
        <w:rPr>
          <w:rFonts w:ascii="Times New Roman" w:cs="Times New Roman" w:eastAsia="Times New Roman" w:hAnsi="Times New Roman"/>
          <w:sz w:val="18"/>
          <w:szCs w:val="18"/>
          <w:b w:val="1"/>
          <w:bCs w:val="1"/>
          <w:color w:val="auto"/>
        </w:rPr>
      </w:pPr>
    </w:p>
    <w:p>
      <w:pPr>
        <w:ind w:left="1300" w:right="720" w:hanging="644"/>
        <w:spacing w:after="0" w:line="282" w:lineRule="auto"/>
        <w:tabs>
          <w:tab w:leader="none" w:pos="1310" w:val="left"/>
        </w:tabs>
        <w:numPr>
          <w:ilvl w:val="0"/>
          <w:numId w:val="4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promptly, notice of any change in authorised signatories of any Obligor signed by a director or company secretary of such Obligor accompanied by specimen signatures of any new authorised signatories.</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15.2</w:t>
      </w:r>
      <w:r>
        <w:rPr>
          <w:sz w:val="20"/>
          <w:szCs w:val="20"/>
          <w:color w:val="auto"/>
        </w:rPr>
        <w:tab/>
      </w:r>
      <w:r>
        <w:rPr>
          <w:rFonts w:ascii="Times New Roman" w:cs="Times New Roman" w:eastAsia="Times New Roman" w:hAnsi="Times New Roman"/>
          <w:sz w:val="18"/>
          <w:szCs w:val="18"/>
          <w:b w:val="1"/>
          <w:bCs w:val="1"/>
          <w:color w:val="auto"/>
        </w:rPr>
        <w:t>Notification of default</w:t>
      </w:r>
    </w:p>
    <w:p>
      <w:pPr>
        <w:spacing w:after="0" w:line="229" w:lineRule="exact"/>
        <w:rPr>
          <w:sz w:val="20"/>
          <w:szCs w:val="20"/>
          <w:color w:val="auto"/>
        </w:rPr>
      </w:pPr>
    </w:p>
    <w:p>
      <w:pPr>
        <w:ind w:left="1300" w:right="200" w:hanging="644"/>
        <w:spacing w:after="0" w:line="282" w:lineRule="auto"/>
        <w:tabs>
          <w:tab w:leader="none" w:pos="1307" w:val="left"/>
        </w:tabs>
        <w:numPr>
          <w:ilvl w:val="1"/>
          <w:numId w:val="4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Obligor shall notify the Lender of any Default (and the steps, if any, being taken to remedy it) promptly upon becoming aware of its occurrence.</w:t>
      </w:r>
    </w:p>
    <w:p>
      <w:pPr>
        <w:spacing w:after="0" w:line="161" w:lineRule="exact"/>
        <w:rPr>
          <w:rFonts w:ascii="Times New Roman" w:cs="Times New Roman" w:eastAsia="Times New Roman" w:hAnsi="Times New Roman"/>
          <w:sz w:val="18"/>
          <w:szCs w:val="18"/>
          <w:b w:val="1"/>
          <w:bCs w:val="1"/>
          <w:color w:val="auto"/>
        </w:rPr>
      </w:pPr>
    </w:p>
    <w:p>
      <w:pPr>
        <w:ind w:left="1300" w:right="20" w:hanging="644"/>
        <w:spacing w:after="0" w:line="266" w:lineRule="auto"/>
        <w:tabs>
          <w:tab w:leader="none" w:pos="1317" w:val="left"/>
        </w:tabs>
        <w:numPr>
          <w:ilvl w:val="1"/>
          <w:numId w:val="4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Promptly upon a request by the Lender if it believes (acting in good faith) that a Default may have occurred and is continuing, the Borrower shall deliver to the Lender a certificate signed by a director or authorised officer certifying that no Default is continuing (or if a Default is continuing, specifying the Default and the steps, if any, being taken to remedy it).</w:t>
      </w:r>
    </w:p>
    <w:p>
      <w:pPr>
        <w:spacing w:after="0" w:line="172"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4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UNDERTAKINGS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undertakings in this Clause 16 shall remain in force during the Loan Period.</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16.1</w:t>
      </w:r>
      <w:r>
        <w:rPr>
          <w:sz w:val="20"/>
          <w:szCs w:val="20"/>
          <w:color w:val="auto"/>
        </w:rPr>
        <w:tab/>
      </w:r>
      <w:r>
        <w:rPr>
          <w:rFonts w:ascii="Times New Roman" w:cs="Times New Roman" w:eastAsia="Times New Roman" w:hAnsi="Times New Roman"/>
          <w:sz w:val="17"/>
          <w:szCs w:val="17"/>
          <w:b w:val="1"/>
          <w:bCs w:val="1"/>
          <w:color w:val="auto"/>
        </w:rPr>
        <w:t>Authorisations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Obligor shall promptly:</w:t>
      </w:r>
    </w:p>
    <w:p>
      <w:pPr>
        <w:spacing w:after="0" w:line="225" w:lineRule="exact"/>
        <w:rPr>
          <w:sz w:val="20"/>
          <w:szCs w:val="20"/>
          <w:color w:val="auto"/>
        </w:rPr>
      </w:pPr>
    </w:p>
    <w:p>
      <w:pPr>
        <w:ind w:left="1320" w:hanging="664"/>
        <w:spacing w:after="0"/>
        <w:tabs>
          <w:tab w:leader="none" w:pos="1320" w:val="left"/>
        </w:tabs>
        <w:numPr>
          <w:ilvl w:val="0"/>
          <w:numId w:val="4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obtain, comply with and do all that is necessary to maintain in full force and effect; and</w:t>
      </w:r>
    </w:p>
    <w:p>
      <w:pPr>
        <w:spacing w:after="0" w:line="225" w:lineRule="exact"/>
        <w:rPr>
          <w:rFonts w:ascii="Times New Roman" w:cs="Times New Roman" w:eastAsia="Times New Roman" w:hAnsi="Times New Roman"/>
          <w:sz w:val="18"/>
          <w:szCs w:val="18"/>
          <w:b w:val="1"/>
          <w:bCs w:val="1"/>
          <w:color w:val="auto"/>
        </w:rPr>
      </w:pPr>
    </w:p>
    <w:p>
      <w:pPr>
        <w:ind w:left="1320" w:hanging="664"/>
        <w:spacing w:after="0"/>
        <w:tabs>
          <w:tab w:leader="none" w:pos="1320" w:val="left"/>
        </w:tabs>
        <w:numPr>
          <w:ilvl w:val="0"/>
          <w:numId w:val="4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supply certified copies to the Lender of,</w:t>
      </w:r>
    </w:p>
    <w:p>
      <w:pPr>
        <w:spacing w:after="0" w:line="225" w:lineRule="exact"/>
        <w:rPr>
          <w:sz w:val="20"/>
          <w:szCs w:val="20"/>
          <w:color w:val="auto"/>
        </w:rPr>
      </w:pPr>
    </w:p>
    <w:p>
      <w:pPr>
        <w:ind w:left="640" w:right="160"/>
        <w:spacing w:after="0" w:line="282" w:lineRule="auto"/>
        <w:rPr>
          <w:sz w:val="20"/>
          <w:szCs w:val="20"/>
          <w:color w:val="auto"/>
        </w:rPr>
      </w:pPr>
      <w:r>
        <w:rPr>
          <w:rFonts w:ascii="Times New Roman" w:cs="Times New Roman" w:eastAsia="Times New Roman" w:hAnsi="Times New Roman"/>
          <w:sz w:val="18"/>
          <w:szCs w:val="18"/>
          <w:color w:val="auto"/>
        </w:rPr>
        <w:t>any Authorisation required to enable it to perform its obligations under the Finance Documents and to ensure the legality, validity, enforceability or admissibility in evidence in its jurisdiction of incorporation of any Finance Document.</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16.2</w:t>
      </w:r>
      <w:r>
        <w:rPr>
          <w:sz w:val="20"/>
          <w:szCs w:val="20"/>
          <w:color w:val="auto"/>
        </w:rPr>
        <w:tab/>
      </w:r>
      <w:r>
        <w:rPr>
          <w:rFonts w:ascii="Times New Roman" w:cs="Times New Roman" w:eastAsia="Times New Roman" w:hAnsi="Times New Roman"/>
          <w:sz w:val="18"/>
          <w:szCs w:val="18"/>
          <w:b w:val="1"/>
          <w:bCs w:val="1"/>
          <w:color w:val="auto"/>
        </w:rPr>
        <w:t>Compliance with laws</w:t>
      </w:r>
    </w:p>
    <w:p>
      <w:pPr>
        <w:spacing w:after="0" w:line="229"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Each Obligor shall comply in all respects with all laws, regulations and listing rules to which it may be subject, if failure so to comply would materially impair its ability to perform its obligations under the Finance Documents. Each Obligor shall ensure that the Loan and the use of the Loan is legal under all applicable laws.</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16.3</w:t>
      </w:r>
      <w:r>
        <w:rPr>
          <w:sz w:val="20"/>
          <w:szCs w:val="20"/>
          <w:color w:val="auto"/>
        </w:rPr>
        <w:tab/>
      </w:r>
      <w:r>
        <w:rPr>
          <w:rFonts w:ascii="Times New Roman" w:cs="Times New Roman" w:eastAsia="Times New Roman" w:hAnsi="Times New Roman"/>
          <w:sz w:val="17"/>
          <w:szCs w:val="17"/>
          <w:b w:val="1"/>
          <w:bCs w:val="1"/>
          <w:color w:val="auto"/>
        </w:rPr>
        <w:t>Pari passu ranking</w:t>
      </w:r>
    </w:p>
    <w:p>
      <w:pPr>
        <w:spacing w:after="0" w:line="229" w:lineRule="exact"/>
        <w:rPr>
          <w:sz w:val="20"/>
          <w:szCs w:val="20"/>
          <w:color w:val="auto"/>
        </w:rPr>
      </w:pPr>
    </w:p>
    <w:p>
      <w:pPr>
        <w:ind w:left="660" w:right="20"/>
        <w:spacing w:after="0" w:line="266" w:lineRule="auto"/>
        <w:rPr>
          <w:sz w:val="20"/>
          <w:szCs w:val="20"/>
          <w:color w:val="auto"/>
        </w:rPr>
      </w:pPr>
      <w:r>
        <w:rPr>
          <w:rFonts w:ascii="Times New Roman" w:cs="Times New Roman" w:eastAsia="Times New Roman" w:hAnsi="Times New Roman"/>
          <w:sz w:val="18"/>
          <w:szCs w:val="18"/>
          <w:color w:val="auto"/>
        </w:rPr>
        <w:t>Each Obligor shall ensure that the payment obligations of the Obligors under the Finance Documents rank and continue to rank at least pari passu with the claims of all of its other unsecured and unsubordinated creditors, except for obligations mandatorily preferred by law applying to companies generally.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16.4</w:t>
      </w:r>
      <w:r>
        <w:rPr>
          <w:sz w:val="20"/>
          <w:szCs w:val="20"/>
          <w:color w:val="auto"/>
        </w:rPr>
        <w:tab/>
      </w:r>
      <w:r>
        <w:rPr>
          <w:rFonts w:ascii="Times New Roman" w:cs="Times New Roman" w:eastAsia="Times New Roman" w:hAnsi="Times New Roman"/>
          <w:sz w:val="17"/>
          <w:szCs w:val="17"/>
          <w:b w:val="1"/>
          <w:bCs w:val="1"/>
          <w:color w:val="auto"/>
        </w:rPr>
        <w:t>Disposals</w:t>
      </w:r>
    </w:p>
    <w:p>
      <w:pPr>
        <w:spacing w:after="0" w:line="229"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Each Obligor shall not, and shall procure each member of the Group not to, enter into a single transaction or a series of transactions (whether related or not) and whether voluntary or involuntary to dispose of any of their respective assets ofvalue exceeding US$2,500,000 (each as determined by the</w:t>
      </w:r>
    </w:p>
    <w:p>
      <w:pPr>
        <w:sectPr>
          <w:pgSz w:w="11900" w:h="16838" w:orient="portrait"/>
          <w:cols w:equalWidth="0" w:num="1">
            <w:col w:w="11420"/>
          </w:cols>
          <w:pgMar w:left="240" w:top="335" w:right="239" w:bottom="0" w:gutter="0" w:footer="0" w:header="0"/>
        </w:sectPr>
      </w:pPr>
    </w:p>
    <w:bookmarkStart w:id="207" w:name="page208"/>
    <w:bookmarkEnd w:id="207"/>
    <w:p>
      <w:pPr>
        <w:ind w:left="660" w:right="200"/>
        <w:spacing w:after="0" w:line="282" w:lineRule="auto"/>
        <w:rPr>
          <w:sz w:val="20"/>
          <w:szCs w:val="20"/>
          <w:color w:val="auto"/>
        </w:rPr>
      </w:pPr>
      <w:r>
        <w:rPr>
          <w:rFonts w:ascii="Times New Roman" w:cs="Times New Roman" w:eastAsia="Times New Roman" w:hAnsi="Times New Roman"/>
          <w:sz w:val="18"/>
          <w:szCs w:val="18"/>
          <w:color w:val="auto"/>
        </w:rPr>
        <w:t>Lender as at the date of the disposal) without prior written consent from the Lender (which may be withheld or given with or without conditions in the Lender’s sole discretion).</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16.5</w:t>
      </w:r>
      <w:r>
        <w:rPr>
          <w:sz w:val="20"/>
          <w:szCs w:val="20"/>
          <w:color w:val="auto"/>
        </w:rPr>
        <w:tab/>
      </w:r>
      <w:r>
        <w:rPr>
          <w:rFonts w:ascii="Times New Roman" w:cs="Times New Roman" w:eastAsia="Times New Roman" w:hAnsi="Times New Roman"/>
          <w:sz w:val="18"/>
          <w:szCs w:val="18"/>
          <w:b w:val="1"/>
          <w:bCs w:val="1"/>
          <w:color w:val="auto"/>
        </w:rPr>
        <w:t>Merger</w:t>
      </w:r>
    </w:p>
    <w:p>
      <w:pPr>
        <w:spacing w:after="0" w:line="229" w:lineRule="exact"/>
        <w:rPr>
          <w:sz w:val="20"/>
          <w:szCs w:val="20"/>
          <w:color w:val="auto"/>
        </w:rPr>
      </w:pPr>
    </w:p>
    <w:p>
      <w:pPr>
        <w:ind w:left="660" w:right="960"/>
        <w:spacing w:after="0" w:line="282" w:lineRule="auto"/>
        <w:rPr>
          <w:sz w:val="20"/>
          <w:szCs w:val="20"/>
          <w:color w:val="auto"/>
        </w:rPr>
      </w:pPr>
      <w:r>
        <w:rPr>
          <w:rFonts w:ascii="Times New Roman" w:cs="Times New Roman" w:eastAsia="Times New Roman" w:hAnsi="Times New Roman"/>
          <w:sz w:val="18"/>
          <w:szCs w:val="18"/>
          <w:color w:val="auto"/>
        </w:rPr>
        <w:t>Each Obligor shall not, and shall procure each member of the Group not to, enter into any amalgamation, demerger, merger or corporate reconstruction without the prior written consent of the Lender.</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16.6</w:t>
      </w:r>
      <w:r>
        <w:rPr>
          <w:sz w:val="20"/>
          <w:szCs w:val="20"/>
          <w:color w:val="auto"/>
        </w:rPr>
        <w:tab/>
      </w:r>
      <w:r>
        <w:rPr>
          <w:rFonts w:ascii="Times New Roman" w:cs="Times New Roman" w:eastAsia="Times New Roman" w:hAnsi="Times New Roman"/>
          <w:sz w:val="18"/>
          <w:szCs w:val="18"/>
          <w:b w:val="1"/>
          <w:bCs w:val="1"/>
          <w:color w:val="auto"/>
        </w:rPr>
        <w:t>Redemption of shares</w:t>
      </w:r>
    </w:p>
    <w:p>
      <w:pPr>
        <w:spacing w:after="0" w:line="229"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Each Obligor shall not, and shall procure each member of the Group not to, purchase or redeem any of its issued share capital or make a distribution of assets or other capital distribution to its shareholders without the prior written consent of the Lender.</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16.7</w:t>
      </w:r>
      <w:r>
        <w:rPr>
          <w:sz w:val="20"/>
          <w:szCs w:val="20"/>
          <w:color w:val="auto"/>
        </w:rPr>
        <w:tab/>
      </w:r>
      <w:r>
        <w:rPr>
          <w:rFonts w:ascii="Times New Roman" w:cs="Times New Roman" w:eastAsia="Times New Roman" w:hAnsi="Times New Roman"/>
          <w:sz w:val="18"/>
          <w:szCs w:val="18"/>
          <w:b w:val="1"/>
          <w:bCs w:val="1"/>
          <w:color w:val="auto"/>
        </w:rPr>
        <w:t>Dividend distribution</w:t>
      </w:r>
    </w:p>
    <w:p>
      <w:pPr>
        <w:spacing w:after="0" w:line="229"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Each Obligor shall not, and shall procure each member of the Group not to, declare or pay any dividend or make any other income distribution to its shareholders without the prior written consent of the Lender.</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16.8</w:t>
      </w:r>
      <w:r>
        <w:rPr>
          <w:sz w:val="20"/>
          <w:szCs w:val="20"/>
          <w:color w:val="auto"/>
        </w:rPr>
        <w:tab/>
      </w:r>
      <w:r>
        <w:rPr>
          <w:rFonts w:ascii="Times New Roman" w:cs="Times New Roman" w:eastAsia="Times New Roman" w:hAnsi="Times New Roman"/>
          <w:sz w:val="18"/>
          <w:szCs w:val="18"/>
          <w:b w:val="1"/>
          <w:bCs w:val="1"/>
          <w:color w:val="auto"/>
        </w:rPr>
        <w:t>Change of business</w:t>
      </w:r>
    </w:p>
    <w:p>
      <w:pPr>
        <w:spacing w:after="0" w:line="229" w:lineRule="exact"/>
        <w:rPr>
          <w:sz w:val="20"/>
          <w:szCs w:val="20"/>
          <w:color w:val="auto"/>
        </w:rPr>
      </w:pPr>
    </w:p>
    <w:p>
      <w:pPr>
        <w:ind w:left="660" w:right="400"/>
        <w:spacing w:after="0" w:line="282" w:lineRule="auto"/>
        <w:rPr>
          <w:sz w:val="20"/>
          <w:szCs w:val="20"/>
          <w:color w:val="auto"/>
        </w:rPr>
      </w:pPr>
      <w:r>
        <w:rPr>
          <w:rFonts w:ascii="Times New Roman" w:cs="Times New Roman" w:eastAsia="Times New Roman" w:hAnsi="Times New Roman"/>
          <w:sz w:val="18"/>
          <w:szCs w:val="18"/>
          <w:color w:val="auto"/>
        </w:rPr>
        <w:t>Each Obligor shall not, and shall procure each member of the Group not to, make any substantial change to the general nature of theirrespective business from that carried on at the Execution Date without the prior written consent of the Lender.</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16.9</w:t>
      </w:r>
      <w:r>
        <w:rPr>
          <w:sz w:val="20"/>
          <w:szCs w:val="20"/>
          <w:color w:val="auto"/>
        </w:rPr>
        <w:tab/>
      </w:r>
      <w:r>
        <w:rPr>
          <w:rFonts w:ascii="Times New Roman" w:cs="Times New Roman" w:eastAsia="Times New Roman" w:hAnsi="Times New Roman"/>
          <w:sz w:val="18"/>
          <w:szCs w:val="18"/>
          <w:b w:val="1"/>
          <w:bCs w:val="1"/>
          <w:color w:val="auto"/>
        </w:rPr>
        <w:t>Acquisitions</w:t>
      </w:r>
    </w:p>
    <w:p>
      <w:pPr>
        <w:spacing w:after="0" w:line="229" w:lineRule="exact"/>
        <w:rPr>
          <w:sz w:val="20"/>
          <w:szCs w:val="20"/>
          <w:color w:val="auto"/>
        </w:rPr>
      </w:pPr>
    </w:p>
    <w:p>
      <w:pPr>
        <w:ind w:left="660" w:right="520"/>
        <w:spacing w:after="0" w:line="282" w:lineRule="auto"/>
        <w:rPr>
          <w:sz w:val="20"/>
          <w:szCs w:val="20"/>
          <w:color w:val="auto"/>
        </w:rPr>
      </w:pPr>
      <w:r>
        <w:rPr>
          <w:rFonts w:ascii="Times New Roman" w:cs="Times New Roman" w:eastAsia="Times New Roman" w:hAnsi="Times New Roman"/>
          <w:sz w:val="18"/>
          <w:szCs w:val="18"/>
          <w:color w:val="auto"/>
        </w:rPr>
        <w:t>Each Obligor shall not, and shall procure each member of the Group not to, acquire any company, business, assets or undertaking or make any investment without the prior written consent of the Lender.</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16.10</w:t>
      </w:r>
      <w:r>
        <w:rPr>
          <w:sz w:val="20"/>
          <w:szCs w:val="20"/>
          <w:color w:val="auto"/>
        </w:rPr>
        <w:tab/>
      </w:r>
      <w:r>
        <w:rPr>
          <w:rFonts w:ascii="Times New Roman" w:cs="Times New Roman" w:eastAsia="Times New Roman" w:hAnsi="Times New Roman"/>
          <w:sz w:val="17"/>
          <w:szCs w:val="17"/>
          <w:b w:val="1"/>
          <w:bCs w:val="1"/>
          <w:color w:val="auto"/>
        </w:rPr>
        <w:t>Loans and Guarantees</w:t>
      </w:r>
    </w:p>
    <w:p>
      <w:pPr>
        <w:spacing w:after="0" w:line="229"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Without the prior written consent of the Lender, each Obligor shall not, and shall procure each member of the Group not to, make any loans, grant any credit (save in the ordinary course of business) or give any guarantee or indemnity (except as required under any of the Finance Documents) to or for the benefit of any person or otherwise voluntarily assume any liability, whether actual or contingent, in respect of any obligation of any person, save and except where such making of loans and giving of guarantees or indemnities are in the ordinary course of business of the relevant member of the Group.</w:t>
      </w:r>
    </w:p>
    <w:p>
      <w:pPr>
        <w:spacing w:after="0" w:line="18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16.11</w:t>
      </w:r>
      <w:r>
        <w:rPr>
          <w:sz w:val="20"/>
          <w:szCs w:val="20"/>
          <w:color w:val="auto"/>
        </w:rPr>
        <w:tab/>
      </w:r>
      <w:r>
        <w:rPr>
          <w:rFonts w:ascii="Times New Roman" w:cs="Times New Roman" w:eastAsia="Times New Roman" w:hAnsi="Times New Roman"/>
          <w:sz w:val="17"/>
          <w:szCs w:val="17"/>
          <w:b w:val="1"/>
          <w:bCs w:val="1"/>
          <w:color w:val="auto"/>
        </w:rPr>
        <w:t>Use of Proceeds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shall not use any proceeds of the Loan for any purpose other than that set forth in Clause 3.1 (</w:t>
      </w:r>
      <w:r>
        <w:rPr>
          <w:rFonts w:ascii="Times New Roman" w:cs="Times New Roman" w:eastAsia="Times New Roman" w:hAnsi="Times New Roman"/>
          <w:sz w:val="18"/>
          <w:szCs w:val="18"/>
          <w:i w:val="1"/>
          <w:iCs w:val="1"/>
          <w:color w:val="auto"/>
        </w:rPr>
        <w:t>Purpose</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16.12</w:t>
      </w:r>
      <w:r>
        <w:rPr>
          <w:sz w:val="20"/>
          <w:szCs w:val="20"/>
          <w:color w:val="auto"/>
        </w:rPr>
        <w:tab/>
      </w:r>
      <w:r>
        <w:rPr>
          <w:rFonts w:ascii="Times New Roman" w:cs="Times New Roman" w:eastAsia="Times New Roman" w:hAnsi="Times New Roman"/>
          <w:sz w:val="17"/>
          <w:szCs w:val="17"/>
          <w:b w:val="1"/>
          <w:bCs w:val="1"/>
          <w:color w:val="auto"/>
        </w:rPr>
        <w:t>Fundamental changes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Without the prior written consent of the Lender, each Obligor shall not, and shall procure each member of the Group not to, change: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4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its constitutional documents in any manner which would be inconsistent with the provisions of any Finance Document; or</w:t>
      </w:r>
    </w:p>
    <w:p>
      <w:pPr>
        <w:spacing w:after="0" w:line="225" w:lineRule="exact"/>
        <w:rPr>
          <w:rFonts w:ascii="Times New Roman" w:cs="Times New Roman" w:eastAsia="Times New Roman" w:hAnsi="Times New Roman"/>
          <w:sz w:val="18"/>
          <w:szCs w:val="18"/>
          <w:b w:val="1"/>
          <w:bCs w:val="1"/>
          <w:color w:val="auto"/>
        </w:rPr>
      </w:pPr>
    </w:p>
    <w:p>
      <w:pPr>
        <w:ind w:left="1320" w:hanging="664"/>
        <w:spacing w:after="0"/>
        <w:tabs>
          <w:tab w:leader="none" w:pos="1320" w:val="left"/>
        </w:tabs>
        <w:numPr>
          <w:ilvl w:val="0"/>
          <w:numId w:val="4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its financial year.</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16.13</w:t>
      </w:r>
      <w:r>
        <w:rPr>
          <w:sz w:val="20"/>
          <w:szCs w:val="20"/>
          <w:color w:val="auto"/>
        </w:rPr>
        <w:tab/>
      </w:r>
      <w:r>
        <w:rPr>
          <w:rFonts w:ascii="Times New Roman" w:cs="Times New Roman" w:eastAsia="Times New Roman" w:hAnsi="Times New Roman"/>
          <w:sz w:val="17"/>
          <w:szCs w:val="17"/>
          <w:b w:val="1"/>
          <w:bCs w:val="1"/>
          <w:color w:val="auto"/>
        </w:rPr>
        <w:t>Amendments, waivers, etc. of material agreements</w:t>
      </w:r>
    </w:p>
    <w:p>
      <w:pPr>
        <w:spacing w:after="0" w:line="229" w:lineRule="exact"/>
        <w:rPr>
          <w:sz w:val="20"/>
          <w:szCs w:val="20"/>
          <w:color w:val="auto"/>
        </w:rPr>
      </w:pPr>
    </w:p>
    <w:p>
      <w:pPr>
        <w:ind w:left="660" w:right="260"/>
        <w:spacing w:after="0" w:line="282" w:lineRule="auto"/>
        <w:rPr>
          <w:sz w:val="20"/>
          <w:szCs w:val="20"/>
          <w:color w:val="auto"/>
        </w:rPr>
      </w:pPr>
      <w:r>
        <w:rPr>
          <w:rFonts w:ascii="Times New Roman" w:cs="Times New Roman" w:eastAsia="Times New Roman" w:hAnsi="Times New Roman"/>
          <w:sz w:val="18"/>
          <w:szCs w:val="18"/>
          <w:color w:val="auto"/>
        </w:rPr>
        <w:t>Each Obligor shall not, and shall procure each member of the Group not to, terminate, amend or grant any waiver with respect to any provision of any material agreement or other instrument evidencing or relating to Financial Indebtedness without the prior written consent of the Lender.</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16.14</w:t>
      </w:r>
      <w:r>
        <w:rPr>
          <w:sz w:val="20"/>
          <w:szCs w:val="20"/>
          <w:color w:val="auto"/>
        </w:rPr>
        <w:tab/>
      </w:r>
      <w:r>
        <w:rPr>
          <w:rFonts w:ascii="Times New Roman" w:cs="Times New Roman" w:eastAsia="Times New Roman" w:hAnsi="Times New Roman"/>
          <w:sz w:val="17"/>
          <w:szCs w:val="17"/>
          <w:b w:val="1"/>
          <w:bCs w:val="1"/>
          <w:color w:val="auto"/>
        </w:rPr>
        <w:t>Borrowing or raising of credit</w:t>
      </w:r>
    </w:p>
    <w:p>
      <w:pPr>
        <w:spacing w:after="0" w:line="229" w:lineRule="exact"/>
        <w:rPr>
          <w:sz w:val="20"/>
          <w:szCs w:val="20"/>
          <w:color w:val="auto"/>
        </w:rPr>
      </w:pPr>
    </w:p>
    <w:p>
      <w:pPr>
        <w:ind w:left="660" w:right="40"/>
        <w:spacing w:after="0" w:line="258" w:lineRule="auto"/>
        <w:rPr>
          <w:sz w:val="20"/>
          <w:szCs w:val="20"/>
          <w:color w:val="auto"/>
        </w:rPr>
      </w:pPr>
      <w:r>
        <w:rPr>
          <w:rFonts w:ascii="Times New Roman" w:cs="Times New Roman" w:eastAsia="Times New Roman" w:hAnsi="Times New Roman"/>
          <w:sz w:val="18"/>
          <w:szCs w:val="18"/>
          <w:color w:val="auto"/>
        </w:rPr>
        <w:t>Each Obligor shall not, and shall procure each member of the Group not to, borrow or raise credit or Financial Indebtedness or incur any other indebtedness or permit to subsist any financial facilities with any bank, financial institution or other party without prior written consent of the Lender, except from the Lender pursuant to this Agreement, save and except where such borrowing and raising of credit are in the ordinary course of business of the relevant member of the Group, in which event the Borrower shall give a prior written notification of such proposed borrowing and raising of credit to the Lender.</w:t>
      </w:r>
    </w:p>
    <w:p>
      <w:pPr>
        <w:spacing w:after="0" w:line="18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16.15</w:t>
        <w:tab/>
        <w:t>Negative pledge</w:t>
      </w:r>
    </w:p>
    <w:p>
      <w:pPr>
        <w:spacing w:after="0" w:line="229" w:lineRule="exact"/>
        <w:rPr>
          <w:sz w:val="20"/>
          <w:szCs w:val="20"/>
          <w:color w:val="auto"/>
        </w:rPr>
      </w:pPr>
    </w:p>
    <w:p>
      <w:pPr>
        <w:ind w:left="1300" w:right="40" w:hanging="644"/>
        <w:spacing w:after="0" w:line="258" w:lineRule="auto"/>
        <w:tabs>
          <w:tab w:leader="none" w:pos="1307" w:val="left"/>
        </w:tabs>
        <w:numPr>
          <w:ilvl w:val="0"/>
          <w:numId w:val="4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Obligor shall not, and shall procure each member of the Group not to, create or permit to subsist any Security over any of the Group’s assets to secure any Financial Indebtedness of the Obligors or any Subsidiary thereof (or any guarantees or indemnity in respect thereof) without, in any such case, making effective provision whereby the Loan and the obligations under the Finance Documents will be secured either at least equally and ratably with such Financial Indebtedness or by such other Security as shall have been approved by the Lender, for so long as such Financial Indebtedness will be so secured.</w:t>
      </w:r>
    </w:p>
    <w:p>
      <w:pPr>
        <w:spacing w:after="0" w:line="183" w:lineRule="exact"/>
        <w:rPr>
          <w:rFonts w:ascii="Times New Roman" w:cs="Times New Roman" w:eastAsia="Times New Roman" w:hAnsi="Times New Roman"/>
          <w:sz w:val="18"/>
          <w:szCs w:val="18"/>
          <w:b w:val="1"/>
          <w:bCs w:val="1"/>
          <w:color w:val="auto"/>
        </w:rPr>
      </w:pPr>
    </w:p>
    <w:p>
      <w:pPr>
        <w:ind w:left="1320" w:hanging="664"/>
        <w:spacing w:after="0"/>
        <w:tabs>
          <w:tab w:leader="none" w:pos="1320" w:val="left"/>
        </w:tabs>
        <w:numPr>
          <w:ilvl w:val="0"/>
          <w:numId w:val="4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Paragraph (a) above does not apply to any Security listed below:</w:t>
      </w:r>
    </w:p>
    <w:p>
      <w:pPr>
        <w:sectPr>
          <w:pgSz w:w="11900" w:h="16838" w:orient="portrait"/>
          <w:cols w:equalWidth="0" w:num="1">
            <w:col w:w="11420"/>
          </w:cols>
          <w:pgMar w:left="240" w:top="122" w:right="239" w:bottom="103" w:gutter="0" w:footer="0" w:header="0"/>
        </w:sectPr>
      </w:pPr>
    </w:p>
    <w:bookmarkStart w:id="208" w:name="page209"/>
    <w:bookmarkEnd w:id="208"/>
    <w:p>
      <w:pPr>
        <w:spacing w:after="0" w:line="32" w:lineRule="exact"/>
        <w:rPr>
          <w:sz w:val="20"/>
          <w:szCs w:val="20"/>
          <w:color w:val="auto"/>
        </w:rPr>
      </w:pPr>
    </w:p>
    <w:p>
      <w:pPr>
        <w:ind w:left="1960" w:right="120" w:hanging="655"/>
        <w:spacing w:after="0" w:line="282" w:lineRule="auto"/>
        <w:tabs>
          <w:tab w:leader="none" w:pos="1981"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arising or already arisen automatically by operation of law, or for taxes, assessments or governmental charges which is promptly discharged or disputed in good faith by appropriate proceedings;</w:t>
      </w:r>
    </w:p>
    <w:p>
      <w:pPr>
        <w:spacing w:after="0" w:line="161" w:lineRule="exact"/>
        <w:rPr>
          <w:rFonts w:ascii="Times New Roman" w:cs="Times New Roman" w:eastAsia="Times New Roman" w:hAnsi="Times New Roman"/>
          <w:sz w:val="18"/>
          <w:szCs w:val="18"/>
          <w:color w:val="auto"/>
        </w:rPr>
      </w:pPr>
    </w:p>
    <w:p>
      <w:pPr>
        <w:ind w:left="1960" w:right="80" w:hanging="655"/>
        <w:spacing w:after="0" w:line="282" w:lineRule="auto"/>
        <w:tabs>
          <w:tab w:leader="none" w:pos="1991"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existing on any property or asset prior to the acquisition thereof by an Obligor or any Subsidiary thereof arising after such acquisition pursuant to contractual commitments entered into prior to and not in contemplation of such acquisition;</w:t>
      </w:r>
    </w:p>
    <w:p>
      <w:pPr>
        <w:spacing w:after="0" w:line="161" w:lineRule="exact"/>
        <w:rPr>
          <w:rFonts w:ascii="Times New Roman" w:cs="Times New Roman" w:eastAsia="Times New Roman" w:hAnsi="Times New Roman"/>
          <w:sz w:val="18"/>
          <w:szCs w:val="18"/>
          <w:color w:val="auto"/>
        </w:rPr>
      </w:pPr>
    </w:p>
    <w:p>
      <w:pPr>
        <w:ind w:left="1960" w:right="580" w:hanging="655"/>
        <w:spacing w:after="0" w:line="282" w:lineRule="auto"/>
        <w:tabs>
          <w:tab w:leader="none" w:pos="2000"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management, netting or set-off arrangement or combination of accounts arising in favour of any bank or financial institution as a result of the day-to-day operation of banking arrangements;</w:t>
      </w:r>
    </w:p>
    <w:p>
      <w:pPr>
        <w:spacing w:after="0" w:line="161" w:lineRule="exact"/>
        <w:rPr>
          <w:rFonts w:ascii="Times New Roman" w:cs="Times New Roman" w:eastAsia="Times New Roman" w:hAnsi="Times New Roman"/>
          <w:sz w:val="18"/>
          <w:szCs w:val="18"/>
          <w:color w:val="auto"/>
        </w:rPr>
      </w:pPr>
    </w:p>
    <w:p>
      <w:pPr>
        <w:ind w:left="1960" w:right="120" w:hanging="655"/>
        <w:spacing w:after="0" w:line="313" w:lineRule="auto"/>
        <w:tabs>
          <w:tab w:leader="none" w:pos="1977" w:val="left"/>
        </w:tabs>
        <w:numPr>
          <w:ilvl w:val="0"/>
          <w:numId w:val="4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Security arising under any retention of title, title transfer, hire purchase or conditional sale arrangement or arrangements having similar effect in respect of goods supplied to any Obligor or any Subsidiary thereof in the ordinary course of business; and</w:t>
      </w:r>
    </w:p>
    <w:p>
      <w:pPr>
        <w:spacing w:after="0" w:line="138" w:lineRule="exact"/>
        <w:rPr>
          <w:rFonts w:ascii="Times New Roman" w:cs="Times New Roman" w:eastAsia="Times New Roman" w:hAnsi="Times New Roman"/>
          <w:sz w:val="17"/>
          <w:szCs w:val="17"/>
          <w:color w:val="auto"/>
        </w:rPr>
      </w:pPr>
    </w:p>
    <w:p>
      <w:pPr>
        <w:ind w:left="1960" w:right="600" w:hanging="655"/>
        <w:spacing w:after="0" w:line="282" w:lineRule="auto"/>
        <w:tabs>
          <w:tab w:leader="none" w:pos="1967"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easement, right-of-way, zoning and similar restriction and other similar charge or encumbrance not interfering with the ordinary course of business of an Obligor or any of its Subsidiaries.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4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EVENTS OF DEFAULT</w:t>
      </w:r>
    </w:p>
    <w:p>
      <w:pPr>
        <w:spacing w:after="0" w:line="22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the events or circumstances set out in the following sub-clauses of this Clause 17 (other than 17.14 (</w:t>
      </w:r>
      <w:r>
        <w:rPr>
          <w:rFonts w:ascii="Times New Roman" w:cs="Times New Roman" w:eastAsia="Times New Roman" w:hAnsi="Times New Roman"/>
          <w:sz w:val="18"/>
          <w:szCs w:val="18"/>
          <w:i w:val="1"/>
          <w:iCs w:val="1"/>
          <w:color w:val="auto"/>
        </w:rPr>
        <w:t>Acceleration</w:t>
      </w:r>
      <w:r>
        <w:rPr>
          <w:rFonts w:ascii="Times New Roman" w:cs="Times New Roman" w:eastAsia="Times New Roman" w:hAnsi="Times New Roman"/>
          <w:sz w:val="18"/>
          <w:szCs w:val="18"/>
          <w:color w:val="auto"/>
        </w:rPr>
        <w:t>)) is an Event of Default.</w:t>
      </w:r>
    </w:p>
    <w:p>
      <w:pPr>
        <w:spacing w:after="0" w:line="22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17.1</w:t>
      </w:r>
      <w:r>
        <w:rPr>
          <w:sz w:val="20"/>
          <w:szCs w:val="20"/>
          <w:color w:val="auto"/>
        </w:rPr>
        <w:tab/>
      </w:r>
      <w:r>
        <w:rPr>
          <w:rFonts w:ascii="Times New Roman" w:cs="Times New Roman" w:eastAsia="Times New Roman" w:hAnsi="Times New Roman"/>
          <w:sz w:val="18"/>
          <w:szCs w:val="18"/>
          <w:b w:val="1"/>
          <w:bCs w:val="1"/>
          <w:color w:val="auto"/>
        </w:rPr>
        <w:t>Non-payment</w:t>
      </w:r>
    </w:p>
    <w:p>
      <w:pPr>
        <w:spacing w:after="0" w:line="229" w:lineRule="exact"/>
        <w:rPr>
          <w:sz w:val="20"/>
          <w:szCs w:val="20"/>
          <w:color w:val="auto"/>
        </w:rPr>
      </w:pPr>
    </w:p>
    <w:p>
      <w:pPr>
        <w:ind w:left="660" w:right="500"/>
        <w:spacing w:after="0" w:line="282" w:lineRule="auto"/>
        <w:rPr>
          <w:sz w:val="20"/>
          <w:szCs w:val="20"/>
          <w:color w:val="auto"/>
        </w:rPr>
      </w:pPr>
      <w:r>
        <w:rPr>
          <w:rFonts w:ascii="Times New Roman" w:cs="Times New Roman" w:eastAsia="Times New Roman" w:hAnsi="Times New Roman"/>
          <w:sz w:val="18"/>
          <w:szCs w:val="18"/>
          <w:color w:val="auto"/>
        </w:rPr>
        <w:t>The Borrower does not pay on the due date any amount payable pursuant to a Finance Document at the place and in the currency in which it is expressed to be payable unless:</w:t>
      </w:r>
    </w:p>
    <w:p>
      <w:pPr>
        <w:spacing w:after="0" w:line="162" w:lineRule="exact"/>
        <w:rPr>
          <w:sz w:val="20"/>
          <w:szCs w:val="20"/>
          <w:color w:val="auto"/>
        </w:rPr>
      </w:pPr>
    </w:p>
    <w:p>
      <w:pPr>
        <w:ind w:left="1320" w:hanging="664"/>
        <w:spacing w:after="0"/>
        <w:tabs>
          <w:tab w:leader="none" w:pos="1320" w:val="left"/>
        </w:tabs>
        <w:numPr>
          <w:ilvl w:val="0"/>
          <w:numId w:val="4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its failure to pay is caused by administrative or technical error, the Lender, or the force majeure; and</w:t>
      </w:r>
    </w:p>
    <w:p>
      <w:pPr>
        <w:spacing w:after="0" w:line="225" w:lineRule="exact"/>
        <w:rPr>
          <w:rFonts w:ascii="Times New Roman" w:cs="Times New Roman" w:eastAsia="Times New Roman" w:hAnsi="Times New Roman"/>
          <w:sz w:val="18"/>
          <w:szCs w:val="18"/>
          <w:b w:val="1"/>
          <w:bCs w:val="1"/>
          <w:color w:val="auto"/>
        </w:rPr>
      </w:pPr>
    </w:p>
    <w:p>
      <w:pPr>
        <w:ind w:left="1320" w:hanging="664"/>
        <w:spacing w:after="0"/>
        <w:tabs>
          <w:tab w:leader="none" w:pos="1320" w:val="left"/>
        </w:tabs>
        <w:numPr>
          <w:ilvl w:val="0"/>
          <w:numId w:val="4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payment is made within three (3) Business Days of its due date.</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17.2</w:t>
      </w:r>
      <w:r>
        <w:rPr>
          <w:sz w:val="20"/>
          <w:szCs w:val="20"/>
          <w:color w:val="auto"/>
        </w:rPr>
        <w:tab/>
      </w:r>
      <w:r>
        <w:rPr>
          <w:rFonts w:ascii="Times New Roman" w:cs="Times New Roman" w:eastAsia="Times New Roman" w:hAnsi="Times New Roman"/>
          <w:sz w:val="18"/>
          <w:szCs w:val="18"/>
          <w:b w:val="1"/>
          <w:bCs w:val="1"/>
          <w:color w:val="auto"/>
        </w:rPr>
        <w:t>Other obligations</w:t>
      </w:r>
    </w:p>
    <w:p>
      <w:pPr>
        <w:spacing w:after="0" w:line="227" w:lineRule="exact"/>
        <w:rPr>
          <w:sz w:val="20"/>
          <w:szCs w:val="20"/>
          <w:color w:val="auto"/>
        </w:rPr>
      </w:pPr>
    </w:p>
    <w:p>
      <w:pPr>
        <w:ind w:left="1320" w:hanging="664"/>
        <w:spacing w:after="0"/>
        <w:tabs>
          <w:tab w:leader="none" w:pos="1320" w:val="left"/>
        </w:tabs>
        <w:numPr>
          <w:ilvl w:val="0"/>
          <w:numId w:val="4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Obligor does not comply with any provision of the Finance Documents (other than those referred to in Clause 17.1 (</w:t>
      </w:r>
      <w:r>
        <w:rPr>
          <w:rFonts w:ascii="Times New Roman" w:cs="Times New Roman" w:eastAsia="Times New Roman" w:hAnsi="Times New Roman"/>
          <w:sz w:val="18"/>
          <w:szCs w:val="18"/>
          <w:i w:val="1"/>
          <w:iCs w:val="1"/>
          <w:color w:val="auto"/>
        </w:rPr>
        <w:t>Non-payment</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b w:val="1"/>
          <w:bCs w:val="1"/>
          <w:color w:val="auto"/>
        </w:rPr>
      </w:pPr>
    </w:p>
    <w:p>
      <w:pPr>
        <w:ind w:left="1300" w:right="460" w:hanging="644"/>
        <w:spacing w:after="0" w:line="313" w:lineRule="auto"/>
        <w:tabs>
          <w:tab w:leader="none" w:pos="1317" w:val="left"/>
        </w:tabs>
        <w:numPr>
          <w:ilvl w:val="0"/>
          <w:numId w:val="4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 Event of Default under sub-clause (a) above will occur if the failure to comply is capable of remedy, and is remedied within ten (10) Business Days of the earlier of the Lender giving notice to the Borrower or any Obligor becoming aware of the failure to comply.</w:t>
      </w:r>
    </w:p>
    <w:p>
      <w:pPr>
        <w:spacing w:after="0" w:line="138" w:lineRule="exact"/>
        <w:rPr>
          <w:rFonts w:ascii="Times New Roman" w:cs="Times New Roman" w:eastAsia="Times New Roman" w:hAnsi="Times New Roman"/>
          <w:sz w:val="17"/>
          <w:szCs w:val="17"/>
          <w:b w:val="1"/>
          <w:bCs w:val="1"/>
          <w:color w:val="auto"/>
        </w:rPr>
      </w:pPr>
    </w:p>
    <w:p>
      <w:pPr>
        <w:ind w:left="1300" w:right="500" w:hanging="644"/>
        <w:spacing w:after="0" w:line="266" w:lineRule="auto"/>
        <w:tabs>
          <w:tab w:leader="none" w:pos="1310" w:val="left"/>
        </w:tabs>
        <w:numPr>
          <w:ilvl w:val="0"/>
          <w:numId w:val="4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Borrower fails to repay the Loan and all outstanding amounts with respect to the Loan on the Final Maturity Date, then without prejudice to any of the rights of the Lender under this Agreement and its exercise of such rights, the Parties shall enter into amicable negotiations with each other in good faith with a view to resolving the matter.</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17.3</w:t>
      </w:r>
      <w:r>
        <w:rPr>
          <w:sz w:val="20"/>
          <w:szCs w:val="20"/>
          <w:color w:val="auto"/>
        </w:rPr>
        <w:tab/>
      </w:r>
      <w:r>
        <w:rPr>
          <w:rFonts w:ascii="Times New Roman" w:cs="Times New Roman" w:eastAsia="Times New Roman" w:hAnsi="Times New Roman"/>
          <w:sz w:val="18"/>
          <w:szCs w:val="18"/>
          <w:b w:val="1"/>
          <w:bCs w:val="1"/>
          <w:color w:val="auto"/>
        </w:rPr>
        <w:t>Misrepresentation</w:t>
      </w:r>
    </w:p>
    <w:p>
      <w:pPr>
        <w:spacing w:after="0" w:line="229" w:lineRule="exact"/>
        <w:rPr>
          <w:sz w:val="20"/>
          <w:szCs w:val="20"/>
          <w:color w:val="auto"/>
        </w:rPr>
      </w:pPr>
    </w:p>
    <w:p>
      <w:pPr>
        <w:ind w:left="1300" w:right="160" w:hanging="644"/>
        <w:spacing w:after="0" w:line="266" w:lineRule="auto"/>
        <w:tabs>
          <w:tab w:leader="none" w:pos="1307" w:val="left"/>
        </w:tabs>
        <w:numPr>
          <w:ilvl w:val="0"/>
          <w:numId w:val="4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representation or statement made or deemed to be made by an Obligor in the Finance Documents or any other document delivered by or on behalf of any Obligor under or in connection with any Finance Document is or proves to have been incorrect or misleading in any material respect when made or deemed to be made by reference to the facts and circumstances then existing.</w:t>
      </w:r>
    </w:p>
    <w:p>
      <w:pPr>
        <w:spacing w:after="0" w:line="176" w:lineRule="exact"/>
        <w:rPr>
          <w:rFonts w:ascii="Times New Roman" w:cs="Times New Roman" w:eastAsia="Times New Roman" w:hAnsi="Times New Roman"/>
          <w:sz w:val="18"/>
          <w:szCs w:val="18"/>
          <w:b w:val="1"/>
          <w:bCs w:val="1"/>
          <w:color w:val="auto"/>
        </w:rPr>
      </w:pPr>
    </w:p>
    <w:p>
      <w:pPr>
        <w:ind w:left="1320" w:hanging="664"/>
        <w:spacing w:after="0"/>
        <w:tabs>
          <w:tab w:leader="none" w:pos="1320" w:val="left"/>
        </w:tabs>
        <w:numPr>
          <w:ilvl w:val="0"/>
          <w:numId w:val="4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Event of Default will occur under paragraph (a) above if the misrepresentation is capable of remedy and is remedied within ten</w:t>
      </w:r>
    </w:p>
    <w:p>
      <w:pPr>
        <w:spacing w:after="0" w:line="27" w:lineRule="exact"/>
        <w:rPr>
          <w:rFonts w:ascii="Times New Roman" w:cs="Times New Roman" w:eastAsia="Times New Roman" w:hAnsi="Times New Roman"/>
          <w:sz w:val="18"/>
          <w:szCs w:val="18"/>
          <w:b w:val="1"/>
          <w:bCs w:val="1"/>
          <w:color w:val="auto"/>
        </w:rPr>
      </w:pPr>
    </w:p>
    <w:p>
      <w:pPr>
        <w:ind w:left="1300" w:firstLine="5"/>
        <w:spacing w:after="0" w:line="261" w:lineRule="auto"/>
        <w:tabs>
          <w:tab w:leader="none" w:pos="1645" w:val="left"/>
        </w:tabs>
        <w:numPr>
          <w:ilvl w:val="1"/>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the earlier of (i) the Lender giving notice to the Borrower of such misrepresentation and (ii) any Obligor becoming aware of the misrepresentation.</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17.4</w:t>
      </w:r>
      <w:r>
        <w:rPr>
          <w:sz w:val="20"/>
          <w:szCs w:val="20"/>
          <w:color w:val="auto"/>
        </w:rPr>
        <w:tab/>
      </w:r>
      <w:r>
        <w:rPr>
          <w:rFonts w:ascii="Times New Roman" w:cs="Times New Roman" w:eastAsia="Times New Roman" w:hAnsi="Times New Roman"/>
          <w:sz w:val="17"/>
          <w:szCs w:val="17"/>
          <w:b w:val="1"/>
          <w:bCs w:val="1"/>
          <w:color w:val="auto"/>
        </w:rPr>
        <w:t>Cross default</w:t>
      </w:r>
    </w:p>
    <w:p>
      <w:pPr>
        <w:spacing w:after="0" w:line="229" w:lineRule="exact"/>
        <w:rPr>
          <w:sz w:val="20"/>
          <w:szCs w:val="20"/>
          <w:color w:val="auto"/>
        </w:rPr>
      </w:pPr>
    </w:p>
    <w:p>
      <w:pPr>
        <w:ind w:left="1300" w:right="300" w:hanging="644"/>
        <w:spacing w:after="0" w:line="282" w:lineRule="auto"/>
        <w:tabs>
          <w:tab w:leader="none" w:pos="1307" w:val="left"/>
        </w:tabs>
        <w:numPr>
          <w:ilvl w:val="0"/>
          <w:numId w:val="4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Financial Indebtedness of any member of the Group or any Obligor is not paid when due nor within any originally applicable grace period.</w:t>
      </w:r>
    </w:p>
    <w:p>
      <w:pPr>
        <w:spacing w:after="0" w:line="161" w:lineRule="exact"/>
        <w:rPr>
          <w:rFonts w:ascii="Times New Roman" w:cs="Times New Roman" w:eastAsia="Times New Roman" w:hAnsi="Times New Roman"/>
          <w:sz w:val="18"/>
          <w:szCs w:val="18"/>
          <w:b w:val="1"/>
          <w:bCs w:val="1"/>
          <w:color w:val="auto"/>
        </w:rPr>
      </w:pPr>
    </w:p>
    <w:p>
      <w:pPr>
        <w:ind w:left="1300" w:right="40" w:hanging="644"/>
        <w:spacing w:after="0" w:line="282" w:lineRule="auto"/>
        <w:tabs>
          <w:tab w:leader="none" w:pos="1317" w:val="left"/>
        </w:tabs>
        <w:numPr>
          <w:ilvl w:val="0"/>
          <w:numId w:val="4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Financial Indebtedness of any member of the Group or any Obligor is declared to be or otherwise becomes due and payable prior to its specified maturity as a result of an event of default (however described).</w:t>
      </w:r>
    </w:p>
    <w:p>
      <w:pPr>
        <w:spacing w:after="0" w:line="161" w:lineRule="exact"/>
        <w:rPr>
          <w:rFonts w:ascii="Times New Roman" w:cs="Times New Roman" w:eastAsia="Times New Roman" w:hAnsi="Times New Roman"/>
          <w:sz w:val="18"/>
          <w:szCs w:val="18"/>
          <w:b w:val="1"/>
          <w:bCs w:val="1"/>
          <w:color w:val="auto"/>
        </w:rPr>
      </w:pPr>
    </w:p>
    <w:p>
      <w:pPr>
        <w:ind w:left="1300" w:right="460" w:hanging="644"/>
        <w:spacing w:after="0" w:line="266" w:lineRule="auto"/>
        <w:tabs>
          <w:tab w:leader="none" w:pos="1310" w:val="left"/>
        </w:tabs>
        <w:numPr>
          <w:ilvl w:val="0"/>
          <w:numId w:val="4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Event of Default will occur under this Clause 17.4 if the aggregate amount of Financial Indebtedness or commitment for Financial Indebtedness falling within sub-clause (a) to (b) (inclusive) above is less than US$500,000(or its equivalent in any other currency or currencies).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17.5</w:t>
      </w:r>
      <w:r>
        <w:rPr>
          <w:sz w:val="20"/>
          <w:szCs w:val="20"/>
          <w:color w:val="auto"/>
        </w:rPr>
        <w:tab/>
      </w:r>
      <w:r>
        <w:rPr>
          <w:rFonts w:ascii="Times New Roman" w:cs="Times New Roman" w:eastAsia="Times New Roman" w:hAnsi="Times New Roman"/>
          <w:sz w:val="17"/>
          <w:szCs w:val="17"/>
          <w:b w:val="1"/>
          <w:bCs w:val="1"/>
          <w:color w:val="auto"/>
        </w:rPr>
        <w:t>Insolvency</w:t>
      </w:r>
    </w:p>
    <w:p>
      <w:pPr>
        <w:spacing w:after="0" w:line="229" w:lineRule="exact"/>
        <w:rPr>
          <w:sz w:val="20"/>
          <w:szCs w:val="20"/>
          <w:color w:val="auto"/>
        </w:rPr>
      </w:pPr>
    </w:p>
    <w:p>
      <w:pPr>
        <w:ind w:left="1300" w:right="80" w:hanging="644"/>
        <w:spacing w:after="0" w:line="266" w:lineRule="auto"/>
        <w:tabs>
          <w:tab w:leader="none" w:pos="1307" w:val="left"/>
        </w:tabs>
        <w:numPr>
          <w:ilvl w:val="0"/>
          <w:numId w:val="4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member of the Group or any Obligor is or is presumed or deemed to be unable or admits inability to pay its debts as they fall due, suspends making payments on any of its debts or, by reason of actual or anticipated financial difficulties, commences negotiations with one or more of its creditors with a view to rescheduling any of its indebtedness.</w:t>
      </w:r>
    </w:p>
    <w:p>
      <w:pPr>
        <w:spacing w:after="0" w:line="176" w:lineRule="exact"/>
        <w:rPr>
          <w:rFonts w:ascii="Times New Roman" w:cs="Times New Roman" w:eastAsia="Times New Roman" w:hAnsi="Times New Roman"/>
          <w:sz w:val="18"/>
          <w:szCs w:val="18"/>
          <w:b w:val="1"/>
          <w:bCs w:val="1"/>
          <w:color w:val="auto"/>
        </w:rPr>
      </w:pPr>
    </w:p>
    <w:p>
      <w:pPr>
        <w:ind w:left="1320" w:hanging="664"/>
        <w:spacing w:after="0"/>
        <w:tabs>
          <w:tab w:leader="none" w:pos="1320" w:val="left"/>
        </w:tabs>
        <w:numPr>
          <w:ilvl w:val="0"/>
          <w:numId w:val="4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moratorium is declared in respect of any indebtedness of any member of the Group or any Obligor.</w:t>
      </w:r>
    </w:p>
    <w:p>
      <w:pPr>
        <w:sectPr>
          <w:pgSz w:w="11900" w:h="16870" w:orient="portrait"/>
          <w:cols w:equalWidth="0" w:num="1">
            <w:col w:w="11420"/>
          </w:cols>
          <w:pgMar w:left="240" w:top="121" w:right="239" w:bottom="0" w:gutter="0" w:footer="0" w:header="0"/>
        </w:sectPr>
      </w:pPr>
    </w:p>
    <w:bookmarkStart w:id="209" w:name="page210"/>
    <w:bookmarkEnd w:id="209"/>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17.6</w:t>
      </w:r>
      <w:r>
        <w:rPr>
          <w:sz w:val="20"/>
          <w:szCs w:val="20"/>
          <w:color w:val="auto"/>
        </w:rPr>
        <w:tab/>
      </w:r>
      <w:r>
        <w:rPr>
          <w:rFonts w:ascii="Times New Roman" w:cs="Times New Roman" w:eastAsia="Times New Roman" w:hAnsi="Times New Roman"/>
          <w:sz w:val="17"/>
          <w:szCs w:val="17"/>
          <w:b w:val="1"/>
          <w:bCs w:val="1"/>
          <w:color w:val="auto"/>
        </w:rPr>
        <w:t>Insolvency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corporate action, legal proceedings or other procedure or step is taken in relation to:</w:t>
      </w:r>
    </w:p>
    <w:p>
      <w:pPr>
        <w:spacing w:after="0" w:line="225" w:lineRule="exact"/>
        <w:rPr>
          <w:sz w:val="20"/>
          <w:szCs w:val="20"/>
          <w:color w:val="auto"/>
        </w:rPr>
      </w:pPr>
    </w:p>
    <w:p>
      <w:pPr>
        <w:ind w:left="1300" w:right="160" w:hanging="644"/>
        <w:spacing w:after="0" w:line="266" w:lineRule="auto"/>
        <w:tabs>
          <w:tab w:leader="none" w:pos="1307" w:val="left"/>
        </w:tabs>
        <w:numPr>
          <w:ilvl w:val="0"/>
          <w:numId w:val="4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suspension of payments, a moratorium of any indebtedness, winding-up, dissolution, administration, provisional supervision or reorganisation (by way of voluntary arrangement, scheme of arrangement or otherwise) of any Obligor or any member of the Group other than a solvent liquidation or reorganisation of any member of the Group which is not an Obligor;</w:t>
      </w:r>
    </w:p>
    <w:p>
      <w:pPr>
        <w:spacing w:after="0" w:line="176" w:lineRule="exact"/>
        <w:rPr>
          <w:rFonts w:ascii="Times New Roman" w:cs="Times New Roman" w:eastAsia="Times New Roman" w:hAnsi="Times New Roman"/>
          <w:sz w:val="18"/>
          <w:szCs w:val="18"/>
          <w:b w:val="1"/>
          <w:bCs w:val="1"/>
          <w:color w:val="auto"/>
        </w:rPr>
      </w:pPr>
    </w:p>
    <w:p>
      <w:pPr>
        <w:ind w:left="1300" w:right="180" w:hanging="644"/>
        <w:spacing w:after="0" w:line="282" w:lineRule="auto"/>
        <w:tabs>
          <w:tab w:leader="none" w:pos="1317" w:val="left"/>
        </w:tabs>
        <w:numPr>
          <w:ilvl w:val="0"/>
          <w:numId w:val="4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composition or arrangement with any creditor of any Obligor or any member of the Group, or an assignment for the benefit of creditors generally of any Obligor or any member of the Group or a class of such creditors;</w:t>
      </w:r>
    </w:p>
    <w:p>
      <w:pPr>
        <w:spacing w:after="0" w:line="161" w:lineRule="exact"/>
        <w:rPr>
          <w:rFonts w:ascii="Times New Roman" w:cs="Times New Roman" w:eastAsia="Times New Roman" w:hAnsi="Times New Roman"/>
          <w:sz w:val="18"/>
          <w:szCs w:val="18"/>
          <w:b w:val="1"/>
          <w:bCs w:val="1"/>
          <w:color w:val="auto"/>
        </w:rPr>
      </w:pPr>
    </w:p>
    <w:p>
      <w:pPr>
        <w:jc w:val="both"/>
        <w:ind w:left="1300" w:right="80" w:hanging="644"/>
        <w:spacing w:after="0" w:line="266" w:lineRule="auto"/>
        <w:tabs>
          <w:tab w:leader="none" w:pos="1310" w:val="left"/>
        </w:tabs>
        <w:numPr>
          <w:ilvl w:val="0"/>
          <w:numId w:val="4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appointment of a liquidator (other than in respect of a solvent liquidation of a member of the Group which is not an Obligor), receiver, administrator, administrative receiver, compulsory manager, provisional supervisor or other similar officer in respect of any Obligor or any member of the Group or any of its assets;</w:t>
      </w:r>
    </w:p>
    <w:p>
      <w:pPr>
        <w:spacing w:after="0" w:line="176" w:lineRule="exact"/>
        <w:rPr>
          <w:rFonts w:ascii="Times New Roman" w:cs="Times New Roman" w:eastAsia="Times New Roman" w:hAnsi="Times New Roman"/>
          <w:sz w:val="18"/>
          <w:szCs w:val="18"/>
          <w:b w:val="1"/>
          <w:bCs w:val="1"/>
          <w:color w:val="auto"/>
        </w:rPr>
      </w:pPr>
    </w:p>
    <w:p>
      <w:pPr>
        <w:ind w:left="1320" w:hanging="664"/>
        <w:spacing w:after="0"/>
        <w:tabs>
          <w:tab w:leader="none" w:pos="1320" w:val="left"/>
        </w:tabs>
        <w:numPr>
          <w:ilvl w:val="0"/>
          <w:numId w:val="4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enforcement of any Security over any assets of any Obligor or any member of the Group; or</w:t>
      </w:r>
    </w:p>
    <w:p>
      <w:pPr>
        <w:spacing w:after="0" w:line="225" w:lineRule="exact"/>
        <w:rPr>
          <w:rFonts w:ascii="Times New Roman" w:cs="Times New Roman" w:eastAsia="Times New Roman" w:hAnsi="Times New Roman"/>
          <w:sz w:val="18"/>
          <w:szCs w:val="18"/>
          <w:b w:val="1"/>
          <w:bCs w:val="1"/>
          <w:color w:val="auto"/>
        </w:rPr>
      </w:pPr>
    </w:p>
    <w:p>
      <w:pPr>
        <w:ind w:left="1320" w:hanging="664"/>
        <w:spacing w:after="0"/>
        <w:tabs>
          <w:tab w:leader="none" w:pos="1320" w:val="left"/>
        </w:tabs>
        <w:numPr>
          <w:ilvl w:val="0"/>
          <w:numId w:val="4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analogous procedure or step is taken in any jurisdiction.</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17.7</w:t>
      </w:r>
      <w:r>
        <w:rPr>
          <w:sz w:val="20"/>
          <w:szCs w:val="20"/>
          <w:color w:val="auto"/>
        </w:rPr>
        <w:tab/>
      </w:r>
      <w:r>
        <w:rPr>
          <w:rFonts w:ascii="Times New Roman" w:cs="Times New Roman" w:eastAsia="Times New Roman" w:hAnsi="Times New Roman"/>
          <w:sz w:val="18"/>
          <w:szCs w:val="18"/>
          <w:b w:val="1"/>
          <w:bCs w:val="1"/>
          <w:color w:val="auto"/>
        </w:rPr>
        <w:t>Creditors’ process</w:t>
      </w:r>
    </w:p>
    <w:p>
      <w:pPr>
        <w:spacing w:after="0" w:line="229" w:lineRule="exact"/>
        <w:rPr>
          <w:sz w:val="20"/>
          <w:szCs w:val="20"/>
          <w:color w:val="auto"/>
        </w:rPr>
      </w:pPr>
    </w:p>
    <w:p>
      <w:pPr>
        <w:ind w:left="640" w:right="260"/>
        <w:spacing w:after="0" w:line="282" w:lineRule="auto"/>
        <w:rPr>
          <w:sz w:val="20"/>
          <w:szCs w:val="20"/>
          <w:color w:val="auto"/>
        </w:rPr>
      </w:pPr>
      <w:r>
        <w:rPr>
          <w:rFonts w:ascii="Times New Roman" w:cs="Times New Roman" w:eastAsia="Times New Roman" w:hAnsi="Times New Roman"/>
          <w:sz w:val="18"/>
          <w:szCs w:val="18"/>
          <w:color w:val="auto"/>
        </w:rPr>
        <w:t>Any expropriation, attachment, sequestration, distress or execution affects any asset or assets of a member of the Group or any Obligor and is not discharged, stayed or dismissed within thirty (30) days from the date of the relevant order.</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17.8</w:t>
      </w:r>
      <w:r>
        <w:rPr>
          <w:sz w:val="20"/>
          <w:szCs w:val="20"/>
          <w:color w:val="auto"/>
        </w:rPr>
        <w:tab/>
      </w:r>
      <w:r>
        <w:rPr>
          <w:rFonts w:ascii="Times New Roman" w:cs="Times New Roman" w:eastAsia="Times New Roman" w:hAnsi="Times New Roman"/>
          <w:sz w:val="18"/>
          <w:szCs w:val="18"/>
          <w:b w:val="1"/>
          <w:bCs w:val="1"/>
          <w:color w:val="auto"/>
        </w:rPr>
        <w:t>Unlawfulness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It is or becomes unlawful for an Obligor to perform any of its obligations under the Finance Documents.</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17.9</w:t>
      </w:r>
      <w:r>
        <w:rPr>
          <w:sz w:val="20"/>
          <w:szCs w:val="20"/>
          <w:color w:val="auto"/>
        </w:rPr>
        <w:tab/>
      </w:r>
      <w:r>
        <w:rPr>
          <w:rFonts w:ascii="Times New Roman" w:cs="Times New Roman" w:eastAsia="Times New Roman" w:hAnsi="Times New Roman"/>
          <w:sz w:val="18"/>
          <w:szCs w:val="18"/>
          <w:b w:val="1"/>
          <w:bCs w:val="1"/>
          <w:color w:val="auto"/>
        </w:rPr>
        <w:t>Repudiation</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An Obligor repudiates a Finance Document or evidences an intention to repudiate a Finance Document.</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17.10</w:t>
      </w:r>
      <w:r>
        <w:rPr>
          <w:sz w:val="20"/>
          <w:szCs w:val="20"/>
          <w:color w:val="auto"/>
        </w:rPr>
        <w:tab/>
      </w:r>
      <w:r>
        <w:rPr>
          <w:rFonts w:ascii="Times New Roman" w:cs="Times New Roman" w:eastAsia="Times New Roman" w:hAnsi="Times New Roman"/>
          <w:sz w:val="17"/>
          <w:szCs w:val="17"/>
          <w:b w:val="1"/>
          <w:bCs w:val="1"/>
          <w:color w:val="auto"/>
        </w:rPr>
        <w:t>Moratorium on External Indebtedness</w:t>
      </w:r>
    </w:p>
    <w:p>
      <w:pPr>
        <w:spacing w:after="0" w:line="229" w:lineRule="exact"/>
        <w:rPr>
          <w:sz w:val="20"/>
          <w:szCs w:val="20"/>
          <w:color w:val="auto"/>
        </w:rPr>
      </w:pPr>
    </w:p>
    <w:p>
      <w:pPr>
        <w:ind w:left="640" w:right="60"/>
        <w:spacing w:after="0" w:line="282" w:lineRule="auto"/>
        <w:rPr>
          <w:sz w:val="20"/>
          <w:szCs w:val="20"/>
          <w:color w:val="auto"/>
        </w:rPr>
      </w:pPr>
      <w:r>
        <w:rPr>
          <w:rFonts w:ascii="Times New Roman" w:cs="Times New Roman" w:eastAsia="Times New Roman" w:hAnsi="Times New Roman"/>
          <w:sz w:val="18"/>
          <w:szCs w:val="18"/>
          <w:color w:val="auto"/>
        </w:rPr>
        <w:t>The government of the PRC, USA or Hong Kong, central bank (or equivalent) of the PRC, USA or Hong Kong or any Governmental Agency of the PRC, USA or Hong Kong declares a moratorium, standstill or similar suspension of payments in respect of its external indebtedness.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17.11</w:t>
      </w:r>
      <w:r>
        <w:rPr>
          <w:sz w:val="20"/>
          <w:szCs w:val="20"/>
          <w:color w:val="auto"/>
        </w:rPr>
        <w:tab/>
      </w:r>
      <w:r>
        <w:rPr>
          <w:rFonts w:ascii="Times New Roman" w:cs="Times New Roman" w:eastAsia="Times New Roman" w:hAnsi="Times New Roman"/>
          <w:sz w:val="17"/>
          <w:szCs w:val="17"/>
          <w:b w:val="1"/>
          <w:bCs w:val="1"/>
          <w:color w:val="auto"/>
        </w:rPr>
        <w:t>Cessation of business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Any Obligor suspends or ceases to carry on all or a material part of its business or of the business of the Group taken as a whole.</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17.12</w:t>
      </w:r>
      <w:r>
        <w:rPr>
          <w:sz w:val="20"/>
          <w:szCs w:val="20"/>
          <w:color w:val="auto"/>
        </w:rPr>
        <w:tab/>
      </w:r>
      <w:r>
        <w:rPr>
          <w:rFonts w:ascii="Times New Roman" w:cs="Times New Roman" w:eastAsia="Times New Roman" w:hAnsi="Times New Roman"/>
          <w:sz w:val="17"/>
          <w:szCs w:val="17"/>
          <w:b w:val="1"/>
          <w:bCs w:val="1"/>
          <w:color w:val="auto"/>
        </w:rPr>
        <w:t>Money Laundering, Anti-corruption, financing of Terrorism</w:t>
      </w:r>
    </w:p>
    <w:p>
      <w:pPr>
        <w:spacing w:after="0" w:line="229" w:lineRule="exact"/>
        <w:rPr>
          <w:sz w:val="20"/>
          <w:szCs w:val="20"/>
          <w:color w:val="auto"/>
        </w:rPr>
      </w:pPr>
    </w:p>
    <w:p>
      <w:pPr>
        <w:ind w:left="1300" w:hanging="644"/>
        <w:spacing w:after="0" w:line="282" w:lineRule="auto"/>
        <w:tabs>
          <w:tab w:leader="none" w:pos="1307" w:val="left"/>
        </w:tabs>
        <w:numPr>
          <w:ilvl w:val="0"/>
          <w:numId w:val="4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Obligor engages in Corrupt Practices, Fraudulent Practices, Collusive Practices or Coercive Practices, including in connection with the procurement or execution of any contract for goods or services.</w:t>
      </w:r>
    </w:p>
    <w:p>
      <w:pPr>
        <w:spacing w:after="0" w:line="161" w:lineRule="exact"/>
        <w:rPr>
          <w:rFonts w:ascii="Times New Roman" w:cs="Times New Roman" w:eastAsia="Times New Roman" w:hAnsi="Times New Roman"/>
          <w:sz w:val="18"/>
          <w:szCs w:val="18"/>
          <w:b w:val="1"/>
          <w:bCs w:val="1"/>
          <w:color w:val="auto"/>
        </w:rPr>
      </w:pPr>
    </w:p>
    <w:p>
      <w:pPr>
        <w:ind w:left="1320" w:hanging="664"/>
        <w:spacing w:after="0"/>
        <w:tabs>
          <w:tab w:leader="none" w:pos="1320" w:val="left"/>
        </w:tabs>
        <w:numPr>
          <w:ilvl w:val="0"/>
          <w:numId w:val="4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Obligor engages in Money Laundering or acts in breach of any law relating to Money Laundering.</w:t>
      </w:r>
    </w:p>
    <w:p>
      <w:pPr>
        <w:spacing w:after="0" w:line="225" w:lineRule="exact"/>
        <w:rPr>
          <w:rFonts w:ascii="Times New Roman" w:cs="Times New Roman" w:eastAsia="Times New Roman" w:hAnsi="Times New Roman"/>
          <w:sz w:val="18"/>
          <w:szCs w:val="18"/>
          <w:b w:val="1"/>
          <w:bCs w:val="1"/>
          <w:color w:val="auto"/>
        </w:rPr>
      </w:pPr>
    </w:p>
    <w:p>
      <w:pPr>
        <w:ind w:left="1320" w:hanging="664"/>
        <w:spacing w:after="0"/>
        <w:tabs>
          <w:tab w:leader="none" w:pos="1320" w:val="left"/>
        </w:tabs>
        <w:numPr>
          <w:ilvl w:val="0"/>
          <w:numId w:val="4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Obligor engages in the Financing of Terrorism.</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17.13</w:t>
        <w:tab/>
        <w:t>Material Adverse Effect</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Any other event or series of events occurs which has or could reasonably be expected to have a Material Adverse Effect.</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17.14</w:t>
        <w:tab/>
        <w:t>Acceleration</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and at any time after the occurrence of an Event of Default which is continuing the Lender may by notice to the Borrower:</w:t>
      </w:r>
    </w:p>
    <w:p>
      <w:pPr>
        <w:spacing w:after="0" w:line="225" w:lineRule="exact"/>
        <w:rPr>
          <w:sz w:val="20"/>
          <w:szCs w:val="20"/>
          <w:color w:val="auto"/>
        </w:rPr>
      </w:pPr>
    </w:p>
    <w:p>
      <w:pPr>
        <w:ind w:left="1320" w:hanging="664"/>
        <w:spacing w:after="0"/>
        <w:tabs>
          <w:tab w:leader="none" w:pos="1320" w:val="left"/>
        </w:tabs>
        <w:numPr>
          <w:ilvl w:val="1"/>
          <w:numId w:val="4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cancel the Available Facility whereupon it shall immediately be cancelled; and/or</w:t>
      </w:r>
    </w:p>
    <w:p>
      <w:pPr>
        <w:spacing w:after="0" w:line="225" w:lineRule="exact"/>
        <w:rPr>
          <w:rFonts w:ascii="Times New Roman" w:cs="Times New Roman" w:eastAsia="Times New Roman" w:hAnsi="Times New Roman"/>
          <w:sz w:val="18"/>
          <w:szCs w:val="18"/>
          <w:b w:val="1"/>
          <w:bCs w:val="1"/>
          <w:color w:val="auto"/>
        </w:rPr>
      </w:pPr>
    </w:p>
    <w:p>
      <w:pPr>
        <w:ind w:left="1300" w:right="560" w:hanging="644"/>
        <w:spacing w:after="0" w:line="282" w:lineRule="auto"/>
        <w:tabs>
          <w:tab w:leader="none" w:pos="1317" w:val="left"/>
        </w:tabs>
        <w:numPr>
          <w:ilvl w:val="1"/>
          <w:numId w:val="4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declare that all or part of the Loan, together with accrued interest, and all other amounts accrued or outstanding under the Finance Documents be immediately due and payable, whereupon they shall become immediately due and payable on demand by the Lender.</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4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TO THE LENDER</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18.1</w:t>
      </w:r>
      <w:r>
        <w:rPr>
          <w:sz w:val="20"/>
          <w:szCs w:val="20"/>
          <w:color w:val="auto"/>
        </w:rPr>
        <w:tab/>
      </w:r>
      <w:r>
        <w:rPr>
          <w:rFonts w:ascii="Times New Roman" w:cs="Times New Roman" w:eastAsia="Times New Roman" w:hAnsi="Times New Roman"/>
          <w:sz w:val="18"/>
          <w:szCs w:val="18"/>
          <w:b w:val="1"/>
          <w:bCs w:val="1"/>
          <w:color w:val="auto"/>
        </w:rPr>
        <w:t>Assignments and transfers by the Lender</w:t>
      </w:r>
    </w:p>
    <w:p>
      <w:pPr>
        <w:spacing w:after="0" w:line="225" w:lineRule="exact"/>
        <w:rPr>
          <w:sz w:val="20"/>
          <w:szCs w:val="20"/>
          <w:color w:val="auto"/>
        </w:rPr>
      </w:pPr>
    </w:p>
    <w:p>
      <w:pPr>
        <w:ind w:left="1320" w:hanging="664"/>
        <w:spacing w:after="0"/>
        <w:tabs>
          <w:tab w:leader="none" w:pos="1320" w:val="left"/>
        </w:tabs>
        <w:numPr>
          <w:ilvl w:val="0"/>
          <w:numId w:val="4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this Clause 18, a Lender (the “</w:t>
      </w:r>
      <w:r>
        <w:rPr>
          <w:rFonts w:ascii="Times New Roman" w:cs="Times New Roman" w:eastAsia="Times New Roman" w:hAnsi="Times New Roman"/>
          <w:sz w:val="18"/>
          <w:szCs w:val="18"/>
          <w:b w:val="1"/>
          <w:bCs w:val="1"/>
          <w:color w:val="auto"/>
        </w:rPr>
        <w:t>Existing Lender</w:t>
      </w:r>
      <w:r>
        <w:rPr>
          <w:rFonts w:ascii="Times New Roman" w:cs="Times New Roman" w:eastAsia="Times New Roman" w:hAnsi="Times New Roman"/>
          <w:sz w:val="18"/>
          <w:szCs w:val="18"/>
          <w:color w:val="auto"/>
        </w:rPr>
        <w:t>”) may:</w:t>
      </w:r>
    </w:p>
    <w:p>
      <w:pPr>
        <w:spacing w:after="0" w:line="22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 assign any of its rights; or</w:t>
      </w:r>
    </w:p>
    <w:p>
      <w:pPr>
        <w:sectPr>
          <w:pgSz w:w="11900" w:h="16838" w:orient="portrait"/>
          <w:cols w:equalWidth="0" w:num="1">
            <w:col w:w="11380"/>
          </w:cols>
          <w:pgMar w:left="240" w:top="334" w:right="279" w:bottom="0" w:gutter="0" w:footer="0" w:header="0"/>
        </w:sectPr>
      </w:pPr>
    </w:p>
    <w:bookmarkStart w:id="210" w:name="page211"/>
    <w:bookmarkEnd w:id="210"/>
    <w:p>
      <w:pPr>
        <w:spacing w:after="0" w:line="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transfer by novation any of its rights and obligations,</w:t>
      </w:r>
    </w:p>
    <w:p>
      <w:pPr>
        <w:spacing w:after="0" w:line="225" w:lineRule="exact"/>
        <w:rPr>
          <w:sz w:val="20"/>
          <w:szCs w:val="20"/>
          <w:color w:val="auto"/>
        </w:rPr>
      </w:pPr>
    </w:p>
    <w:p>
      <w:pPr>
        <w:ind w:left="1300"/>
        <w:spacing w:after="0" w:line="266" w:lineRule="auto"/>
        <w:rPr>
          <w:sz w:val="20"/>
          <w:szCs w:val="20"/>
          <w:color w:val="auto"/>
        </w:rPr>
      </w:pPr>
      <w:r>
        <w:rPr>
          <w:rFonts w:ascii="Times New Roman" w:cs="Times New Roman" w:eastAsia="Times New Roman" w:hAnsi="Times New Roman"/>
          <w:sz w:val="18"/>
          <w:szCs w:val="18"/>
          <w:color w:val="auto"/>
        </w:rPr>
        <w:t>under the Finance Documents to any bank or financial institution or to a trust, fund or other entity which is regularly engaged in or established for the purpose of making, purchasing or investing in loans, securities or other financial assets or to any other person (the “</w:t>
      </w:r>
      <w:r>
        <w:rPr>
          <w:rFonts w:ascii="Times New Roman" w:cs="Times New Roman" w:eastAsia="Times New Roman" w:hAnsi="Times New Roman"/>
          <w:sz w:val="18"/>
          <w:szCs w:val="18"/>
          <w:b w:val="1"/>
          <w:b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300" w:right="40" w:hanging="644"/>
        <w:spacing w:after="0" w:line="258" w:lineRule="auto"/>
        <w:tabs>
          <w:tab w:leader="none" w:pos="1317" w:val="left"/>
        </w:tabs>
        <w:numPr>
          <w:ilvl w:val="0"/>
          <w:numId w:val="4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consent of the Borrower shall be required for any assignment or transfer pursuant to paragraph (a) above, in each case, unless the relevant assignment or transfer is (i) to an Affiliate of the Lender or (ii) made at a time when an Event of Default is occurring. The consent of the Borrower to a transfer or assignment must not be unreasonably withheld or delayed. The Borrower will be deemed to have given its consent five (5) Business Days after the Existing Lender has requested it unless consent is expressly refused by the Borrower within that time.</w:t>
      </w:r>
    </w:p>
    <w:p>
      <w:pPr>
        <w:spacing w:after="0" w:line="1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80" w:hanging="644"/>
        <w:spacing w:after="0" w:line="282" w:lineRule="auto"/>
        <w:tabs>
          <w:tab w:leader="none" w:pos="1310" w:val="left"/>
        </w:tabs>
        <w:numPr>
          <w:ilvl w:val="0"/>
          <w:numId w:val="4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assignment will be effective only on receipt by the Existing Lender of written confirmation from the New Lender that the New Lender will assume the same obligations as it would have been under if it was the Existing Lender.</w:t>
      </w:r>
    </w:p>
    <w:p>
      <w:pPr>
        <w:spacing w:after="0" w:line="159" w:lineRule="exact"/>
        <w:rPr>
          <w:rFonts w:ascii="Times New Roman" w:cs="Times New Roman" w:eastAsia="Times New Roman" w:hAnsi="Times New Roman"/>
          <w:sz w:val="18"/>
          <w:szCs w:val="18"/>
          <w:b w:val="1"/>
          <w:bCs w:val="1"/>
          <w:color w:val="auto"/>
        </w:rPr>
      </w:pPr>
    </w:p>
    <w:p>
      <w:pPr>
        <w:ind w:left="1320" w:hanging="664"/>
        <w:spacing w:after="0"/>
        <w:tabs>
          <w:tab w:leader="none" w:pos="1320" w:val="left"/>
        </w:tabs>
        <w:numPr>
          <w:ilvl w:val="0"/>
          <w:numId w:val="4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transfer will be effective only if the procedure set out in Clause 18.3 (</w:t>
      </w:r>
      <w:r>
        <w:rPr>
          <w:rFonts w:ascii="Times New Roman" w:cs="Times New Roman" w:eastAsia="Times New Roman" w:hAnsi="Times New Roman"/>
          <w:sz w:val="18"/>
          <w:szCs w:val="18"/>
          <w:i w:val="1"/>
          <w:iCs w:val="1"/>
          <w:color w:val="auto"/>
        </w:rPr>
        <w:t>Procedure for transfer</w:t>
      </w:r>
      <w:r>
        <w:rPr>
          <w:rFonts w:ascii="Times New Roman" w:cs="Times New Roman" w:eastAsia="Times New Roman" w:hAnsi="Times New Roman"/>
          <w:sz w:val="18"/>
          <w:szCs w:val="18"/>
          <w:color w:val="auto"/>
        </w:rPr>
        <w:t>) is complied with.</w:t>
      </w:r>
    </w:p>
    <w:p>
      <w:pPr>
        <w:spacing w:after="0" w:line="22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18.2</w:t>
      </w:r>
      <w:r>
        <w:rPr>
          <w:sz w:val="20"/>
          <w:szCs w:val="20"/>
          <w:color w:val="auto"/>
        </w:rPr>
        <w:tab/>
      </w:r>
      <w:r>
        <w:rPr>
          <w:rFonts w:ascii="Times New Roman" w:cs="Times New Roman" w:eastAsia="Times New Roman" w:hAnsi="Times New Roman"/>
          <w:sz w:val="18"/>
          <w:szCs w:val="18"/>
          <w:b w:val="1"/>
          <w:bCs w:val="1"/>
          <w:color w:val="auto"/>
        </w:rPr>
        <w:t>Limitation of responsibility of Existing Lender</w:t>
      </w:r>
    </w:p>
    <w:p>
      <w:pPr>
        <w:spacing w:after="0" w:line="229" w:lineRule="exact"/>
        <w:rPr>
          <w:sz w:val="20"/>
          <w:szCs w:val="20"/>
          <w:color w:val="auto"/>
        </w:rPr>
      </w:pPr>
    </w:p>
    <w:p>
      <w:pPr>
        <w:ind w:left="1300" w:right="120" w:hanging="644"/>
        <w:spacing w:after="0" w:line="282" w:lineRule="auto"/>
        <w:tabs>
          <w:tab w:leader="none" w:pos="1307" w:val="left"/>
        </w:tabs>
        <w:numPr>
          <w:ilvl w:val="0"/>
          <w:numId w:val="4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expressly agreed to the contrary, the Existing Lender makes no representation or warranty and assumes no responsibility to a New Lender for:</w:t>
      </w:r>
    </w:p>
    <w:p>
      <w:pPr>
        <w:spacing w:after="0" w:line="161" w:lineRule="exact"/>
        <w:rPr>
          <w:rFonts w:ascii="Times New Roman" w:cs="Times New Roman" w:eastAsia="Times New Roman" w:hAnsi="Times New Roman"/>
          <w:sz w:val="18"/>
          <w:szCs w:val="18"/>
          <w:b w:val="1"/>
          <w:bCs w:val="1"/>
          <w:color w:val="auto"/>
        </w:rPr>
      </w:pPr>
    </w:p>
    <w:p>
      <w:pPr>
        <w:ind w:left="1980" w:hanging="675"/>
        <w:spacing w:after="0"/>
        <w:tabs>
          <w:tab w:leader="none" w:pos="1980" w:val="left"/>
        </w:tabs>
        <w:numPr>
          <w:ilvl w:val="1"/>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legality, validity, effectiveness, adequacy or enforceability of the Finance Documents or any other documents;</w:t>
      </w:r>
    </w:p>
    <w:p>
      <w:pPr>
        <w:spacing w:after="0" w:line="225"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any Obligor;</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1"/>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observance by any Obligor of its obligations under the Finance Documents or any other documents; or</w:t>
      </w:r>
    </w:p>
    <w:p>
      <w:pPr>
        <w:spacing w:after="0" w:line="225" w:lineRule="exact"/>
        <w:rPr>
          <w:rFonts w:ascii="Times New Roman" w:cs="Times New Roman" w:eastAsia="Times New Roman" w:hAnsi="Times New Roman"/>
          <w:sz w:val="18"/>
          <w:szCs w:val="18"/>
          <w:color w:val="auto"/>
        </w:rPr>
      </w:pPr>
    </w:p>
    <w:p>
      <w:pPr>
        <w:ind w:left="1960" w:right="520" w:hanging="655"/>
        <w:spacing w:after="0" w:line="282" w:lineRule="auto"/>
        <w:tabs>
          <w:tab w:leader="none" w:pos="1977" w:val="left"/>
        </w:tabs>
        <w:numPr>
          <w:ilvl w:val="1"/>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any statements (whether written or oral) made in or in connection with any Finance Document or any other document,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 any representations or warranties implied by law are excluded.</w:t>
      </w:r>
    </w:p>
    <w:p>
      <w:pPr>
        <w:spacing w:after="0" w:line="225" w:lineRule="exact"/>
        <w:rPr>
          <w:sz w:val="20"/>
          <w:szCs w:val="20"/>
          <w:color w:val="auto"/>
        </w:rPr>
      </w:pPr>
    </w:p>
    <w:p>
      <w:pPr>
        <w:ind w:left="1320" w:hanging="664"/>
        <w:spacing w:after="0"/>
        <w:tabs>
          <w:tab w:leader="none" w:pos="1320" w:val="left"/>
        </w:tabs>
        <w:numPr>
          <w:ilvl w:val="0"/>
          <w:numId w:val="4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New Lender confirms to the Existing Lender that it:</w:t>
      </w:r>
    </w:p>
    <w:p>
      <w:pPr>
        <w:spacing w:after="0" w:line="225" w:lineRule="exact"/>
        <w:rPr>
          <w:rFonts w:ascii="Times New Roman" w:cs="Times New Roman" w:eastAsia="Times New Roman" w:hAnsi="Times New Roman"/>
          <w:sz w:val="18"/>
          <w:szCs w:val="18"/>
          <w:b w:val="1"/>
          <w:bCs w:val="1"/>
          <w:color w:val="auto"/>
        </w:rPr>
      </w:pPr>
    </w:p>
    <w:p>
      <w:pPr>
        <w:ind w:left="1960" w:right="120" w:hanging="655"/>
        <w:spacing w:after="0" w:line="266" w:lineRule="auto"/>
        <w:tabs>
          <w:tab w:leader="none" w:pos="1981" w:val="left"/>
        </w:tabs>
        <w:numPr>
          <w:ilvl w:val="1"/>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made (and shall continue to make) its own independent investigation and assessment of the financial condition and affairs of each Obligor and its related entities in connection with its participation in this Agreement and has not relied exclusively on any information provided to it by the Existing Lender in connection with any Finance Document; and</w:t>
      </w:r>
    </w:p>
    <w:p>
      <w:pPr>
        <w:spacing w:after="0" w:line="176" w:lineRule="exact"/>
        <w:rPr>
          <w:rFonts w:ascii="Times New Roman" w:cs="Times New Roman" w:eastAsia="Times New Roman" w:hAnsi="Times New Roman"/>
          <w:sz w:val="18"/>
          <w:szCs w:val="18"/>
          <w:color w:val="auto"/>
        </w:rPr>
      </w:pPr>
    </w:p>
    <w:p>
      <w:pPr>
        <w:ind w:left="1960" w:right="320" w:hanging="655"/>
        <w:spacing w:after="0" w:line="282" w:lineRule="auto"/>
        <w:tabs>
          <w:tab w:leader="none" w:pos="1991" w:val="left"/>
        </w:tabs>
        <w:numPr>
          <w:ilvl w:val="1"/>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continue to make its own independent appraisal of the creditworthiness of each Obligor and its related entities whilst any amount is or may be outstanding under the Finance Documents.</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4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Nothing in any Finance Document obliges the Existing Lender to:</w:t>
      </w:r>
    </w:p>
    <w:p>
      <w:pPr>
        <w:spacing w:after="0" w:line="225" w:lineRule="exact"/>
        <w:rPr>
          <w:rFonts w:ascii="Times New Roman" w:cs="Times New Roman" w:eastAsia="Times New Roman" w:hAnsi="Times New Roman"/>
          <w:sz w:val="18"/>
          <w:szCs w:val="18"/>
          <w:b w:val="1"/>
          <w:bCs w:val="1"/>
          <w:color w:val="auto"/>
        </w:rPr>
      </w:pPr>
    </w:p>
    <w:p>
      <w:pPr>
        <w:ind w:left="1980" w:hanging="675"/>
        <w:spacing w:after="0"/>
        <w:tabs>
          <w:tab w:leader="none" w:pos="1980" w:val="left"/>
        </w:tabs>
        <w:numPr>
          <w:ilvl w:val="1"/>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a re-transfer from a New Lender of any of the rights and obligations assigned or transferred under this Clause 18; or</w:t>
      </w:r>
    </w:p>
    <w:p>
      <w:pPr>
        <w:spacing w:after="0" w:line="225" w:lineRule="exact"/>
        <w:rPr>
          <w:rFonts w:ascii="Times New Roman" w:cs="Times New Roman" w:eastAsia="Times New Roman" w:hAnsi="Times New Roman"/>
          <w:sz w:val="18"/>
          <w:szCs w:val="18"/>
          <w:color w:val="auto"/>
        </w:rPr>
      </w:pPr>
    </w:p>
    <w:p>
      <w:pPr>
        <w:ind w:left="1960" w:right="400" w:hanging="655"/>
        <w:spacing w:after="0" w:line="282" w:lineRule="auto"/>
        <w:tabs>
          <w:tab w:leader="none" w:pos="1991" w:val="left"/>
        </w:tabs>
        <w:numPr>
          <w:ilvl w:val="1"/>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any losses directly or indirectly incurred by the New Lender by reason of the non-performance by any Obligor of its obligations under the Finance Documents or otherwise.</w:t>
      </w:r>
    </w:p>
    <w:p>
      <w:pPr>
        <w:spacing w:after="0" w:line="161" w:lineRule="exact"/>
        <w:rPr>
          <w:rFonts w:ascii="Times New Roman" w:cs="Times New Roman" w:eastAsia="Times New Roman" w:hAnsi="Times New Roman"/>
          <w:sz w:val="18"/>
          <w:szCs w:val="18"/>
          <w:color w:val="auto"/>
        </w:rPr>
      </w:pPr>
    </w:p>
    <w:p>
      <w:pPr>
        <w:jc w:val="both"/>
        <w:ind w:left="1300" w:right="120" w:hanging="644"/>
        <w:spacing w:after="0" w:line="266" w:lineRule="auto"/>
        <w:tabs>
          <w:tab w:leader="none" w:pos="1317" w:val="left"/>
        </w:tabs>
        <w:numPr>
          <w:ilvl w:val="0"/>
          <w:numId w:val="4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relation to any assignment or transfer by the Existing Lender under this Clause 18, the relevant New Lender agrees to be bound by any consent, waiver or decision given or made by the Existing Lender in connection with the Finance Documents prior to such assignment or transfer.</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18.3</w:t>
      </w:r>
      <w:r>
        <w:rPr>
          <w:sz w:val="20"/>
          <w:szCs w:val="20"/>
          <w:color w:val="auto"/>
        </w:rPr>
        <w:tab/>
      </w:r>
      <w:r>
        <w:rPr>
          <w:rFonts w:ascii="Times New Roman" w:cs="Times New Roman" w:eastAsia="Times New Roman" w:hAnsi="Times New Roman"/>
          <w:sz w:val="18"/>
          <w:szCs w:val="18"/>
          <w:b w:val="1"/>
          <w:bCs w:val="1"/>
          <w:color w:val="auto"/>
        </w:rPr>
        <w:t>Procedure for transfer</w:t>
      </w:r>
    </w:p>
    <w:p>
      <w:pPr>
        <w:spacing w:after="0" w:line="229" w:lineRule="exact"/>
        <w:rPr>
          <w:sz w:val="20"/>
          <w:szCs w:val="20"/>
          <w:color w:val="auto"/>
        </w:rPr>
      </w:pPr>
    </w:p>
    <w:p>
      <w:pPr>
        <w:ind w:left="1300" w:right="20" w:hanging="644"/>
        <w:spacing w:after="0" w:line="282" w:lineRule="auto"/>
        <w:tabs>
          <w:tab w:leader="none" w:pos="1307" w:val="left"/>
        </w:tabs>
        <w:numPr>
          <w:ilvl w:val="0"/>
          <w:numId w:val="4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conditions set out in sub-clauses (c) and (d), a transfer is effected in accordance with sub-clause (b) below when the Existing Lender and the New Lender execute a duly completed Transfer Certificate or any other form of document agreed between them.</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4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the Transfer Date:</w:t>
      </w:r>
    </w:p>
    <w:p>
      <w:pPr>
        <w:spacing w:after="0" w:line="225" w:lineRule="exact"/>
        <w:rPr>
          <w:rFonts w:ascii="Times New Roman" w:cs="Times New Roman" w:eastAsia="Times New Roman" w:hAnsi="Times New Roman"/>
          <w:sz w:val="18"/>
          <w:szCs w:val="18"/>
          <w:b w:val="1"/>
          <w:bCs w:val="1"/>
          <w:color w:val="auto"/>
        </w:rPr>
      </w:pPr>
    </w:p>
    <w:p>
      <w:pPr>
        <w:ind w:left="1960" w:right="140" w:hanging="655"/>
        <w:spacing w:after="0" w:line="261" w:lineRule="auto"/>
        <w:tabs>
          <w:tab w:leader="none" w:pos="1981" w:val="left"/>
        </w:tabs>
        <w:numPr>
          <w:ilvl w:val="1"/>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in the Transfer Certificate the Existing Lender seeks to transfer by novation its rights and obligations under the Finance Documents each of the Obligors and the Existing Lender shall be released from further obligations towards one another under the Finance Documents and their respective rights against one another shall be cancelled (being the “</w:t>
      </w:r>
      <w:r>
        <w:rPr>
          <w:rFonts w:ascii="Times New Roman" w:cs="Times New Roman" w:eastAsia="Times New Roman" w:hAnsi="Times New Roman"/>
          <w:sz w:val="18"/>
          <w:szCs w:val="18"/>
          <w:b w:val="1"/>
          <w:bCs w:val="1"/>
          <w:color w:val="auto"/>
        </w:rPr>
        <w:t>Discharged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Obligations</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left="1960" w:right="100" w:hanging="655"/>
        <w:spacing w:after="0" w:line="266" w:lineRule="auto"/>
        <w:tabs>
          <w:tab w:leader="none" w:pos="1991" w:val="left"/>
        </w:tabs>
        <w:numPr>
          <w:ilvl w:val="1"/>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Obligors and the New Lender shall assume obligations towards one another and/or acquire rights against one another which differ from the Discharged Rights and Obligations only insofar as that Obligor and the New Lender have assumed and/or acquired the same in place of that Obligor and the Existing Lender;</w:t>
      </w:r>
    </w:p>
    <w:p>
      <w:pPr>
        <w:sectPr>
          <w:pgSz w:w="11900" w:h="16919" w:orient="portrait"/>
          <w:cols w:equalWidth="0" w:num="1">
            <w:col w:w="11340"/>
          </w:cols>
          <w:pgMar w:left="240" w:top="121" w:right="319" w:bottom="0" w:gutter="0" w:footer="0" w:header="0"/>
        </w:sectPr>
      </w:pPr>
    </w:p>
    <w:bookmarkStart w:id="211" w:name="page212"/>
    <w:bookmarkEnd w:id="211"/>
    <w:p>
      <w:pPr>
        <w:spacing w:after="0" w:line="21" w:lineRule="exact"/>
        <w:rPr>
          <w:sz w:val="20"/>
          <w:szCs w:val="20"/>
          <w:color w:val="auto"/>
        </w:rPr>
      </w:pPr>
    </w:p>
    <w:p>
      <w:pPr>
        <w:ind w:left="1960" w:right="80" w:hanging="655"/>
        <w:spacing w:after="0" w:line="266" w:lineRule="auto"/>
        <w:tabs>
          <w:tab w:leader="none" w:pos="2000"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shall acquire the same rights and assume the same obligations as it would have acquired and assumed had the New Lender been the Existing Lender with the rights and/or obligations acquired or assumed by it as a result of the transfer and to that extent the Existing Lender shall be released from further obligations under this Agreement; and</w:t>
      </w:r>
    </w:p>
    <w:p>
      <w:pPr>
        <w:spacing w:after="0" w:line="176"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shall become a Party as a “Lender”.</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18.4</w:t>
      </w:r>
      <w:r>
        <w:rPr>
          <w:sz w:val="20"/>
          <w:szCs w:val="20"/>
          <w:color w:val="auto"/>
        </w:rPr>
        <w:tab/>
      </w:r>
      <w:r>
        <w:rPr>
          <w:rFonts w:ascii="Times New Roman" w:cs="Times New Roman" w:eastAsia="Times New Roman" w:hAnsi="Times New Roman"/>
          <w:sz w:val="17"/>
          <w:szCs w:val="17"/>
          <w:b w:val="1"/>
          <w:bCs w:val="1"/>
          <w:color w:val="auto"/>
        </w:rPr>
        <w:t>Copy of Transfer Certificate to Borrower</w:t>
      </w:r>
    </w:p>
    <w:p>
      <w:pPr>
        <w:spacing w:after="0" w:line="229" w:lineRule="exact"/>
        <w:rPr>
          <w:sz w:val="20"/>
          <w:szCs w:val="20"/>
          <w:color w:val="auto"/>
        </w:rPr>
      </w:pPr>
    </w:p>
    <w:p>
      <w:pPr>
        <w:ind w:left="640" w:right="720"/>
        <w:spacing w:after="0" w:line="282" w:lineRule="auto"/>
        <w:rPr>
          <w:sz w:val="20"/>
          <w:szCs w:val="20"/>
          <w:color w:val="auto"/>
        </w:rPr>
      </w:pPr>
      <w:r>
        <w:rPr>
          <w:rFonts w:ascii="Times New Roman" w:cs="Times New Roman" w:eastAsia="Times New Roman" w:hAnsi="Times New Roman"/>
          <w:sz w:val="18"/>
          <w:szCs w:val="18"/>
          <w:color w:val="auto"/>
        </w:rPr>
        <w:t>The Lender shall, as soon as reasonably practicable after it has executed a Transfer Certificate, send to the Borrower a copy of that Transfer Certificate.</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18.5</w:t>
      </w:r>
      <w:r>
        <w:rPr>
          <w:sz w:val="20"/>
          <w:szCs w:val="20"/>
          <w:color w:val="auto"/>
        </w:rPr>
        <w:tab/>
      </w:r>
      <w:r>
        <w:rPr>
          <w:rFonts w:ascii="Times New Roman" w:cs="Times New Roman" w:eastAsia="Times New Roman" w:hAnsi="Times New Roman"/>
          <w:sz w:val="18"/>
          <w:szCs w:val="18"/>
          <w:b w:val="1"/>
          <w:bCs w:val="1"/>
          <w:color w:val="auto"/>
        </w:rPr>
        <w:t>Existing consents and waivers</w:t>
      </w:r>
    </w:p>
    <w:p>
      <w:pPr>
        <w:spacing w:after="0" w:line="229" w:lineRule="exact"/>
        <w:rPr>
          <w:sz w:val="20"/>
          <w:szCs w:val="20"/>
          <w:color w:val="auto"/>
        </w:rPr>
      </w:pPr>
    </w:p>
    <w:p>
      <w:pPr>
        <w:ind w:left="660" w:right="200"/>
        <w:spacing w:after="0" w:line="282" w:lineRule="auto"/>
        <w:rPr>
          <w:sz w:val="20"/>
          <w:szCs w:val="20"/>
          <w:color w:val="auto"/>
        </w:rPr>
      </w:pPr>
      <w:r>
        <w:rPr>
          <w:rFonts w:ascii="Times New Roman" w:cs="Times New Roman" w:eastAsia="Times New Roman" w:hAnsi="Times New Roman"/>
          <w:sz w:val="18"/>
          <w:szCs w:val="18"/>
          <w:color w:val="auto"/>
        </w:rPr>
        <w:t>A New Lender shall be bound by any consent, waiver, election or decision given or made by the relevant Existing Lender under or pursuant to any Finance Document prior to the coming into effect of the relevant assignment or transfer to such New Lender.</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18.6</w:t>
      </w:r>
      <w:r>
        <w:rPr>
          <w:sz w:val="20"/>
          <w:szCs w:val="20"/>
          <w:color w:val="auto"/>
        </w:rPr>
        <w:tab/>
      </w:r>
      <w:r>
        <w:rPr>
          <w:rFonts w:ascii="Times New Roman" w:cs="Times New Roman" w:eastAsia="Times New Roman" w:hAnsi="Times New Roman"/>
          <w:sz w:val="17"/>
          <w:szCs w:val="17"/>
          <w:b w:val="1"/>
          <w:bCs w:val="1"/>
          <w:color w:val="auto"/>
        </w:rPr>
        <w:t>Exclusion of liability</w:t>
      </w:r>
    </w:p>
    <w:p>
      <w:pPr>
        <w:spacing w:after="0" w:line="229" w:lineRule="exact"/>
        <w:rPr>
          <w:sz w:val="20"/>
          <w:szCs w:val="20"/>
          <w:color w:val="auto"/>
        </w:rPr>
      </w:pPr>
    </w:p>
    <w:p>
      <w:pPr>
        <w:ind w:left="660" w:right="280"/>
        <w:spacing w:after="0" w:line="282" w:lineRule="auto"/>
        <w:rPr>
          <w:sz w:val="20"/>
          <w:szCs w:val="20"/>
          <w:color w:val="auto"/>
        </w:rPr>
      </w:pPr>
      <w:r>
        <w:rPr>
          <w:rFonts w:ascii="Times New Roman" w:cs="Times New Roman" w:eastAsia="Times New Roman" w:hAnsi="Times New Roman"/>
          <w:sz w:val="18"/>
          <w:szCs w:val="18"/>
          <w:color w:val="auto"/>
        </w:rPr>
        <w:t>In relation to any assignment or transfer pursuant to this Clause 18, the Borrower acknowledges and agrees that the Lender shall not be obliged to enquire as to the accuracy of any representation or warranty made by a New Lender in respect of its eligibility as a Lender.</w:t>
      </w:r>
    </w:p>
    <w:p>
      <w:pPr>
        <w:spacing w:after="0" w:line="158" w:lineRule="exact"/>
        <w:rPr>
          <w:sz w:val="20"/>
          <w:szCs w:val="20"/>
          <w:color w:val="auto"/>
        </w:rPr>
      </w:pPr>
    </w:p>
    <w:p>
      <w:pPr>
        <w:ind w:left="660" w:hanging="652"/>
        <w:spacing w:after="0"/>
        <w:tabs>
          <w:tab w:leader="none" w:pos="660" w:val="left"/>
        </w:tabs>
        <w:numPr>
          <w:ilvl w:val="0"/>
          <w:numId w:val="4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TO THE OBLIGORS</w:t>
      </w:r>
    </w:p>
    <w:p>
      <w:pPr>
        <w:spacing w:after="0" w:line="229" w:lineRule="exact"/>
        <w:rPr>
          <w:rFonts w:ascii="Times New Roman" w:cs="Times New Roman" w:eastAsia="Times New Roman" w:hAnsi="Times New Roman"/>
          <w:sz w:val="18"/>
          <w:szCs w:val="18"/>
          <w:b w:val="1"/>
          <w:bCs w:val="1"/>
          <w:color w:val="auto"/>
        </w:rPr>
      </w:pPr>
    </w:p>
    <w:p>
      <w:pPr>
        <w:ind w:left="660" w:righ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Obligor may not assign or transfer any of its rights or obligations under any Finance Document, except with the prior written consent of the Lender.</w:t>
      </w:r>
    </w:p>
    <w:p>
      <w:pPr>
        <w:spacing w:after="0" w:line="157" w:lineRule="exact"/>
        <w:rPr>
          <w:rFonts w:ascii="Times New Roman" w:cs="Times New Roman" w:eastAsia="Times New Roman" w:hAnsi="Times New Roman"/>
          <w:sz w:val="18"/>
          <w:szCs w:val="18"/>
          <w:b w:val="1"/>
          <w:bCs w:val="1"/>
          <w:color w:val="auto"/>
        </w:rPr>
      </w:pPr>
    </w:p>
    <w:p>
      <w:pPr>
        <w:ind w:left="640" w:right="7940" w:hanging="632"/>
        <w:spacing w:after="0" w:line="533" w:lineRule="auto"/>
        <w:tabs>
          <w:tab w:leader="none" w:pos="645" w:val="left"/>
        </w:tabs>
        <w:numPr>
          <w:ilvl w:val="0"/>
          <w:numId w:val="4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DISCLOSURE OF INFORMATION </w:t>
      </w:r>
      <w:r>
        <w:rPr>
          <w:rFonts w:ascii="Times New Roman" w:cs="Times New Roman" w:eastAsia="Times New Roman" w:hAnsi="Times New Roman"/>
          <w:sz w:val="17"/>
          <w:szCs w:val="17"/>
          <w:color w:val="auto"/>
        </w:rPr>
        <w:t>The Lender may disclose to:</w:t>
      </w:r>
    </w:p>
    <w:p>
      <w:pPr>
        <w:ind w:left="1320" w:hanging="664"/>
        <w:spacing w:after="0"/>
        <w:tabs>
          <w:tab w:leader="none" w:pos="1320" w:val="left"/>
        </w:tabs>
        <w:numPr>
          <w:ilvl w:val="1"/>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its Affiliates;</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head office, its other branch, and its associated companies;</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its professional advisers and other persons providing services to it;</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permitted by any Obligor;</w:t>
      </w:r>
    </w:p>
    <w:p>
      <w:pPr>
        <w:spacing w:after="0" w:line="225" w:lineRule="exact"/>
        <w:rPr>
          <w:rFonts w:ascii="Times New Roman" w:cs="Times New Roman" w:eastAsia="Times New Roman" w:hAnsi="Times New Roman"/>
          <w:sz w:val="18"/>
          <w:szCs w:val="18"/>
          <w:color w:val="auto"/>
        </w:rPr>
      </w:pPr>
    </w:p>
    <w:p>
      <w:pPr>
        <w:ind w:left="1300" w:right="500" w:hanging="644"/>
        <w:spacing w:after="0" w:line="282" w:lineRule="auto"/>
        <w:tabs>
          <w:tab w:leader="none" w:pos="1317"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to whom, and to the extent that, information is required to be disclosed by any applicable law or regulation or rules of any securities exchange on which any security of the Lender or any of its Affiliates is listed; and</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w:t>
      </w:r>
    </w:p>
    <w:p>
      <w:pPr>
        <w:spacing w:after="0" w:line="225" w:lineRule="exact"/>
        <w:rPr>
          <w:rFonts w:ascii="Times New Roman" w:cs="Times New Roman" w:eastAsia="Times New Roman" w:hAnsi="Times New Roman"/>
          <w:sz w:val="18"/>
          <w:szCs w:val="18"/>
          <w:color w:val="auto"/>
        </w:rPr>
      </w:pPr>
    </w:p>
    <w:p>
      <w:pPr>
        <w:ind w:left="1860" w:right="260" w:hanging="555"/>
        <w:spacing w:after="0" w:line="282" w:lineRule="auto"/>
        <w:tabs>
          <w:tab w:leader="none" w:pos="1854"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whom the Lender assigns or transfers (or may potentially assign or transfer) all or any of its rights and obligations under this Agreement;</w:t>
      </w:r>
    </w:p>
    <w:p>
      <w:pPr>
        <w:spacing w:after="0" w:line="161" w:lineRule="exact"/>
        <w:rPr>
          <w:rFonts w:ascii="Times New Roman" w:cs="Times New Roman" w:eastAsia="Times New Roman" w:hAnsi="Times New Roman"/>
          <w:sz w:val="18"/>
          <w:szCs w:val="18"/>
          <w:color w:val="auto"/>
        </w:rPr>
      </w:pPr>
    </w:p>
    <w:p>
      <w:pPr>
        <w:ind w:left="1860" w:right="500" w:hanging="555"/>
        <w:spacing w:after="0" w:line="282" w:lineRule="auto"/>
        <w:tabs>
          <w:tab w:leader="none" w:pos="1864"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(or through) whom the Lender enters into (or may potentially enter into) any sub-participation in relation to, or any other transaction under which payments are to be made by reference to, this Agreement or any Obligor;</w:t>
      </w:r>
    </w:p>
    <w:p>
      <w:pPr>
        <w:spacing w:after="0" w:line="161" w:lineRule="exact"/>
        <w:rPr>
          <w:rFonts w:ascii="Times New Roman" w:cs="Times New Roman" w:eastAsia="Times New Roman" w:hAnsi="Times New Roman"/>
          <w:sz w:val="18"/>
          <w:szCs w:val="18"/>
          <w:color w:val="auto"/>
        </w:rPr>
      </w:pPr>
    </w:p>
    <w:p>
      <w:pPr>
        <w:ind w:left="1860" w:right="580" w:hanging="555"/>
        <w:spacing w:after="0" w:line="282" w:lineRule="auto"/>
        <w:tabs>
          <w:tab w:leader="none" w:pos="1867"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by a person to whom paragraph (G)(a) or (G)(b) above applies to receive communications, notices, information or documents delivered pursuant to the Finance Documents on its behalf;</w:t>
      </w:r>
    </w:p>
    <w:p>
      <w:pPr>
        <w:spacing w:after="0" w:line="161" w:lineRule="exact"/>
        <w:rPr>
          <w:rFonts w:ascii="Times New Roman" w:cs="Times New Roman" w:eastAsia="Times New Roman" w:hAnsi="Times New Roman"/>
          <w:sz w:val="18"/>
          <w:szCs w:val="18"/>
          <w:color w:val="auto"/>
        </w:rPr>
      </w:pPr>
    </w:p>
    <w:p>
      <w:pPr>
        <w:ind w:left="1860" w:right="520" w:hanging="555"/>
        <w:spacing w:after="0" w:line="282" w:lineRule="auto"/>
        <w:tabs>
          <w:tab w:leader="none" w:pos="1864"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invests in or otherwise finances (or may potentially invest in or otherwise finance), directly or indirectly, any transaction referred to in paragraph (G)(a) or (G)(b) above;</w:t>
      </w:r>
    </w:p>
    <w:p>
      <w:pPr>
        <w:spacing w:after="0" w:line="161" w:lineRule="exact"/>
        <w:rPr>
          <w:rFonts w:ascii="Times New Roman" w:cs="Times New Roman" w:eastAsia="Times New Roman" w:hAnsi="Times New Roman"/>
          <w:sz w:val="18"/>
          <w:szCs w:val="18"/>
          <w:color w:val="auto"/>
        </w:rPr>
      </w:pPr>
    </w:p>
    <w:p>
      <w:pPr>
        <w:jc w:val="both"/>
        <w:ind w:left="1860" w:right="120" w:hanging="555"/>
        <w:spacing w:after="0" w:line="266" w:lineRule="auto"/>
        <w:tabs>
          <w:tab w:leader="none" w:pos="1867"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spacing w:after="0" w:line="176" w:lineRule="exact"/>
        <w:rPr>
          <w:rFonts w:ascii="Times New Roman" w:cs="Times New Roman" w:eastAsia="Times New Roman" w:hAnsi="Times New Roman"/>
          <w:sz w:val="18"/>
          <w:szCs w:val="18"/>
          <w:color w:val="auto"/>
        </w:rPr>
      </w:pPr>
    </w:p>
    <w:p>
      <w:pPr>
        <w:ind w:left="1860" w:right="1040" w:hanging="555"/>
        <w:spacing w:after="0" w:line="282" w:lineRule="auto"/>
        <w:tabs>
          <w:tab w:leader="none" w:pos="1861"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whom information is required to be disclosed in connection with, and for the purposes of, any litigation, arbitration, administrative or other investigations, proceedings or disputes; or</w:t>
      </w:r>
    </w:p>
    <w:p>
      <w:pPr>
        <w:spacing w:after="0" w:line="161" w:lineRule="exact"/>
        <w:rPr>
          <w:rFonts w:ascii="Times New Roman" w:cs="Times New Roman" w:eastAsia="Times New Roman" w:hAnsi="Times New Roman"/>
          <w:sz w:val="18"/>
          <w:szCs w:val="18"/>
          <w:color w:val="auto"/>
        </w:rPr>
      </w:pPr>
    </w:p>
    <w:p>
      <w:pPr>
        <w:ind w:left="1880" w:hanging="575"/>
        <w:spacing w:after="0"/>
        <w:tabs>
          <w:tab w:leader="none" w:pos="1880"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Obligors,</w:t>
      </w:r>
    </w:p>
    <w:p>
      <w:pPr>
        <w:spacing w:after="0" w:line="225" w:lineRule="exact"/>
        <w:rPr>
          <w:sz w:val="20"/>
          <w:szCs w:val="20"/>
          <w:color w:val="auto"/>
        </w:rPr>
      </w:pPr>
    </w:p>
    <w:p>
      <w:pPr>
        <w:ind w:left="660"/>
        <w:spacing w:after="0" w:line="277" w:lineRule="auto"/>
        <w:rPr>
          <w:sz w:val="20"/>
          <w:szCs w:val="20"/>
          <w:color w:val="auto"/>
        </w:rPr>
      </w:pPr>
      <w:r>
        <w:rPr>
          <w:rFonts w:ascii="Times New Roman" w:cs="Times New Roman" w:eastAsia="Times New Roman" w:hAnsi="Times New Roman"/>
          <w:sz w:val="17"/>
          <w:szCs w:val="17"/>
          <w:color w:val="auto"/>
        </w:rPr>
        <w:t>any information about any Obligor, the Group and the Finance Documents as the Lender shall consider appropriate; provided that in relation to disclosure pursuant to paragraphs (A), (B), (C), (F) or (G) above, if such information is confidential, the person to whom the confidential information is to be given is informed of its confidential nature and that some or all of such confidential information may be price-sensitive information; and further provided that, notwithstanding any other provision herein, the Lender and its Affiliates shall be entitled to, through public announcements, filings, press release or otherwise, publicly disclose any such information as required by any applicable law or regulation or rules of any securities</w:t>
      </w:r>
    </w:p>
    <w:p>
      <w:pPr>
        <w:sectPr>
          <w:pgSz w:w="11900" w:h="16859" w:orient="portrait"/>
          <w:cols w:equalWidth="0" w:num="1">
            <w:col w:w="11420"/>
          </w:cols>
          <w:pgMar w:left="240" w:top="337" w:right="239" w:bottom="0" w:gutter="0" w:footer="0" w:header="0"/>
        </w:sectPr>
      </w:pPr>
    </w:p>
    <w:bookmarkStart w:id="212" w:name="page213"/>
    <w:bookmarkEnd w:id="212"/>
    <w:p>
      <w:pPr>
        <w:spacing w:after="0" w:line="95" w:lineRule="exact"/>
        <w:rPr>
          <w:sz w:val="20"/>
          <w:szCs w:val="20"/>
          <w:color w:val="auto"/>
        </w:rPr>
      </w:pPr>
    </w:p>
    <w:p>
      <w:pPr>
        <w:ind w:left="660" w:right="600"/>
        <w:spacing w:after="0" w:line="282" w:lineRule="auto"/>
        <w:rPr>
          <w:sz w:val="20"/>
          <w:szCs w:val="20"/>
          <w:color w:val="auto"/>
        </w:rPr>
      </w:pPr>
      <w:r>
        <w:rPr>
          <w:rFonts w:ascii="Times New Roman" w:cs="Times New Roman" w:eastAsia="Times New Roman" w:hAnsi="Times New Roman"/>
          <w:sz w:val="18"/>
          <w:szCs w:val="18"/>
          <w:color w:val="auto"/>
        </w:rPr>
        <w:t>exchange on which any security of the Lender or any of its Affiliates is listed. This Clause supersedes any previous agreement relating to the confidentiality of such information.</w:t>
      </w:r>
    </w:p>
    <w:p>
      <w:pPr>
        <w:spacing w:after="0" w:line="158" w:lineRule="exact"/>
        <w:rPr>
          <w:sz w:val="20"/>
          <w:szCs w:val="20"/>
          <w:color w:val="auto"/>
        </w:rPr>
      </w:pPr>
    </w:p>
    <w:p>
      <w:pPr>
        <w:ind w:right="8700" w:firstLine="8"/>
        <w:spacing w:after="0" w:line="530" w:lineRule="auto"/>
        <w:tabs>
          <w:tab w:leader="none" w:pos="644" w:val="left"/>
        </w:tabs>
        <w:numPr>
          <w:ilvl w:val="0"/>
          <w:numId w:val="50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PAYMENT MECHANICS 21.1 Payments to the Lender</w:t>
      </w:r>
    </w:p>
    <w:p>
      <w:pPr>
        <w:spacing w:after="0" w:line="5" w:lineRule="exact"/>
        <w:rPr>
          <w:sz w:val="20"/>
          <w:szCs w:val="20"/>
          <w:color w:val="auto"/>
        </w:rPr>
      </w:pPr>
    </w:p>
    <w:p>
      <w:pPr>
        <w:ind w:left="1300" w:hanging="644"/>
        <w:spacing w:after="0" w:line="266" w:lineRule="auto"/>
        <w:tabs>
          <w:tab w:leader="none" w:pos="1307" w:val="left"/>
        </w:tabs>
        <w:numPr>
          <w:ilvl w:val="0"/>
          <w:numId w:val="5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each date on which an Obligor is required to make a payment under a Finance Document, that Obligor shall make the same available to the Lender (unless a contrary indication appears in a Finance Document) for value on the due date at the time and in such funds specified by the Lender as being customary at the time for settlement of transactions in the relevant currency in the place of payment. If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 such time is specified, payment must be made no later than 11:00 a.m. Hong Kong time on such due date.</w:t>
      </w:r>
    </w:p>
    <w:p>
      <w:pPr>
        <w:spacing w:after="0" w:line="225" w:lineRule="exact"/>
        <w:rPr>
          <w:sz w:val="20"/>
          <w:szCs w:val="20"/>
          <w:color w:val="auto"/>
        </w:rPr>
      </w:pPr>
    </w:p>
    <w:p>
      <w:pPr>
        <w:ind w:left="1320" w:hanging="664"/>
        <w:spacing w:after="0"/>
        <w:tabs>
          <w:tab w:leader="none" w:pos="1320" w:val="left"/>
        </w:tabs>
        <w:numPr>
          <w:ilvl w:val="0"/>
          <w:numId w:val="5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Payment shall be made to the account as notified by the Lender to the Borrower from time to time.</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21.2</w:t>
      </w:r>
      <w:r>
        <w:rPr>
          <w:sz w:val="20"/>
          <w:szCs w:val="20"/>
          <w:color w:val="auto"/>
        </w:rPr>
        <w:tab/>
      </w:r>
      <w:r>
        <w:rPr>
          <w:rFonts w:ascii="Times New Roman" w:cs="Times New Roman" w:eastAsia="Times New Roman" w:hAnsi="Times New Roman"/>
          <w:sz w:val="18"/>
          <w:szCs w:val="18"/>
          <w:b w:val="1"/>
          <w:bCs w:val="1"/>
          <w:color w:val="auto"/>
        </w:rPr>
        <w:t>Partial payments</w:t>
      </w:r>
    </w:p>
    <w:p>
      <w:pPr>
        <w:spacing w:after="0" w:line="229" w:lineRule="exact"/>
        <w:rPr>
          <w:sz w:val="20"/>
          <w:szCs w:val="20"/>
          <w:color w:val="auto"/>
        </w:rPr>
      </w:pPr>
    </w:p>
    <w:p>
      <w:pPr>
        <w:jc w:val="both"/>
        <w:ind w:left="1300" w:right="360" w:hanging="644"/>
        <w:spacing w:after="0" w:line="266" w:lineRule="auto"/>
        <w:tabs>
          <w:tab w:leader="none" w:pos="1307" w:val="left"/>
        </w:tabs>
        <w:numPr>
          <w:ilvl w:val="0"/>
          <w:numId w:val="5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Lender receives a payment that is insufficient to discharge all the amounts then due and payable by an Obligor under the Finance Documents, the Lender shall apply that payment towards the obligations of that Obligor under the Finance Documents in the following order:</w:t>
      </w:r>
    </w:p>
    <w:p>
      <w:pPr>
        <w:spacing w:after="0" w:line="176" w:lineRule="exact"/>
        <w:rPr>
          <w:rFonts w:ascii="Times New Roman" w:cs="Times New Roman" w:eastAsia="Times New Roman" w:hAnsi="Times New Roman"/>
          <w:sz w:val="18"/>
          <w:szCs w:val="18"/>
          <w:b w:val="1"/>
          <w:bCs w:val="1"/>
          <w:color w:val="auto"/>
        </w:rPr>
      </w:pPr>
    </w:p>
    <w:p>
      <w:pPr>
        <w:ind w:left="1880" w:hanging="575"/>
        <w:spacing w:after="0"/>
        <w:tabs>
          <w:tab w:leader="none" w:pos="1880" w:val="left"/>
        </w:tabs>
        <w:numPr>
          <w:ilvl w:val="1"/>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in or towards payment of any unpaid fees, costs and expenses of the Lender under the Finance Documents;</w:t>
      </w:r>
    </w:p>
    <w:p>
      <w:pPr>
        <w:spacing w:after="0" w:line="225" w:lineRule="exact"/>
        <w:rPr>
          <w:rFonts w:ascii="Times New Roman" w:cs="Times New Roman" w:eastAsia="Times New Roman" w:hAnsi="Times New Roman"/>
          <w:sz w:val="18"/>
          <w:szCs w:val="18"/>
          <w:color w:val="auto"/>
        </w:rPr>
      </w:pPr>
    </w:p>
    <w:p>
      <w:pPr>
        <w:ind w:left="1860" w:right="40" w:hanging="555"/>
        <w:spacing w:after="0" w:line="282" w:lineRule="auto"/>
        <w:tabs>
          <w:tab w:leader="none" w:pos="1867" w:val="left"/>
        </w:tabs>
        <w:numPr>
          <w:ilvl w:val="1"/>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secondly, in or towards payment of any accrued interest, fee (other than as provided in paragraph (A) above) or commission due but unpaid under this Agreement;</w:t>
      </w:r>
    </w:p>
    <w:p>
      <w:pPr>
        <w:spacing w:after="0" w:line="161" w:lineRule="exact"/>
        <w:rPr>
          <w:rFonts w:ascii="Times New Roman" w:cs="Times New Roman" w:eastAsia="Times New Roman" w:hAnsi="Times New Roman"/>
          <w:sz w:val="18"/>
          <w:szCs w:val="18"/>
          <w:color w:val="auto"/>
        </w:rPr>
      </w:pPr>
    </w:p>
    <w:p>
      <w:pPr>
        <w:ind w:left="1860" w:hanging="555"/>
        <w:spacing w:after="0"/>
        <w:tabs>
          <w:tab w:leader="none" w:pos="1860" w:val="left"/>
        </w:tabs>
        <w:numPr>
          <w:ilvl w:val="1"/>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thirdly, in or towards payment of any principal due but unpaid under this Agreement; and</w:t>
      </w:r>
    </w:p>
    <w:p>
      <w:pPr>
        <w:spacing w:after="0" w:line="225" w:lineRule="exact"/>
        <w:rPr>
          <w:rFonts w:ascii="Times New Roman" w:cs="Times New Roman" w:eastAsia="Times New Roman" w:hAnsi="Times New Roman"/>
          <w:sz w:val="18"/>
          <w:szCs w:val="18"/>
          <w:color w:val="auto"/>
        </w:rPr>
      </w:pPr>
    </w:p>
    <w:p>
      <w:pPr>
        <w:ind w:left="1880" w:hanging="575"/>
        <w:spacing w:after="0"/>
        <w:tabs>
          <w:tab w:leader="none" w:pos="1880" w:val="left"/>
        </w:tabs>
        <w:numPr>
          <w:ilvl w:val="1"/>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fourthly, in or towards payment of any other sum due but unpaid under the Finance Documents.</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5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Lender may vary the order set out in paragraphs (B) to (D) of sub-clause (a) above.</w:t>
      </w:r>
    </w:p>
    <w:p>
      <w:pPr>
        <w:spacing w:after="0" w:line="225" w:lineRule="exact"/>
        <w:rPr>
          <w:rFonts w:ascii="Times New Roman" w:cs="Times New Roman" w:eastAsia="Times New Roman" w:hAnsi="Times New Roman"/>
          <w:sz w:val="18"/>
          <w:szCs w:val="18"/>
          <w:b w:val="1"/>
          <w:bCs w:val="1"/>
          <w:color w:val="auto"/>
        </w:rPr>
      </w:pPr>
    </w:p>
    <w:p>
      <w:pPr>
        <w:ind w:left="1320" w:hanging="664"/>
        <w:spacing w:after="0"/>
        <w:tabs>
          <w:tab w:leader="none" w:pos="1320" w:val="left"/>
        </w:tabs>
        <w:numPr>
          <w:ilvl w:val="0"/>
          <w:numId w:val="5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Sub-clauses (a) and (b) above will override any appropriation made by an Obligor.</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21.3</w:t>
      </w:r>
      <w:r>
        <w:rPr>
          <w:sz w:val="20"/>
          <w:szCs w:val="20"/>
          <w:color w:val="auto"/>
        </w:rPr>
        <w:tab/>
      </w:r>
      <w:r>
        <w:rPr>
          <w:rFonts w:ascii="Times New Roman" w:cs="Times New Roman" w:eastAsia="Times New Roman" w:hAnsi="Times New Roman"/>
          <w:sz w:val="18"/>
          <w:szCs w:val="18"/>
          <w:b w:val="1"/>
          <w:bCs w:val="1"/>
          <w:color w:val="auto"/>
        </w:rPr>
        <w:t>Business Days</w:t>
      </w:r>
    </w:p>
    <w:p>
      <w:pPr>
        <w:spacing w:after="0" w:line="229" w:lineRule="exact"/>
        <w:rPr>
          <w:sz w:val="20"/>
          <w:szCs w:val="20"/>
          <w:color w:val="auto"/>
        </w:rPr>
      </w:pPr>
    </w:p>
    <w:p>
      <w:pPr>
        <w:ind w:left="1300" w:right="340" w:hanging="644"/>
        <w:spacing w:after="0" w:line="282" w:lineRule="auto"/>
        <w:tabs>
          <w:tab w:leader="none" w:pos="1307" w:val="left"/>
        </w:tabs>
        <w:numPr>
          <w:ilvl w:val="1"/>
          <w:numId w:val="5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payment which is due to be made on a day that is not a Business Day shall be made on the next Business Day in the same calendar month (if there is one) or the preceding Business Day (if there is not).</w:t>
      </w:r>
    </w:p>
    <w:p>
      <w:pPr>
        <w:spacing w:after="0" w:line="161" w:lineRule="exact"/>
        <w:rPr>
          <w:rFonts w:ascii="Times New Roman" w:cs="Times New Roman" w:eastAsia="Times New Roman" w:hAnsi="Times New Roman"/>
          <w:sz w:val="18"/>
          <w:szCs w:val="18"/>
          <w:b w:val="1"/>
          <w:bCs w:val="1"/>
          <w:color w:val="auto"/>
        </w:rPr>
      </w:pPr>
    </w:p>
    <w:p>
      <w:pPr>
        <w:ind w:left="1300" w:right="320" w:hanging="644"/>
        <w:spacing w:after="0" w:line="282" w:lineRule="auto"/>
        <w:tabs>
          <w:tab w:leader="none" w:pos="1317" w:val="left"/>
        </w:tabs>
        <w:numPr>
          <w:ilvl w:val="1"/>
          <w:numId w:val="5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any extension of the due date for payment of any principal or Unpaid Sum under sub-clause (a) above, interest is payable on the principal or Unpaid Sum at the rate payable on the original due date.</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SET-OFF</w:t>
      </w:r>
    </w:p>
    <w:p>
      <w:pPr>
        <w:spacing w:after="0" w:line="229" w:lineRule="exact"/>
        <w:rPr>
          <w:rFonts w:ascii="Times New Roman" w:cs="Times New Roman" w:eastAsia="Times New Roman" w:hAnsi="Times New Roman"/>
          <w:sz w:val="18"/>
          <w:szCs w:val="18"/>
          <w:b w:val="1"/>
          <w:bCs w:val="1"/>
          <w:color w:val="auto"/>
        </w:rPr>
      </w:pPr>
    </w:p>
    <w:p>
      <w:pPr>
        <w:ind w:left="1300" w:right="240" w:hanging="644"/>
        <w:spacing w:after="0" w:line="282" w:lineRule="auto"/>
        <w:tabs>
          <w:tab w:leader="none" w:pos="1307" w:val="left"/>
        </w:tabs>
        <w:numPr>
          <w:ilvl w:val="1"/>
          <w:numId w:val="5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payments to be made by an Obligor under the Finance Documents shall be calculated and be made without (and free and clear of any deduction for) set-off or counterclaim.</w:t>
      </w:r>
    </w:p>
    <w:p>
      <w:pPr>
        <w:spacing w:after="0" w:line="161" w:lineRule="exact"/>
        <w:rPr>
          <w:rFonts w:ascii="Times New Roman" w:cs="Times New Roman" w:eastAsia="Times New Roman" w:hAnsi="Times New Roman"/>
          <w:sz w:val="18"/>
          <w:szCs w:val="18"/>
          <w:b w:val="1"/>
          <w:bCs w:val="1"/>
          <w:color w:val="auto"/>
        </w:rPr>
      </w:pPr>
    </w:p>
    <w:p>
      <w:pPr>
        <w:ind w:left="1300" w:right="60" w:hanging="644"/>
        <w:spacing w:after="0" w:line="261" w:lineRule="auto"/>
        <w:tabs>
          <w:tab w:leader="none" w:pos="1317" w:val="left"/>
        </w:tabs>
        <w:numPr>
          <w:ilvl w:val="1"/>
          <w:numId w:val="5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Lender may set off any matured obligation due from an Obligor under the Finance Documents (to the extent beneficially owned by the Lender) against any matured obligation owed by the Lender to that Obligor, regardless of the place of payment or currency of either obligation. If the obligations are in different currencies, the Lender may convert either obligation at a market rate of exchange in its usual course of business for the purpose of the set-off.</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5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23.1</w:t>
      </w:r>
      <w:r>
        <w:rPr>
          <w:sz w:val="20"/>
          <w:szCs w:val="20"/>
          <w:color w:val="auto"/>
        </w:rPr>
        <w:tab/>
      </w:r>
      <w:r>
        <w:rPr>
          <w:rFonts w:ascii="Times New Roman" w:cs="Times New Roman" w:eastAsia="Times New Roman" w:hAnsi="Times New Roman"/>
          <w:sz w:val="18"/>
          <w:szCs w:val="18"/>
          <w:b w:val="1"/>
          <w:bCs w:val="1"/>
          <w:color w:val="auto"/>
        </w:rPr>
        <w:t>Communications in writing</w:t>
      </w:r>
    </w:p>
    <w:p>
      <w:pPr>
        <w:spacing w:after="0" w:line="229" w:lineRule="exact"/>
        <w:rPr>
          <w:sz w:val="20"/>
          <w:szCs w:val="20"/>
          <w:color w:val="auto"/>
        </w:rPr>
      </w:pPr>
    </w:p>
    <w:p>
      <w:pPr>
        <w:ind w:left="660" w:right="200"/>
        <w:spacing w:after="0" w:line="282" w:lineRule="auto"/>
        <w:rPr>
          <w:sz w:val="20"/>
          <w:szCs w:val="20"/>
          <w:color w:val="auto"/>
        </w:rPr>
      </w:pPr>
      <w:r>
        <w:rPr>
          <w:rFonts w:ascii="Times New Roman" w:cs="Times New Roman" w:eastAsia="Times New Roman" w:hAnsi="Times New Roman"/>
          <w:sz w:val="18"/>
          <w:szCs w:val="18"/>
          <w:color w:val="auto"/>
        </w:rPr>
        <w:t>Any communication to be made under or in connection with the Finance Documents shall be made in writing and, unless otherwise stated, may be made by fax or letter.</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23.2</w:t>
      </w:r>
      <w:r>
        <w:rPr>
          <w:sz w:val="20"/>
          <w:szCs w:val="20"/>
          <w:color w:val="auto"/>
        </w:rPr>
        <w:tab/>
      </w:r>
      <w:r>
        <w:rPr>
          <w:rFonts w:ascii="Times New Roman" w:cs="Times New Roman" w:eastAsia="Times New Roman" w:hAnsi="Times New Roman"/>
          <w:sz w:val="18"/>
          <w:szCs w:val="18"/>
          <w:b w:val="1"/>
          <w:bCs w:val="1"/>
          <w:color w:val="auto"/>
        </w:rPr>
        <w:t>Addresses</w:t>
      </w:r>
    </w:p>
    <w:p>
      <w:pPr>
        <w:spacing w:after="0" w:line="229" w:lineRule="exact"/>
        <w:rPr>
          <w:sz w:val="20"/>
          <w:szCs w:val="20"/>
          <w:color w:val="auto"/>
        </w:rPr>
      </w:pPr>
    </w:p>
    <w:p>
      <w:pPr>
        <w:ind w:left="660" w:right="500"/>
        <w:spacing w:after="0" w:line="282" w:lineRule="auto"/>
        <w:rPr>
          <w:sz w:val="20"/>
          <w:szCs w:val="20"/>
          <w:color w:val="auto"/>
        </w:rPr>
      </w:pPr>
      <w:r>
        <w:rPr>
          <w:rFonts w:ascii="Times New Roman" w:cs="Times New Roman" w:eastAsia="Times New Roman" w:hAnsi="Times New Roman"/>
          <w:sz w:val="18"/>
          <w:szCs w:val="18"/>
          <w:color w:val="auto"/>
        </w:rPr>
        <w:t>The address and fax number (and the department or officer, if any, for whose attention the communication is to be made) of each Party for any communication or document to be made or delivered under or in connection with the Finance Documents is:</w:t>
      </w:r>
    </w:p>
    <w:p>
      <w:pPr>
        <w:spacing w:after="0" w:line="162" w:lineRule="exact"/>
        <w:rPr>
          <w:sz w:val="20"/>
          <w:szCs w:val="20"/>
          <w:color w:val="auto"/>
        </w:rPr>
      </w:pPr>
    </w:p>
    <w:p>
      <w:pPr>
        <w:ind w:left="1320" w:hanging="664"/>
        <w:spacing w:after="0"/>
        <w:tabs>
          <w:tab w:leader="none" w:pos="1320" w:val="left"/>
        </w:tabs>
        <w:numPr>
          <w:ilvl w:val="0"/>
          <w:numId w:val="5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case of any of the Obligors:</w:t>
      </w:r>
    </w:p>
    <w:p>
      <w:pPr>
        <w:sectPr>
          <w:pgSz w:w="11900" w:h="16934" w:orient="portrait"/>
          <w:cols w:equalWidth="0" w:num="1">
            <w:col w:w="11400"/>
          </w:cols>
          <w:pgMar w:left="240" w:top="121" w:right="259" w:bottom="0" w:gutter="0" w:footer="0" w:header="0"/>
        </w:sectPr>
      </w:pP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Fax:</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1880"/>
        <w:spacing w:after="0" w:line="282" w:lineRule="auto"/>
        <w:rPr>
          <w:sz w:val="20"/>
          <w:szCs w:val="20"/>
          <w:color w:val="auto"/>
        </w:rPr>
      </w:pPr>
      <w:r>
        <w:rPr>
          <w:rFonts w:ascii="Times New Roman" w:cs="Times New Roman" w:eastAsia="Times New Roman" w:hAnsi="Times New Roman"/>
          <w:sz w:val="18"/>
          <w:szCs w:val="18"/>
          <w:color w:val="auto"/>
        </w:rPr>
        <w:t>[7th Floor, Building D, Tsinghua Tongfang Hi-Tech Plaza, Haidian District, Beijing, China] [+86-10-8280 0540]</w:t>
      </w:r>
    </w:p>
    <w:p>
      <w:pPr>
        <w:sectPr>
          <w:pgSz w:w="11900" w:h="16934" w:orient="portrait"/>
          <w:cols w:equalWidth="0" w:num="2">
            <w:col w:w="2200" w:space="720"/>
            <w:col w:w="8480"/>
          </w:cols>
          <w:pgMar w:left="240" w:top="121" w:right="259" w:bottom="0" w:gutter="0" w:footer="0" w:header="0"/>
          <w:type w:val="continuous"/>
        </w:sectPr>
      </w:pPr>
    </w:p>
    <w:bookmarkStart w:id="213" w:name="page214"/>
    <w:bookmarkEnd w:id="213"/>
    <w:p>
      <w:pPr>
        <w:spacing w:after="0" w:line="13" w:lineRule="exact"/>
        <w:rPr>
          <w:sz w:val="20"/>
          <w:szCs w:val="20"/>
          <w:color w:val="auto"/>
        </w:rPr>
      </w:pPr>
    </w:p>
    <w:p>
      <w:pPr>
        <w:ind w:left="1300"/>
        <w:spacing w:after="0"/>
        <w:tabs>
          <w:tab w:leader="none" w:pos="2900" w:val="left"/>
          <w:tab w:leader="none" w:pos="39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[Mr. Li Ya (</w:t>
        <w:tab/>
        <w:t>)]</w:t>
      </w:r>
    </w:p>
    <w:p>
      <w:pPr>
        <w:spacing w:after="0" w:line="225" w:lineRule="exact"/>
        <w:rPr>
          <w:sz w:val="20"/>
          <w:szCs w:val="20"/>
          <w:color w:val="auto"/>
        </w:rPr>
      </w:pPr>
    </w:p>
    <w:p>
      <w:pPr>
        <w:ind w:left="1320" w:hanging="664"/>
        <w:spacing w:after="0"/>
        <w:tabs>
          <w:tab w:leader="none" w:pos="1320" w:val="left"/>
        </w:tabs>
        <w:numPr>
          <w:ilvl w:val="0"/>
          <w:numId w:val="5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case of the Lender:</w:t>
      </w:r>
    </w:p>
    <w:p>
      <w:pPr>
        <w:sectPr>
          <w:pgSz w:w="11900" w:h="16852" w:orient="portrait"/>
          <w:cols w:equalWidth="0" w:num="1">
            <w:col w:w="11320"/>
          </w:cols>
          <w:pgMar w:left="240" w:top="121" w:right="339" w:bottom="0" w:gutter="0" w:footer="0" w:header="0"/>
        </w:sectPr>
      </w:pP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Fax:</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[11th Floor, Zhongqing Building, No.4 Qiyang Road, Wangjing, Beijing, China]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[+86-10-6067 6889]</w:t>
      </w:r>
    </w:p>
    <w:p>
      <w:pPr>
        <w:spacing w:after="0" w:line="9"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8"/>
          <w:szCs w:val="18"/>
          <w:color w:val="auto"/>
        </w:rPr>
        <w:t>[Mr. Liu Shuang (</w:t>
        <w:tab/>
        <w:t>)]</w:t>
      </w:r>
    </w:p>
    <w:p>
      <w:pPr>
        <w:spacing w:after="0" w:line="200" w:lineRule="exact"/>
        <w:rPr>
          <w:sz w:val="20"/>
          <w:szCs w:val="20"/>
          <w:color w:val="auto"/>
        </w:rPr>
      </w:pPr>
    </w:p>
    <w:p>
      <w:pPr>
        <w:sectPr>
          <w:pgSz w:w="11900" w:h="16852" w:orient="portrait"/>
          <w:cols w:equalWidth="0" w:num="2">
            <w:col w:w="2200" w:space="720"/>
            <w:col w:w="8400"/>
          </w:cols>
          <w:pgMar w:left="240" w:top="121" w:right="339" w:bottom="0" w:gutter="0" w:footer="0" w:header="0"/>
          <w:type w:val="continuous"/>
        </w:sectPr>
      </w:pPr>
    </w:p>
    <w:p>
      <w:pPr>
        <w:spacing w:after="0" w:line="7" w:lineRule="exact"/>
        <w:rPr>
          <w:sz w:val="20"/>
          <w:szCs w:val="20"/>
          <w:color w:val="auto"/>
        </w:rPr>
      </w:pPr>
    </w:p>
    <w:p>
      <w:pPr>
        <w:ind w:left="660" w:right="300"/>
        <w:spacing w:after="0" w:line="282" w:lineRule="auto"/>
        <w:rPr>
          <w:sz w:val="20"/>
          <w:szCs w:val="20"/>
          <w:color w:val="auto"/>
        </w:rPr>
      </w:pPr>
      <w:r>
        <w:rPr>
          <w:rFonts w:ascii="Times New Roman" w:cs="Times New Roman" w:eastAsia="Times New Roman" w:hAnsi="Times New Roman"/>
          <w:sz w:val="18"/>
          <w:szCs w:val="18"/>
          <w:color w:val="auto"/>
        </w:rPr>
        <w:t>or any substitute address, fax number or department or officer as the Party may notify to the other Party by not less than five (5) Business Days’ notice.</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23.3</w:t>
      </w:r>
      <w:r>
        <w:rPr>
          <w:sz w:val="20"/>
          <w:szCs w:val="20"/>
          <w:color w:val="auto"/>
        </w:rPr>
        <w:tab/>
      </w:r>
      <w:r>
        <w:rPr>
          <w:rFonts w:ascii="Times New Roman" w:cs="Times New Roman" w:eastAsia="Times New Roman" w:hAnsi="Times New Roman"/>
          <w:sz w:val="18"/>
          <w:szCs w:val="18"/>
          <w:b w:val="1"/>
          <w:bCs w:val="1"/>
          <w:color w:val="auto"/>
        </w:rPr>
        <w:t>Delivery</w:t>
      </w:r>
    </w:p>
    <w:p>
      <w:pPr>
        <w:spacing w:after="0" w:line="229" w:lineRule="exact"/>
        <w:rPr>
          <w:sz w:val="20"/>
          <w:szCs w:val="20"/>
          <w:color w:val="auto"/>
        </w:rPr>
      </w:pPr>
    </w:p>
    <w:p>
      <w:pPr>
        <w:ind w:left="1300" w:right="100" w:hanging="644"/>
        <w:spacing w:after="0" w:line="282" w:lineRule="auto"/>
        <w:tabs>
          <w:tab w:leader="none" w:pos="1307" w:val="left"/>
        </w:tabs>
        <w:numPr>
          <w:ilvl w:val="0"/>
          <w:numId w:val="5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communication or document made or delivered by one person to another under or in connection with the Finance Documents will be effective:</w:t>
      </w:r>
    </w:p>
    <w:p>
      <w:pPr>
        <w:spacing w:after="0" w:line="161" w:lineRule="exact"/>
        <w:rPr>
          <w:rFonts w:ascii="Times New Roman" w:cs="Times New Roman" w:eastAsia="Times New Roman" w:hAnsi="Times New Roman"/>
          <w:sz w:val="18"/>
          <w:szCs w:val="18"/>
          <w:b w:val="1"/>
          <w:bCs w:val="1"/>
          <w:color w:val="auto"/>
        </w:rPr>
      </w:pPr>
    </w:p>
    <w:p>
      <w:pPr>
        <w:ind w:left="1980" w:hanging="675"/>
        <w:spacing w:after="0"/>
        <w:tabs>
          <w:tab w:leader="none" w:pos="1980" w:val="left"/>
        </w:tabs>
        <w:numPr>
          <w:ilvl w:val="1"/>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way of fax, only when received in legible form; or</w:t>
      </w:r>
    </w:p>
    <w:p>
      <w:pPr>
        <w:spacing w:after="0" w:line="225" w:lineRule="exact"/>
        <w:rPr>
          <w:rFonts w:ascii="Times New Roman" w:cs="Times New Roman" w:eastAsia="Times New Roman" w:hAnsi="Times New Roman"/>
          <w:sz w:val="18"/>
          <w:szCs w:val="18"/>
          <w:color w:val="auto"/>
        </w:rPr>
      </w:pPr>
    </w:p>
    <w:p>
      <w:pPr>
        <w:ind w:left="1960" w:right="240" w:hanging="655"/>
        <w:spacing w:after="0" w:line="282" w:lineRule="auto"/>
        <w:tabs>
          <w:tab w:leader="none" w:pos="1991" w:val="left"/>
        </w:tabs>
        <w:numPr>
          <w:ilvl w:val="1"/>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way of letter, only when it has been left at the relevant address or five (5) Business Days after being deposited in the post postage prepaid in an envelope addressed to it at that address;</w:t>
      </w:r>
    </w:p>
    <w:p>
      <w:pPr>
        <w:spacing w:after="0" w:line="160" w:lineRule="exact"/>
        <w:rPr>
          <w:sz w:val="20"/>
          <w:szCs w:val="20"/>
          <w:color w:val="auto"/>
        </w:rPr>
      </w:pPr>
    </w:p>
    <w:p>
      <w:pPr>
        <w:ind w:left="1300" w:right="180"/>
        <w:spacing w:after="0" w:line="284" w:lineRule="auto"/>
        <w:rPr>
          <w:sz w:val="20"/>
          <w:szCs w:val="20"/>
          <w:color w:val="auto"/>
        </w:rPr>
      </w:pPr>
      <w:r>
        <w:rPr>
          <w:rFonts w:ascii="Times New Roman" w:cs="Times New Roman" w:eastAsia="Times New Roman" w:hAnsi="Times New Roman"/>
          <w:sz w:val="18"/>
          <w:szCs w:val="18"/>
          <w:color w:val="auto"/>
        </w:rPr>
        <w:t>and, if a particular department or officer is specified as part of its address details provided under Clause 23.2 (</w:t>
      </w:r>
      <w:r>
        <w:rPr>
          <w:rFonts w:ascii="Times New Roman" w:cs="Times New Roman" w:eastAsia="Times New Roman" w:hAnsi="Times New Roman"/>
          <w:sz w:val="18"/>
          <w:szCs w:val="18"/>
          <w:i w:val="1"/>
          <w:iCs w:val="1"/>
          <w:color w:val="auto"/>
        </w:rPr>
        <w:t>Addresses</w:t>
      </w:r>
      <w:r>
        <w:rPr>
          <w:rFonts w:ascii="Times New Roman" w:cs="Times New Roman" w:eastAsia="Times New Roman" w:hAnsi="Times New Roman"/>
          <w:sz w:val="18"/>
          <w:szCs w:val="18"/>
          <w:color w:val="auto"/>
        </w:rPr>
        <w:t>), if addressed to that department or officer.</w:t>
      </w:r>
    </w:p>
    <w:p>
      <w:pPr>
        <w:spacing w:after="0" w:line="160" w:lineRule="exact"/>
        <w:rPr>
          <w:sz w:val="20"/>
          <w:szCs w:val="20"/>
          <w:color w:val="auto"/>
        </w:rPr>
      </w:pPr>
    </w:p>
    <w:p>
      <w:pPr>
        <w:ind w:left="1300" w:right="80" w:hanging="644"/>
        <w:spacing w:after="0" w:line="282" w:lineRule="auto"/>
        <w:tabs>
          <w:tab w:leader="none" w:pos="1317" w:val="left"/>
        </w:tabs>
        <w:numPr>
          <w:ilvl w:val="0"/>
          <w:numId w:val="5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communication or document made or delivered to the Borrower in accordance with this Clause will be deemed to have been made or delivered to the other Obligors.</w:t>
      </w:r>
    </w:p>
    <w:p>
      <w:pPr>
        <w:spacing w:after="0" w:line="161" w:lineRule="exact"/>
        <w:rPr>
          <w:rFonts w:ascii="Times New Roman" w:cs="Times New Roman" w:eastAsia="Times New Roman" w:hAnsi="Times New Roman"/>
          <w:sz w:val="18"/>
          <w:szCs w:val="18"/>
          <w:b w:val="1"/>
          <w:bCs w:val="1"/>
          <w:color w:val="auto"/>
        </w:rPr>
      </w:pPr>
    </w:p>
    <w:p>
      <w:pPr>
        <w:ind w:left="1300" w:right="60" w:hanging="644"/>
        <w:spacing w:after="0" w:line="282" w:lineRule="auto"/>
        <w:tabs>
          <w:tab w:leader="none" w:pos="1310" w:val="left"/>
        </w:tabs>
        <w:numPr>
          <w:ilvl w:val="0"/>
          <w:numId w:val="5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communication or document which becomes effective, in accordance with sub-clauses (a) to (b) above, after 5.00 p.m. in the place of receipt shall be deemed only to become effective on the following day.</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23.4</w:t>
      </w:r>
      <w:r>
        <w:rPr>
          <w:sz w:val="20"/>
          <w:szCs w:val="20"/>
          <w:color w:val="auto"/>
        </w:rPr>
        <w:tab/>
      </w:r>
      <w:r>
        <w:rPr>
          <w:rFonts w:ascii="Times New Roman" w:cs="Times New Roman" w:eastAsia="Times New Roman" w:hAnsi="Times New Roman"/>
          <w:sz w:val="17"/>
          <w:szCs w:val="17"/>
          <w:b w:val="1"/>
          <w:bCs w:val="1"/>
          <w:color w:val="auto"/>
        </w:rPr>
        <w:t>Electronic communication</w:t>
      </w:r>
    </w:p>
    <w:p>
      <w:pPr>
        <w:spacing w:after="0" w:line="229" w:lineRule="exact"/>
        <w:rPr>
          <w:sz w:val="20"/>
          <w:szCs w:val="20"/>
          <w:color w:val="auto"/>
        </w:rPr>
      </w:pPr>
    </w:p>
    <w:p>
      <w:pPr>
        <w:ind w:left="1300" w:right="140" w:hanging="644"/>
        <w:spacing w:after="0" w:line="282" w:lineRule="auto"/>
        <w:tabs>
          <w:tab w:leader="none" w:pos="1307" w:val="left"/>
        </w:tabs>
        <w:numPr>
          <w:ilvl w:val="0"/>
          <w:numId w:val="5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communication to be made between any two Parties under or in connection with the Finance Documents may be made by electronic mail or other electronic means to the extent that those two Parties agree that, unless and until notified to</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contrary, this is to be an accepted form of communication; and if those two Parties:</w:t>
      </w:r>
    </w:p>
    <w:p>
      <w:pPr>
        <w:spacing w:after="0" w:line="225" w:lineRule="exact"/>
        <w:rPr>
          <w:sz w:val="20"/>
          <w:szCs w:val="20"/>
          <w:color w:val="auto"/>
        </w:rPr>
      </w:pPr>
    </w:p>
    <w:p>
      <w:pPr>
        <w:ind w:left="1680" w:right="20" w:hanging="375"/>
        <w:spacing w:after="0" w:line="282" w:lineRule="auto"/>
        <w:tabs>
          <w:tab w:leader="none" w:pos="1690" w:val="left"/>
        </w:tabs>
        <w:numPr>
          <w:ilvl w:val="2"/>
          <w:numId w:val="5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notify each other in writing of their electronic mail address and/or any other information required to enable the sending and receipt of information by that means; and</w:t>
      </w:r>
    </w:p>
    <w:p>
      <w:pPr>
        <w:spacing w:after="0" w:line="161" w:lineRule="exact"/>
        <w:rPr>
          <w:rFonts w:ascii="Times New Roman" w:cs="Times New Roman" w:eastAsia="Times New Roman" w:hAnsi="Times New Roman"/>
          <w:sz w:val="18"/>
          <w:szCs w:val="18"/>
          <w:b w:val="1"/>
          <w:bCs w:val="1"/>
          <w:color w:val="auto"/>
        </w:rPr>
      </w:pPr>
    </w:p>
    <w:p>
      <w:pPr>
        <w:ind w:left="1680" w:right="320" w:hanging="375"/>
        <w:spacing w:after="0" w:line="282" w:lineRule="auto"/>
        <w:tabs>
          <w:tab w:leader="none" w:pos="1686" w:val="left"/>
        </w:tabs>
        <w:numPr>
          <w:ilvl w:val="2"/>
          <w:numId w:val="5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notify each other of any change to their address or any other such information supplied by them by not less than five (5) Business Days’ notice.</w:t>
      </w:r>
    </w:p>
    <w:p>
      <w:pPr>
        <w:spacing w:after="0" w:line="161" w:lineRule="exact"/>
        <w:rPr>
          <w:rFonts w:ascii="Times New Roman" w:cs="Times New Roman" w:eastAsia="Times New Roman" w:hAnsi="Times New Roman"/>
          <w:sz w:val="18"/>
          <w:szCs w:val="18"/>
          <w:b w:val="1"/>
          <w:bCs w:val="1"/>
          <w:color w:val="auto"/>
        </w:rPr>
      </w:pPr>
    </w:p>
    <w:p>
      <w:pPr>
        <w:ind w:left="1300" w:hanging="644"/>
        <w:spacing w:after="0" w:line="266" w:lineRule="auto"/>
        <w:tabs>
          <w:tab w:leader="none" w:pos="1317" w:val="left"/>
        </w:tabs>
        <w:numPr>
          <w:ilvl w:val="1"/>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electronic communication made between those two Parties will be effective only when actually received in readable form and in the case of any electronic communication made by a Party to the Lender only if it is addressed in such a manner as the Lender shall specify for this purpose.</w:t>
      </w:r>
    </w:p>
    <w:p>
      <w:pPr>
        <w:spacing w:after="0" w:line="176" w:lineRule="exact"/>
        <w:rPr>
          <w:rFonts w:ascii="Times New Roman" w:cs="Times New Roman" w:eastAsia="Times New Roman" w:hAnsi="Times New Roman"/>
          <w:sz w:val="18"/>
          <w:szCs w:val="18"/>
          <w:b w:val="1"/>
          <w:bCs w:val="1"/>
          <w:color w:val="auto"/>
        </w:rPr>
      </w:pPr>
    </w:p>
    <w:p>
      <w:pPr>
        <w:ind w:left="1300" w:right="260" w:hanging="644"/>
        <w:spacing w:after="0" w:line="282" w:lineRule="auto"/>
        <w:tabs>
          <w:tab w:leader="none" w:pos="1310" w:val="left"/>
        </w:tabs>
        <w:numPr>
          <w:ilvl w:val="1"/>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electronic communication which becomes effective, in accordance with paragraph (b) above, after 5.00 p.m. in the place of receipt shall be deemed only to become effective on the following day.</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CALCULATIONS AND CERTIFICATES</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24.1</w:t>
      </w:r>
      <w:r>
        <w:rPr>
          <w:sz w:val="20"/>
          <w:szCs w:val="20"/>
          <w:color w:val="auto"/>
        </w:rPr>
        <w:tab/>
      </w:r>
      <w:r>
        <w:rPr>
          <w:rFonts w:ascii="Times New Roman" w:cs="Times New Roman" w:eastAsia="Times New Roman" w:hAnsi="Times New Roman"/>
          <w:sz w:val="18"/>
          <w:szCs w:val="18"/>
          <w:b w:val="1"/>
          <w:bCs w:val="1"/>
          <w:color w:val="auto"/>
        </w:rPr>
        <w:t>Accounts</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In any litigation or arbitration proceedings arising out of or in connection with a Finance Document, the entries made in the accounts maintained by the Lender are prima facie evidence of the matters to which they relate.</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24.2</w:t>
      </w:r>
      <w:r>
        <w:rPr>
          <w:sz w:val="20"/>
          <w:szCs w:val="20"/>
          <w:color w:val="auto"/>
        </w:rPr>
        <w:tab/>
      </w:r>
      <w:r>
        <w:rPr>
          <w:rFonts w:ascii="Times New Roman" w:cs="Times New Roman" w:eastAsia="Times New Roman" w:hAnsi="Times New Roman"/>
          <w:sz w:val="17"/>
          <w:szCs w:val="17"/>
          <w:b w:val="1"/>
          <w:bCs w:val="1"/>
          <w:color w:val="auto"/>
        </w:rPr>
        <w:t>Certificates and Determinations</w:t>
      </w:r>
    </w:p>
    <w:p>
      <w:pPr>
        <w:spacing w:after="0" w:line="229" w:lineRule="exact"/>
        <w:rPr>
          <w:sz w:val="20"/>
          <w:szCs w:val="20"/>
          <w:color w:val="auto"/>
        </w:rPr>
      </w:pPr>
    </w:p>
    <w:p>
      <w:pPr>
        <w:ind w:left="660" w:right="180"/>
        <w:spacing w:after="0" w:line="282" w:lineRule="auto"/>
        <w:rPr>
          <w:sz w:val="20"/>
          <w:szCs w:val="20"/>
          <w:color w:val="auto"/>
        </w:rPr>
      </w:pPr>
      <w:r>
        <w:rPr>
          <w:rFonts w:ascii="Times New Roman" w:cs="Times New Roman" w:eastAsia="Times New Roman" w:hAnsi="Times New Roman"/>
          <w:sz w:val="18"/>
          <w:szCs w:val="18"/>
          <w:color w:val="auto"/>
        </w:rPr>
        <w:t>Any certification or determination by the Lender of a rate or amount under any Finance Document is, in the absence of manifest error, conclusive evidence of the matters to which it relates.</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24.3</w:t>
      </w:r>
      <w:r>
        <w:rPr>
          <w:sz w:val="20"/>
          <w:szCs w:val="20"/>
          <w:color w:val="auto"/>
        </w:rPr>
        <w:tab/>
      </w:r>
      <w:r>
        <w:rPr>
          <w:rFonts w:ascii="Times New Roman" w:cs="Times New Roman" w:eastAsia="Times New Roman" w:hAnsi="Times New Roman"/>
          <w:sz w:val="18"/>
          <w:szCs w:val="18"/>
          <w:b w:val="1"/>
          <w:bCs w:val="1"/>
          <w:color w:val="auto"/>
        </w:rPr>
        <w:t>Day count convention</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Any interest, commission or fee accruing under a Finance Document will accrue from day to day and is calculated on the basis of the actual number of days elapsed and a year of 360 days.</w:t>
      </w:r>
    </w:p>
    <w:p>
      <w:pPr>
        <w:spacing w:after="0" w:line="158" w:lineRule="exact"/>
        <w:rPr>
          <w:sz w:val="20"/>
          <w:szCs w:val="20"/>
          <w:color w:val="auto"/>
        </w:rPr>
      </w:pPr>
    </w:p>
    <w:p>
      <w:pPr>
        <w:ind w:left="660" w:hanging="652"/>
        <w:spacing w:after="0"/>
        <w:tabs>
          <w:tab w:leader="none" w:pos="660" w:val="left"/>
        </w:tabs>
        <w:numPr>
          <w:ilvl w:val="0"/>
          <w:numId w:val="5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PARTIAL INVALIDITY</w:t>
      </w:r>
    </w:p>
    <w:p>
      <w:pPr>
        <w:spacing w:after="0" w:line="229" w:lineRule="exact"/>
        <w:rPr>
          <w:rFonts w:ascii="Times New Roman" w:cs="Times New Roman" w:eastAsia="Times New Roman" w:hAnsi="Times New Roman"/>
          <w:sz w:val="18"/>
          <w:szCs w:val="18"/>
          <w:b w:val="1"/>
          <w:bCs w:val="1"/>
          <w:color w:val="auto"/>
        </w:rPr>
      </w:pPr>
    </w:p>
    <w:p>
      <w:pPr>
        <w:ind w:left="660" w:right="2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at any time, any provision of the Finance Documents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ectPr>
          <w:pgSz w:w="11900" w:h="16852" w:orient="portrait"/>
          <w:cols w:equalWidth="0" w:num="1">
            <w:col w:w="11320"/>
          </w:cols>
          <w:pgMar w:left="240" w:top="121" w:right="339" w:bottom="0" w:gutter="0" w:footer="0" w:header="0"/>
          <w:type w:val="continuous"/>
        </w:sectPr>
      </w:pPr>
    </w:p>
    <w:bookmarkStart w:id="214" w:name="page215"/>
    <w:bookmarkEnd w:id="214"/>
    <w:p>
      <w:pPr>
        <w:ind w:left="660" w:hanging="652"/>
        <w:spacing w:after="0"/>
        <w:tabs>
          <w:tab w:leader="none" w:pos="660" w:val="left"/>
        </w:tabs>
        <w:numPr>
          <w:ilvl w:val="0"/>
          <w:numId w:val="5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REMEDIES AND WAIVERS</w:t>
      </w:r>
    </w:p>
    <w:p>
      <w:pPr>
        <w:spacing w:after="0" w:line="229" w:lineRule="exact"/>
        <w:rPr>
          <w:rFonts w:ascii="Times New Roman" w:cs="Times New Roman" w:eastAsia="Times New Roman" w:hAnsi="Times New Roman"/>
          <w:sz w:val="18"/>
          <w:szCs w:val="18"/>
          <w:b w:val="1"/>
          <w:bCs w:val="1"/>
          <w:color w:val="auto"/>
        </w:rPr>
      </w:pPr>
    </w:p>
    <w:p>
      <w:pPr>
        <w:ind w:left="660" w:right="2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failure to exercise, nor any delay in exercising, on the part of the Lender, any right or remedy under the Finance Documents shall operate as a waiver of any such right or remedy or constitute an election to affirm any of the Finance Documents. No election to affirm any of the Finance Documents on the part of the Lender shall be effective unless it is in writing. No single or partial exercise of any right or remedy shall prevent any further or other exercise or the exercise of any other right or remedy. The rights and remedies provided in this Agreement are cumulative and not exclusive of any rights or remedies provided by law.</w:t>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5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AND WAIVERS</w:t>
      </w:r>
    </w:p>
    <w:p>
      <w:pPr>
        <w:spacing w:after="0" w:line="229" w:lineRule="exact"/>
        <w:rPr>
          <w:rFonts w:ascii="Times New Roman" w:cs="Times New Roman" w:eastAsia="Times New Roman" w:hAnsi="Times New Roman"/>
          <w:sz w:val="18"/>
          <w:szCs w:val="18"/>
          <w:b w:val="1"/>
          <w:bCs w:val="1"/>
          <w:color w:val="auto"/>
        </w:rPr>
      </w:pPr>
    </w:p>
    <w:p>
      <w:pPr>
        <w:ind w:left="660" w:right="2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term of the Finance Documents may be amended or waived only with the consent of the Lender and the Obligors and any such amendment or waiver will be binding on all Parties.</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p>
    <w:p>
      <w:pPr>
        <w:spacing w:after="0" w:line="229" w:lineRule="exact"/>
        <w:rPr>
          <w:rFonts w:ascii="Times New Roman" w:cs="Times New Roman" w:eastAsia="Times New Roman" w:hAnsi="Times New Roman"/>
          <w:sz w:val="18"/>
          <w:szCs w:val="18"/>
          <w:b w:val="1"/>
          <w:bCs w:val="1"/>
          <w:color w:val="auto"/>
        </w:rPr>
      </w:pPr>
    </w:p>
    <w:p>
      <w:pPr>
        <w:ind w:left="660"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Finance Document may be executed in any number of counterparts, and this has the same effect as if the signatures on the counterparts were on a single copy of the Finance Document.</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CONSENTS</w:t>
      </w:r>
    </w:p>
    <w:p>
      <w:pPr>
        <w:spacing w:after="0" w:line="229" w:lineRule="exact"/>
        <w:rPr>
          <w:rFonts w:ascii="Times New Roman" w:cs="Times New Roman" w:eastAsia="Times New Roman" w:hAnsi="Times New Roman"/>
          <w:sz w:val="18"/>
          <w:szCs w:val="18"/>
          <w:b w:val="1"/>
          <w:bCs w:val="1"/>
          <w:color w:val="auto"/>
        </w:rPr>
      </w:pPr>
    </w:p>
    <w:p>
      <w:pPr>
        <w:ind w:left="660" w:right="14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For the avoidance of doubt, by entering into this Agreement, the Lender shall be deemed to have granted such consent(s) as may be required from the Lender in connection with the transactions contemplated by this Agreement under any previous agreements between the Lender and the Oligors.</w:t>
      </w:r>
    </w:p>
    <w:p>
      <w:pPr>
        <w:spacing w:after="0" w:line="134"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229" w:lineRule="exact"/>
        <w:rPr>
          <w:rFonts w:ascii="Times New Roman" w:cs="Times New Roman" w:eastAsia="Times New Roman" w:hAnsi="Times New Roman"/>
          <w:sz w:val="18"/>
          <w:szCs w:val="18"/>
          <w:b w:val="1"/>
          <w:bCs w:val="1"/>
          <w:color w:val="auto"/>
        </w:rPr>
      </w:pPr>
    </w:p>
    <w:p>
      <w:pPr>
        <w:ind w:left="660" w:right="1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and all non-contractual obligations arising from or in connection with this Agreement, are governed by, and construed exclusively in accordance with, the laws of PRC.</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DISPUTE RESOLUTION</w:t>
      </w:r>
    </w:p>
    <w:p>
      <w:pPr>
        <w:spacing w:after="0" w:line="229" w:lineRule="exact"/>
        <w:rPr>
          <w:sz w:val="20"/>
          <w:szCs w:val="20"/>
          <w:color w:val="auto"/>
        </w:rPr>
      </w:pPr>
    </w:p>
    <w:p>
      <w:pPr>
        <w:ind w:left="660" w:right="880"/>
        <w:spacing w:after="0" w:line="282" w:lineRule="auto"/>
        <w:rPr>
          <w:sz w:val="20"/>
          <w:szCs w:val="20"/>
          <w:color w:val="auto"/>
        </w:rPr>
      </w:pPr>
      <w:r>
        <w:rPr>
          <w:rFonts w:ascii="Times New Roman" w:cs="Times New Roman" w:eastAsia="Times New Roman" w:hAnsi="Times New Roman"/>
          <w:sz w:val="18"/>
          <w:szCs w:val="18"/>
          <w:color w:val="auto"/>
        </w:rPr>
        <w:t>All disputes and controversies arising out of or in connection with this Agreement (including a dispute regarding the existence, validity or termination of this Agreement) shall be referred to and finally settled by Beijing Arbitration Commission.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Agreement has been entered into on the date stated at the beginning of this Agreement.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5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30</w:t>
            </w:r>
          </w:p>
        </w:tc>
        <w:tc>
          <w:tcPr>
            <w:tcW w:w="48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32"/>
        </w:trPr>
        <w:tc>
          <w:tcPr>
            <w:tcW w:w="1500" w:type="dxa"/>
            <w:vAlign w:val="bottom"/>
            <w:tcBorders>
              <w:bottom w:val="single" w:sz="8" w:color="808080"/>
            </w:tcBorders>
          </w:tcPr>
          <w:p>
            <w:pPr>
              <w:spacing w:after="0"/>
              <w:rPr>
                <w:sz w:val="11"/>
                <w:szCs w:val="11"/>
                <w:color w:val="auto"/>
              </w:rPr>
            </w:pPr>
          </w:p>
        </w:tc>
        <w:tc>
          <w:tcPr>
            <w:tcW w:w="2500" w:type="dxa"/>
            <w:vAlign w:val="bottom"/>
            <w:tcBorders>
              <w:bottom w:val="single" w:sz="8" w:color="808080"/>
            </w:tcBorders>
          </w:tcPr>
          <w:p>
            <w:pPr>
              <w:spacing w:after="0"/>
              <w:rPr>
                <w:sz w:val="11"/>
                <w:szCs w:val="11"/>
                <w:color w:val="auto"/>
              </w:rPr>
            </w:pPr>
          </w:p>
        </w:tc>
        <w:tc>
          <w:tcPr>
            <w:tcW w:w="2560" w:type="dxa"/>
            <w:vAlign w:val="bottom"/>
            <w:tcBorders>
              <w:bottom w:val="single" w:sz="8" w:color="808080"/>
            </w:tcBorders>
          </w:tcPr>
          <w:p>
            <w:pPr>
              <w:spacing w:after="0"/>
              <w:rPr>
                <w:sz w:val="11"/>
                <w:szCs w:val="11"/>
                <w:color w:val="auto"/>
              </w:rPr>
            </w:pPr>
          </w:p>
        </w:tc>
        <w:tc>
          <w:tcPr>
            <w:tcW w:w="48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15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SIGNATURE PAGE</w:t>
            </w:r>
          </w:p>
        </w:tc>
        <w:tc>
          <w:tcPr>
            <w:tcW w:w="4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execution by the Borrower</w:t>
            </w:r>
          </w:p>
        </w:tc>
        <w:tc>
          <w:tcPr>
            <w:tcW w:w="25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4"/>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and DELIVERED </w:t>
            </w:r>
            <w:r>
              <w:rPr>
                <w:rFonts w:ascii="Times New Roman" w:cs="Times New Roman" w:eastAsia="Times New Roman" w:hAnsi="Times New Roman"/>
                <w:sz w:val="18"/>
                <w:szCs w:val="18"/>
                <w:color w:val="auto"/>
              </w:rPr>
              <w:t>by</w:t>
            </w:r>
          </w:p>
        </w:tc>
        <w:tc>
          <w:tcPr>
            <w:tcW w:w="2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5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2500" w:type="dxa"/>
            <w:vAlign w:val="bottom"/>
          </w:tcPr>
          <w:p>
            <w:pPr>
              <w:spacing w:after="0"/>
              <w:rPr>
                <w:sz w:val="18"/>
                <w:szCs w:val="18"/>
                <w:color w:val="auto"/>
              </w:rPr>
            </w:pPr>
          </w:p>
        </w:tc>
        <w:tc>
          <w:tcPr>
            <w:tcW w:w="2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BEIJING PARTICLE INFORMATION</w:t>
            </w:r>
          </w:p>
        </w:tc>
        <w:tc>
          <w:tcPr>
            <w:tcW w:w="2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TECHNOLOGY CO., LTD.</w:t>
            </w:r>
          </w:p>
        </w:tc>
        <w:tc>
          <w:tcPr>
            <w:tcW w:w="2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500" w:type="dxa"/>
            <w:vAlign w:val="bottom"/>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w:t>
            </w:r>
          </w:p>
        </w:tc>
        <w:tc>
          <w:tcPr>
            <w:tcW w:w="2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Ya Li</w:t>
            </w:r>
          </w:p>
        </w:tc>
        <w:tc>
          <w:tcPr>
            <w:tcW w:w="40" w:type="dxa"/>
            <w:vAlign w:val="bottom"/>
          </w:tcPr>
          <w:p>
            <w:pPr>
              <w:spacing w:after="0"/>
              <w:rPr>
                <w:sz w:val="20"/>
                <w:szCs w:val="20"/>
                <w:color w:val="auto"/>
              </w:rPr>
            </w:pPr>
          </w:p>
        </w:tc>
      </w:tr>
      <w:tr>
        <w:trPr>
          <w:trHeight w:val="426"/>
        </w:trPr>
        <w:tc>
          <w:tcPr>
            <w:tcW w:w="15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 / AUTHORISED SIGNATORY</w:t>
            </w:r>
          </w:p>
        </w:tc>
      </w:tr>
      <w:tr>
        <w:trPr>
          <w:trHeight w:val="648"/>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execution by the Covenantors</w:t>
            </w:r>
          </w:p>
        </w:tc>
        <w:tc>
          <w:tcPr>
            <w:tcW w:w="25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3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and DELIVERED </w:t>
            </w:r>
            <w:r>
              <w:rPr>
                <w:rFonts w:ascii="Times New Roman" w:cs="Times New Roman" w:eastAsia="Times New Roman" w:hAnsi="Times New Roman"/>
                <w:sz w:val="18"/>
                <w:szCs w:val="18"/>
                <w:color w:val="auto"/>
              </w:rPr>
              <w:t>by</w:t>
            </w:r>
          </w:p>
        </w:tc>
        <w:tc>
          <w:tcPr>
            <w:tcW w:w="2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5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2500" w:type="dxa"/>
            <w:vAlign w:val="bottom"/>
          </w:tcPr>
          <w:p>
            <w:pPr>
              <w:spacing w:after="0"/>
              <w:rPr>
                <w:sz w:val="18"/>
                <w:szCs w:val="18"/>
                <w:color w:val="auto"/>
              </w:rPr>
            </w:pPr>
          </w:p>
        </w:tc>
        <w:tc>
          <w:tcPr>
            <w:tcW w:w="2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PARTICLE (HK) LIMITED</w:t>
            </w:r>
          </w:p>
        </w:tc>
        <w:tc>
          <w:tcPr>
            <w:tcW w:w="2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Ya Li</w:t>
            </w:r>
          </w:p>
        </w:tc>
        <w:tc>
          <w:tcPr>
            <w:tcW w:w="40" w:type="dxa"/>
            <w:vAlign w:val="bottom"/>
          </w:tcPr>
          <w:p>
            <w:pPr>
              <w:spacing w:after="0"/>
              <w:rPr>
                <w:sz w:val="20"/>
                <w:szCs w:val="20"/>
                <w:color w:val="auto"/>
              </w:rPr>
            </w:pPr>
          </w:p>
        </w:tc>
      </w:tr>
      <w:tr>
        <w:trPr>
          <w:trHeight w:val="426"/>
        </w:trPr>
        <w:tc>
          <w:tcPr>
            <w:tcW w:w="15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 / AUTHORISED SIGNATORY</w:t>
            </w:r>
          </w:p>
        </w:tc>
      </w:tr>
      <w:tr>
        <w:trPr>
          <w:trHeight w:val="63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and DELIVERED </w:t>
            </w:r>
            <w:r>
              <w:rPr>
                <w:rFonts w:ascii="Times New Roman" w:cs="Times New Roman" w:eastAsia="Times New Roman" w:hAnsi="Times New Roman"/>
                <w:sz w:val="18"/>
                <w:szCs w:val="18"/>
                <w:color w:val="auto"/>
              </w:rPr>
              <w:t>by</w:t>
            </w:r>
          </w:p>
        </w:tc>
        <w:tc>
          <w:tcPr>
            <w:tcW w:w="2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5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2500" w:type="dxa"/>
            <w:vAlign w:val="bottom"/>
          </w:tcPr>
          <w:p>
            <w:pPr>
              <w:spacing w:after="0"/>
              <w:rPr>
                <w:sz w:val="18"/>
                <w:szCs w:val="18"/>
                <w:color w:val="auto"/>
              </w:rPr>
            </w:pPr>
          </w:p>
        </w:tc>
        <w:tc>
          <w:tcPr>
            <w:tcW w:w="2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PARTICLE INC.</w:t>
            </w:r>
          </w:p>
        </w:tc>
        <w:tc>
          <w:tcPr>
            <w:tcW w:w="2500" w:type="dxa"/>
            <w:vAlign w:val="bottom"/>
          </w:tcPr>
          <w:p>
            <w:pPr>
              <w:spacing w:after="0"/>
              <w:rPr>
                <w:sz w:val="20"/>
                <w:szCs w:val="20"/>
                <w:color w:val="auto"/>
              </w:rPr>
            </w:pPr>
          </w:p>
        </w:tc>
        <w:tc>
          <w:tcPr>
            <w:tcW w:w="2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Ya Li</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-4392295</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-4392295</wp:posOffset>
            </wp:positionV>
            <wp:extent cx="1270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color w:val="auto"/>
        </w:rPr>
        <w:t>DIRECTOR / AUTHORISED SIGNATORY</w:t>
      </w:r>
    </w:p>
    <w:p>
      <w:pPr>
        <w:sectPr>
          <w:pgSz w:w="11900" w:h="16838" w:orient="portrait"/>
          <w:cols w:equalWidth="0" w:num="1">
            <w:col w:w="11460"/>
          </w:cols>
          <w:pgMar w:left="240" w:top="333" w:right="199" w:bottom="0"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220"/>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and DELIVERED </w:t>
            </w:r>
            <w:r>
              <w:rPr>
                <w:rFonts w:ascii="Times New Roman" w:cs="Times New Roman" w:eastAsia="Times New Roman" w:hAnsi="Times New Roman"/>
                <w:sz w:val="18"/>
                <w:szCs w:val="18"/>
                <w:color w:val="auto"/>
              </w:rPr>
              <w:t>by</w:t>
            </w:r>
          </w:p>
        </w:tc>
        <w:tc>
          <w:tcPr>
            <w:tcW w:w="22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w:t>
            </w:r>
          </w:p>
        </w:tc>
        <w:tc>
          <w:tcPr>
            <w:tcW w:w="4860" w:type="dxa"/>
            <w:vAlign w:val="bottom"/>
          </w:tcPr>
          <w:p>
            <w:pPr>
              <w:spacing w:after="0"/>
              <w:rPr>
                <w:sz w:val="19"/>
                <w:szCs w:val="19"/>
                <w:color w:val="auto"/>
              </w:rPr>
            </w:pPr>
          </w:p>
        </w:tc>
      </w:tr>
      <w:tr>
        <w:trPr>
          <w:trHeight w:val="216"/>
        </w:trPr>
        <w:tc>
          <w:tcPr>
            <w:tcW w:w="7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2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w:t>
            </w:r>
          </w:p>
        </w:tc>
        <w:tc>
          <w:tcPr>
            <w:tcW w:w="4860" w:type="dxa"/>
            <w:vAlign w:val="bottom"/>
          </w:tcPr>
          <w:p>
            <w:pPr>
              <w:spacing w:after="0"/>
              <w:rPr>
                <w:sz w:val="18"/>
                <w:szCs w:val="18"/>
                <w:color w:val="auto"/>
              </w:rPr>
            </w:pPr>
          </w:p>
        </w:tc>
      </w:tr>
      <w:tr>
        <w:trPr>
          <w:trHeight w:val="212"/>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22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w:t>
            </w:r>
          </w:p>
        </w:tc>
        <w:tc>
          <w:tcPr>
            <w:tcW w:w="4860" w:type="dxa"/>
            <w:vAlign w:val="bottom"/>
          </w:tcPr>
          <w:p>
            <w:pPr>
              <w:spacing w:after="0"/>
              <w:rPr>
                <w:sz w:val="18"/>
                <w:szCs w:val="18"/>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BEIJING YIDIANWANGJU</w:t>
            </w:r>
          </w:p>
        </w:tc>
        <w:tc>
          <w:tcPr>
            <w:tcW w:w="22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w:t>
            </w:r>
          </w:p>
        </w:tc>
        <w:tc>
          <w:tcPr>
            <w:tcW w:w="4860" w:type="dxa"/>
            <w:vAlign w:val="bottom"/>
          </w:tcPr>
          <w:p>
            <w:pPr>
              <w:spacing w:after="0"/>
              <w:rPr>
                <w:sz w:val="18"/>
                <w:szCs w:val="18"/>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TECHNOLOGY CO., LTD.</w:t>
            </w:r>
          </w:p>
        </w:tc>
        <w:tc>
          <w:tcPr>
            <w:tcW w:w="22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w:t>
            </w:r>
          </w:p>
        </w:tc>
        <w:tc>
          <w:tcPr>
            <w:tcW w:w="4860" w:type="dxa"/>
            <w:vAlign w:val="bottom"/>
          </w:tcPr>
          <w:p>
            <w:pPr>
              <w:spacing w:after="0"/>
              <w:rPr>
                <w:sz w:val="18"/>
                <w:szCs w:val="18"/>
                <w:color w:val="auto"/>
              </w:rPr>
            </w:pPr>
          </w:p>
        </w:tc>
      </w:t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20" w:type="dxa"/>
            <w:vAlign w:val="bottom"/>
          </w:tcPr>
          <w:p>
            <w:pPr>
              <w:jc w:val="right"/>
              <w:ind w:right="2830"/>
              <w:spacing w:after="0"/>
              <w:rPr>
                <w:sz w:val="20"/>
                <w:szCs w:val="20"/>
                <w:color w:val="auto"/>
              </w:rPr>
            </w:pPr>
            <w:r>
              <w:rPr>
                <w:rFonts w:ascii="Times New Roman" w:cs="Times New Roman" w:eastAsia="Times New Roman" w:hAnsi="Times New Roman"/>
                <w:sz w:val="18"/>
                <w:szCs w:val="18"/>
                <w:b w:val="1"/>
                <w:bCs w:val="1"/>
                <w:color w:val="auto"/>
              </w:rPr>
              <w:t>)</w:t>
            </w:r>
          </w:p>
        </w:tc>
        <w:tc>
          <w:tcPr>
            <w:tcW w:w="708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  /s/ Ya Li</w:t>
            </w:r>
          </w:p>
        </w:tc>
      </w:tr>
      <w:tr>
        <w:trPr>
          <w:trHeight w:val="20"/>
        </w:trPr>
        <w:tc>
          <w:tcPr>
            <w:tcW w:w="7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r>
    </w:tbl>
    <w:p>
      <w:pPr>
        <w:spacing w:after="0" w:line="19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color w:val="auto"/>
        </w:rPr>
        <w:t>DIRECTOR / 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740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SIGNATURE PAGE</w:t>
            </w:r>
          </w:p>
        </w:tc>
        <w:tc>
          <w:tcPr>
            <w:tcW w:w="40" w:type="dxa"/>
            <w:vAlign w:val="bottom"/>
          </w:tcPr>
          <w:p>
            <w:pPr>
              <w:spacing w:after="0"/>
              <w:rPr>
                <w:sz w:val="20"/>
                <w:szCs w:val="20"/>
                <w:color w:val="auto"/>
              </w:rPr>
            </w:pPr>
          </w:p>
        </w:tc>
      </w:tr>
      <w:tr>
        <w:trPr>
          <w:trHeight w:val="432"/>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For execution by the Lender</w:t>
            </w:r>
          </w:p>
        </w:tc>
        <w:tc>
          <w:tcPr>
            <w:tcW w:w="25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30"/>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and DELIVERED </w:t>
            </w:r>
            <w:r>
              <w:rPr>
                <w:rFonts w:ascii="Times New Roman" w:cs="Times New Roman" w:eastAsia="Times New Roman" w:hAnsi="Times New Roman"/>
                <w:sz w:val="18"/>
                <w:szCs w:val="18"/>
                <w:color w:val="auto"/>
              </w:rPr>
              <w:t>by</w:t>
            </w:r>
          </w:p>
        </w:tc>
        <w:tc>
          <w:tcPr>
            <w:tcW w:w="25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w:t>
            </w:r>
          </w:p>
        </w:tc>
        <w:tc>
          <w:tcPr>
            <w:tcW w:w="4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020" w:type="dxa"/>
            <w:vAlign w:val="bottom"/>
          </w:tcPr>
          <w:p>
            <w:pPr>
              <w:spacing w:after="0"/>
              <w:rPr>
                <w:sz w:val="18"/>
                <w:szCs w:val="18"/>
                <w:color w:val="auto"/>
              </w:rPr>
            </w:pPr>
          </w:p>
        </w:tc>
        <w:tc>
          <w:tcPr>
            <w:tcW w:w="25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w:t>
            </w:r>
          </w:p>
        </w:tc>
        <w:tc>
          <w:tcPr>
            <w:tcW w:w="4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25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w:t>
            </w:r>
          </w:p>
        </w:tc>
        <w:tc>
          <w:tcPr>
            <w:tcW w:w="4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BEIJING TIANYING JIUZHOU</w:t>
            </w:r>
          </w:p>
        </w:tc>
        <w:tc>
          <w:tcPr>
            <w:tcW w:w="25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NETWORK TECHNOLOGY CO., LTD</w:t>
            </w:r>
          </w:p>
        </w:tc>
        <w:tc>
          <w:tcPr>
            <w:tcW w:w="740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  (Seal)</w:t>
            </w:r>
          </w:p>
        </w:tc>
        <w:tc>
          <w:tcPr>
            <w:tcW w:w="40" w:type="dxa"/>
            <w:vAlign w:val="bottom"/>
          </w:tcPr>
          <w:p>
            <w:pPr>
              <w:spacing w:after="0"/>
              <w:rPr>
                <w:sz w:val="20"/>
                <w:szCs w:val="20"/>
                <w:color w:val="auto"/>
              </w:rPr>
            </w:pPr>
          </w:p>
        </w:tc>
      </w:tr>
      <w:tr>
        <w:trPr>
          <w:trHeight w:val="426"/>
        </w:trPr>
        <w:tc>
          <w:tcPr>
            <w:tcW w:w="40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DIRECTOR / AUTHORISED SIGNATORY</w:t>
            </w:r>
          </w:p>
        </w:tc>
        <w:tc>
          <w:tcPr>
            <w:tcW w:w="40" w:type="dxa"/>
            <w:vAlign w:val="bottom"/>
          </w:tcPr>
          <w:p>
            <w:pPr>
              <w:spacing w:after="0"/>
              <w:rPr>
                <w:sz w:val="24"/>
                <w:szCs w:val="24"/>
                <w:color w:val="auto"/>
              </w:rPr>
            </w:pPr>
          </w:p>
        </w:tc>
      </w:tr>
      <w:tr>
        <w:trPr>
          <w:trHeight w:val="348"/>
        </w:trPr>
        <w:tc>
          <w:tcPr>
            <w:tcW w:w="402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48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03" w:lineRule="exact"/>
        <w:rPr>
          <w:sz w:val="20"/>
          <w:szCs w:val="20"/>
          <w:color w:val="auto"/>
        </w:rPr>
      </w:pPr>
    </w:p>
    <w:p>
      <w:pPr>
        <w:ind w:left="720" w:hanging="712"/>
        <w:spacing w:after="0"/>
        <w:tabs>
          <w:tab w:leader="none" w:pos="720"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Authorisation Documents of the Borrower</w:t>
      </w:r>
    </w:p>
    <w:p>
      <w:pPr>
        <w:spacing w:after="0" w:line="229" w:lineRule="exact"/>
        <w:rPr>
          <w:sz w:val="20"/>
          <w:szCs w:val="20"/>
          <w:color w:val="auto"/>
        </w:rPr>
      </w:pPr>
    </w:p>
    <w:p>
      <w:pPr>
        <w:ind w:left="660" w:right="2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Certified copies of the constitutional documents (including the certificate of incorporation, the updated version of the memorandum and articles of association, a certificate of incumbency and a certificate of good standing issued by the Registrar of Companies) of the Borrower.</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Certified copies of resolutions of the board of directors of the Borrower:</w:t>
      </w:r>
    </w:p>
    <w:p>
      <w:pPr>
        <w:spacing w:after="0" w:line="225" w:lineRule="exact"/>
        <w:rPr>
          <w:sz w:val="20"/>
          <w:szCs w:val="20"/>
          <w:color w:val="auto"/>
        </w:rPr>
      </w:pPr>
    </w:p>
    <w:p>
      <w:pPr>
        <w:ind w:left="1280" w:right="160" w:hanging="624"/>
        <w:spacing w:after="0" w:line="282" w:lineRule="auto"/>
        <w:tabs>
          <w:tab w:leader="none" w:pos="1276"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terms of, and the transactions contemplated by, the Finance Documents to which it is a party and resolving that it execute the Finance Documents to which it is a party;</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a specified person or persons to execute the Finance Documents to which it is a party on its behalf; and</w:t>
      </w:r>
    </w:p>
    <w:p>
      <w:pPr>
        <w:spacing w:after="0" w:line="225" w:lineRule="exact"/>
        <w:rPr>
          <w:rFonts w:ascii="Times New Roman" w:cs="Times New Roman" w:eastAsia="Times New Roman" w:hAnsi="Times New Roman"/>
          <w:sz w:val="18"/>
          <w:szCs w:val="18"/>
          <w:color w:val="auto"/>
        </w:rPr>
      </w:pPr>
    </w:p>
    <w:p>
      <w:pPr>
        <w:ind w:left="1280" w:right="620" w:hanging="624"/>
        <w:spacing w:after="0" w:line="282" w:lineRule="auto"/>
        <w:tabs>
          <w:tab w:leader="none" w:pos="1284"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a specified person or persons, on its behalf, to sign and/or despatch all documents and notices (including, if relevant, any Utilisation Request) to be signed and/or despatched by it under or in connection with the Finance Documents to which it is a party.</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Director’s certificate from the Borrower:</w:t>
      </w:r>
    </w:p>
    <w:p>
      <w:pPr>
        <w:spacing w:after="0" w:line="225" w:lineRule="exact"/>
        <w:rPr>
          <w:sz w:val="20"/>
          <w:szCs w:val="20"/>
          <w:color w:val="auto"/>
        </w:rPr>
      </w:pPr>
    </w:p>
    <w:p>
      <w:pPr>
        <w:ind w:left="1280" w:right="460" w:hanging="624"/>
        <w:spacing w:after="0" w:line="282" w:lineRule="auto"/>
        <w:tabs>
          <w:tab w:leader="none" w:pos="1271"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confirming that borrowing or securing, as appropriate, the Loan under this Agreement would not cause any borrowing, guaranteeing or similar limit binding on it to be exceeded;</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containing specimen of the signature of each person authorised by the resolution referred to in sub-clause 1.2(b) above; and</w:t>
      </w:r>
    </w:p>
    <w:p>
      <w:pPr>
        <w:spacing w:after="0" w:line="225" w:lineRule="exact"/>
        <w:rPr>
          <w:rFonts w:ascii="Times New Roman" w:cs="Times New Roman" w:eastAsia="Times New Roman" w:hAnsi="Times New Roman"/>
          <w:sz w:val="18"/>
          <w:szCs w:val="18"/>
          <w:color w:val="auto"/>
        </w:rPr>
      </w:pPr>
    </w:p>
    <w:p>
      <w:pPr>
        <w:ind w:left="1280" w:right="200" w:hanging="624"/>
        <w:spacing w:after="0" w:line="282" w:lineRule="auto"/>
        <w:tabs>
          <w:tab w:leader="none" w:pos="1284"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certifying that each copy document relating to it specified in this Schedule 1 is correct, complete and in full force and effect as at a date no earlier than the Execution Date.</w:t>
      </w:r>
    </w:p>
    <w:p>
      <w:pPr>
        <w:spacing w:after="0" w:line="158" w:lineRule="exact"/>
        <w:rPr>
          <w:sz w:val="20"/>
          <w:szCs w:val="20"/>
          <w:color w:val="auto"/>
        </w:rPr>
      </w:pPr>
    </w:p>
    <w:p>
      <w:pPr>
        <w:ind w:left="720" w:hanging="712"/>
        <w:spacing w:after="0"/>
        <w:tabs>
          <w:tab w:leader="none" w:pos="72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Authorisation Documents of the Covenantors</w:t>
      </w:r>
    </w:p>
    <w:p>
      <w:pPr>
        <w:spacing w:after="0" w:line="229" w:lineRule="exact"/>
        <w:rPr>
          <w:sz w:val="20"/>
          <w:szCs w:val="20"/>
          <w:color w:val="auto"/>
        </w:rPr>
      </w:pPr>
    </w:p>
    <w:p>
      <w:pPr>
        <w:ind w:left="660" w:right="2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Certified copies of the constitutional documents (including the certificate of incorporation and the updated version of the articles of association) of each of the Covenantors.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Certified copies of resolutions of the board of directors of each of the Covenantors:</w:t>
      </w:r>
    </w:p>
    <w:p>
      <w:pPr>
        <w:spacing w:after="0" w:line="225" w:lineRule="exact"/>
        <w:rPr>
          <w:sz w:val="20"/>
          <w:szCs w:val="20"/>
          <w:color w:val="auto"/>
        </w:rPr>
      </w:pPr>
    </w:p>
    <w:p>
      <w:pPr>
        <w:ind w:left="1280" w:right="160" w:hanging="624"/>
        <w:spacing w:after="0" w:line="282" w:lineRule="auto"/>
        <w:tabs>
          <w:tab w:leader="none" w:pos="1271"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terms of, and the transactions contemplated by, the Finance Documents to which it is a party and resolving that it execute the Finance Documents to which it is a party;</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a specified person or persons to execute the Finance Documents to which it is a party on its behalf; and</w:t>
      </w:r>
    </w:p>
    <w:p>
      <w:pPr>
        <w:spacing w:after="0" w:line="225" w:lineRule="exact"/>
        <w:rPr>
          <w:rFonts w:ascii="Times New Roman" w:cs="Times New Roman" w:eastAsia="Times New Roman" w:hAnsi="Times New Roman"/>
          <w:sz w:val="18"/>
          <w:szCs w:val="18"/>
          <w:color w:val="auto"/>
        </w:rPr>
      </w:pPr>
    </w:p>
    <w:p>
      <w:pPr>
        <w:ind w:left="1280" w:right="100" w:hanging="624"/>
        <w:spacing w:after="0" w:line="282" w:lineRule="auto"/>
        <w:tabs>
          <w:tab w:leader="none" w:pos="1284"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a specified person or persons, on its behalf, to sign and/or despatch all documents and notices to be signed and/or despatched by it under or in connection with the Finance Documents to which it is a party.</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Director’s certificate or legal representative’s certificate from each of the Covenantors:</w:t>
      </w:r>
    </w:p>
    <w:p>
      <w:pPr>
        <w:sectPr>
          <w:pgSz w:w="11900" w:h="16838" w:orient="portrait"/>
          <w:cols w:equalWidth="0" w:num="1">
            <w:col w:w="11460"/>
          </w:cols>
          <w:pgMar w:left="240" w:top="549" w:right="199" w:bottom="9" w:gutter="0" w:footer="0" w:header="0"/>
        </w:sectPr>
      </w:pPr>
    </w:p>
    <w:bookmarkStart w:id="216" w:name="page217"/>
    <w:bookmarkEnd w:id="216"/>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hanging="624"/>
        <w:spacing w:after="0" w:line="282" w:lineRule="auto"/>
        <w:tabs>
          <w:tab w:leader="none" w:pos="1271"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confirming that assuming obligations under this Agreement would not cause any borrowing, guaranteeing or similar limit binding on it to be exceeded;</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containing specimen of the signature of each person authorised by the resolution referred to in sub-clause 2.2(b) above; and</w:t>
      </w:r>
    </w:p>
    <w:p>
      <w:pPr>
        <w:spacing w:after="0" w:line="225" w:lineRule="exact"/>
        <w:rPr>
          <w:rFonts w:ascii="Times New Roman" w:cs="Times New Roman" w:eastAsia="Times New Roman" w:hAnsi="Times New Roman"/>
          <w:sz w:val="18"/>
          <w:szCs w:val="18"/>
          <w:color w:val="auto"/>
        </w:rPr>
      </w:pPr>
    </w:p>
    <w:p>
      <w:pPr>
        <w:ind w:left="1280" w:right="120" w:hanging="624"/>
        <w:spacing w:after="0" w:line="282" w:lineRule="auto"/>
        <w:tabs>
          <w:tab w:leader="none" w:pos="1284"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certifying that each copy document relating to it specified in this Schedule 1 is correct, complete and in full force and effect as at a date no earlier than the Execution Date</w:t>
      </w:r>
    </w:p>
    <w:p>
      <w:pPr>
        <w:spacing w:after="0" w:line="162" w:lineRule="exact"/>
        <w:rPr>
          <w:sz w:val="20"/>
          <w:szCs w:val="20"/>
          <w:color w:val="auto"/>
        </w:rPr>
      </w:pPr>
    </w:p>
    <w:p>
      <w:pPr>
        <w:ind w:left="580" w:right="160" w:hanging="579"/>
        <w:spacing w:after="0" w:line="261" w:lineRule="auto"/>
        <w:tabs>
          <w:tab w:leader="none" w:pos="56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Cayman Company approves the terms of the Financing Documents and the certified copy of the following Consent to the Transaction contemplated therein which is issued by: (i) the holders of no less than 70% of outstanding preferred shares (exercising voting powers as Class I Shares); (ii) the holders of no less than 70% of outstanding Series B shares (exercising voting powers as Class I Shares); (iii) the holders of no less than 70% of outstanding Series C shares (exercising voting powers as Class I Shares).</w:t>
      </w:r>
    </w:p>
    <w:p>
      <w:pPr>
        <w:spacing w:after="0" w:line="176" w:lineRule="exact"/>
        <w:rPr>
          <w:sz w:val="20"/>
          <w:szCs w:val="20"/>
          <w:color w:val="auto"/>
        </w:rPr>
      </w:pPr>
    </w:p>
    <w:p>
      <w:pPr>
        <w:ind w:left="640" w:hanging="632"/>
        <w:spacing w:after="0"/>
        <w:tabs>
          <w:tab w:leader="none" w:pos="640"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documents and evidence</w:t>
      </w:r>
    </w:p>
    <w:p>
      <w:pPr>
        <w:spacing w:after="0" w:line="2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The Original Financial Statements of the Borrower</w:t>
      </w:r>
      <w:r>
        <w:rPr>
          <w:rFonts w:ascii="Times New Roman" w:cs="Times New Roman" w:eastAsia="Times New Roman" w:hAnsi="Times New Roman"/>
          <w:sz w:val="17"/>
          <w:szCs w:val="17"/>
          <w:i w:val="1"/>
          <w:iCs w:val="1"/>
          <w:color w:val="auto"/>
        </w:rPr>
        <w:t>.</w:t>
      </w:r>
    </w:p>
    <w:p>
      <w:pPr>
        <w:spacing w:after="0" w:line="227" w:lineRule="exact"/>
        <w:rPr>
          <w:sz w:val="20"/>
          <w:szCs w:val="20"/>
          <w:color w:val="auto"/>
        </w:rPr>
      </w:pPr>
    </w:p>
    <w:p>
      <w:pPr>
        <w:ind w:left="660" w:right="4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A copy of any other Authorisation or other document, opinion or assurance which the Lender considers to be necessary or desirable in connection with the entry into and performance of the transactions contemplated by any Finance Document or for the validity and enforceability of any Finance Document.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Satisfactory completion of any other document(s) which the Lender may reasonably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726757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OF UTILISATION REQUEST</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Utilisation Request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From:</w:t>
        <w:tab/>
        <w:t>Beijing Particle Information Technology Co., Ltd.</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Beijing Tianying Jiuzhou Network Technology Co.,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Loan Agreement dated [ ] between, among others, Beijing Particle Information Technology Co., Ltd. as borrower and Beijing Tianying Jiuzhou Network Technology Co., Ltd. as lender (the “Loan Agreement”)</w:t>
      </w:r>
    </w:p>
    <w:p>
      <w:pPr>
        <w:spacing w:after="0" w:line="159" w:lineRule="exact"/>
        <w:rPr>
          <w:sz w:val="20"/>
          <w:szCs w:val="20"/>
          <w:color w:val="auto"/>
        </w:rPr>
      </w:pPr>
    </w:p>
    <w:p>
      <w:pPr>
        <w:ind w:left="640" w:right="660" w:hanging="632"/>
        <w:spacing w:after="0" w:line="282" w:lineRule="auto"/>
        <w:tabs>
          <w:tab w:leader="none" w:pos="636"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the Loan Agreement. This is an Utilisation Request. Terms defined in the Loan Agreement shall have the same meaning in this Utilisation Request.</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wish to borrow a Loan on the following terms:</w:t>
      </w:r>
    </w:p>
    <w:p>
      <w:pPr>
        <w:sectPr>
          <w:pgSz w:w="11900" w:h="16838" w:orient="portrait"/>
          <w:cols w:equalWidth="0" w:num="1">
            <w:col w:w="11380"/>
          </w:cols>
          <w:pgMar w:left="240" w:top="121" w:right="279" w:bottom="652" w:gutter="0" w:footer="0" w:header="0"/>
        </w:sectPr>
      </w:pP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Proposed Utilisation Date:</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Amount: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(or, if that is not a Business Day, the next Business Day)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RMB [ ]</w:t>
      </w:r>
    </w:p>
    <w:p>
      <w:pPr>
        <w:spacing w:after="0" w:line="200" w:lineRule="exact"/>
        <w:rPr>
          <w:sz w:val="20"/>
          <w:szCs w:val="20"/>
          <w:color w:val="auto"/>
        </w:rPr>
      </w:pPr>
    </w:p>
    <w:p>
      <w:pPr>
        <w:sectPr>
          <w:pgSz w:w="11900" w:h="16838" w:orient="portrait"/>
          <w:cols w:equalWidth="0" w:num="2">
            <w:col w:w="3140" w:space="720"/>
            <w:col w:w="7520"/>
          </w:cols>
          <w:pgMar w:left="240" w:top="121" w:right="279" w:bottom="652" w:gutter="0" w:footer="0" w:header="0"/>
          <w:type w:val="continuous"/>
        </w:sectPr>
      </w:pPr>
    </w:p>
    <w:p>
      <w:pPr>
        <w:spacing w:after="0" w:line="5" w:lineRule="exact"/>
        <w:rPr>
          <w:sz w:val="20"/>
          <w:szCs w:val="20"/>
          <w:color w:val="auto"/>
        </w:rPr>
      </w:pPr>
    </w:p>
    <w:p>
      <w:pPr>
        <w:ind w:left="640" w:hanging="632"/>
        <w:spacing w:after="0"/>
        <w:tabs>
          <w:tab w:leader="none" w:pos="640" w:val="left"/>
        </w:tabs>
        <w:numPr>
          <w:ilvl w:val="0"/>
          <w:numId w:val="5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confirm that each condition specified in Clause 4.2 (</w:t>
      </w:r>
      <w:r>
        <w:rPr>
          <w:rFonts w:ascii="Times New Roman" w:cs="Times New Roman" w:eastAsia="Times New Roman" w:hAnsi="Times New Roman"/>
          <w:sz w:val="17"/>
          <w:szCs w:val="17"/>
          <w:i w:val="1"/>
          <w:iCs w:val="1"/>
          <w:color w:val="auto"/>
        </w:rPr>
        <w:t>Further conditions precedent</w:t>
      </w:r>
      <w:r>
        <w:rPr>
          <w:rFonts w:ascii="Times New Roman" w:cs="Times New Roman" w:eastAsia="Times New Roman" w:hAnsi="Times New Roman"/>
          <w:sz w:val="17"/>
          <w:szCs w:val="17"/>
          <w:color w:val="auto"/>
        </w:rPr>
        <w:t>) is satisfied on the date of this Utilisation Request.</w:t>
      </w:r>
    </w:p>
    <w:p>
      <w:pPr>
        <w:spacing w:after="0" w:line="238" w:lineRule="exact"/>
        <w:rPr>
          <w:rFonts w:ascii="Times New Roman" w:cs="Times New Roman" w:eastAsia="Times New Roman" w:hAnsi="Times New Roman"/>
          <w:sz w:val="17"/>
          <w:szCs w:val="17"/>
          <w:color w:val="auto"/>
        </w:rPr>
      </w:pPr>
    </w:p>
    <w:p>
      <w:pPr>
        <w:ind w:left="640" w:hanging="632"/>
        <w:spacing w:after="0"/>
        <w:tabs>
          <w:tab w:leader="none" w:pos="640"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this Loan should be credited to the following account:</w:t>
      </w:r>
    </w:p>
    <w:p>
      <w:pPr>
        <w:spacing w:after="0" w:line="225" w:lineRule="exact"/>
        <w:rPr>
          <w:rFonts w:ascii="Times New Roman" w:cs="Times New Roman" w:eastAsia="Times New Roman" w:hAnsi="Times New Roman"/>
          <w:sz w:val="18"/>
          <w:szCs w:val="18"/>
          <w:color w:val="auto"/>
        </w:rPr>
      </w:pPr>
    </w:p>
    <w:p>
      <w:pPr>
        <w:jc w:val="both"/>
        <w:ind w:left="640" w:right="960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Name: Opening Bank: A/C No.:</w:t>
      </w:r>
    </w:p>
    <w:p>
      <w:pPr>
        <w:spacing w:after="0" w:line="1"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No.:</w:t>
      </w:r>
    </w:p>
    <w:p>
      <w:pPr>
        <w:spacing w:after="0" w:line="206"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Utilisation Request is irrevocable.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authorised signatory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62775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Particle Information Technology Co., Ltd.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1" w:right="279" w:bottom="652" w:gutter="0" w:footer="0" w:header="0"/>
          <w:type w:val="continuous"/>
        </w:sectPr>
      </w:pPr>
    </w:p>
    <w:bookmarkStart w:id="217" w:name="page218"/>
    <w:bookmarkEnd w:id="21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FORM OF TRANSFER CERTIFICATE</w:t>
      </w:r>
    </w:p>
    <w:p>
      <w:pPr>
        <w:sectPr>
          <w:pgSz w:w="11900" w:h="16838" w:orient="portrait"/>
          <w:cols w:equalWidth="0" w:num="1">
            <w:col w:w="11460"/>
          </w:cols>
          <w:pgMar w:left="240" w:top="117" w:right="199" w:bottom="572" w:gutter="0" w:footer="0" w:header="0"/>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Particle Information Technology Co., Ltd.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[The Existing Lender] (the “</w:t>
      </w:r>
      <w:r>
        <w:rPr>
          <w:rFonts w:ascii="Times New Roman" w:cs="Times New Roman" w:eastAsia="Times New Roman" w:hAnsi="Times New Roman"/>
          <w:sz w:val="17"/>
          <w:szCs w:val="17"/>
          <w:b w:val="1"/>
          <w:bCs w:val="1"/>
          <w:color w:val="auto"/>
        </w:rPr>
        <w:t>Existing Lender</w:t>
      </w:r>
      <w:r>
        <w:rPr>
          <w:rFonts w:ascii="Times New Roman" w:cs="Times New Roman" w:eastAsia="Times New Roman" w:hAnsi="Times New Roman"/>
          <w:sz w:val="17"/>
          <w:szCs w:val="17"/>
          <w:color w:val="auto"/>
        </w:rPr>
        <w:t>”) and [The New Lender] (the “</w:t>
      </w:r>
      <w:r>
        <w:rPr>
          <w:rFonts w:ascii="Times New Roman" w:cs="Times New Roman" w:eastAsia="Times New Roman" w:hAnsi="Times New Roman"/>
          <w:sz w:val="17"/>
          <w:szCs w:val="17"/>
          <w:b w:val="1"/>
          <w:bCs w:val="1"/>
          <w:color w:val="auto"/>
        </w:rPr>
        <w:t>New Lender</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560" w:space="720"/>
            <w:col w:w="10180"/>
          </w:cols>
          <w:pgMar w:left="240" w:top="117" w:right="199" w:bottom="572"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ectPr>
          <w:pgSz w:w="11900" w:h="16838" w:orient="portrait"/>
          <w:cols w:equalWidth="0" w:num="1">
            <w:col w:w="11460"/>
          </w:cols>
          <w:pgMar w:left="240" w:top="117" w:right="199" w:bottom="572" w:gutter="0" w:footer="0" w:header="0"/>
          <w:type w:val="continuous"/>
        </w:sectPr>
      </w:pPr>
    </w:p>
    <w:p>
      <w:pPr>
        <w:spacing w:after="0" w:line="22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Loan Agreement dated [ ] 2017 between, among others, Beijing Particle Information Technology Co., Ltd. as borrower and Beijing Tianying Jiuzhou Network Technology Co., Ltd. as lender (the “Loan Agreement”)</w:t>
      </w:r>
    </w:p>
    <w:p>
      <w:pPr>
        <w:spacing w:after="0" w:line="159" w:lineRule="exact"/>
        <w:rPr>
          <w:sz w:val="20"/>
          <w:szCs w:val="20"/>
          <w:color w:val="auto"/>
        </w:rPr>
      </w:pPr>
    </w:p>
    <w:p>
      <w:pPr>
        <w:ind w:left="660" w:right="360" w:hanging="652"/>
        <w:spacing w:after="0" w:line="282" w:lineRule="auto"/>
        <w:tabs>
          <w:tab w:leader="none" w:pos="660"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the Loan Agreement. This is a Transfer Certificate. Terms used in the Loan Agreement shall have the same meaning in this Transfer Certificate.</w:t>
      </w:r>
    </w:p>
    <w:p>
      <w:pPr>
        <w:spacing w:after="0" w:line="15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Clause 18.3 (</w:t>
      </w:r>
      <w:r>
        <w:rPr>
          <w:rFonts w:ascii="Times New Roman" w:cs="Times New Roman" w:eastAsia="Times New Roman" w:hAnsi="Times New Roman"/>
          <w:sz w:val="18"/>
          <w:szCs w:val="18"/>
          <w:i w:val="1"/>
          <w:iCs w:val="1"/>
          <w:color w:val="auto"/>
        </w:rPr>
        <w:t>Procedure for transfer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300" w:right="60" w:hanging="644"/>
        <w:spacing w:after="0" w:line="282" w:lineRule="auto"/>
        <w:tabs>
          <w:tab w:leader="none" w:pos="1297"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Lender and the New Lender agree to the Existing Lender transferring to the New Lender by novation all or part of the Existing Lender’s rights and obligations referred to in the Schedule in accordance with Clause 18.3 (</w:t>
      </w:r>
      <w:r>
        <w:rPr>
          <w:rFonts w:ascii="Times New Roman" w:cs="Times New Roman" w:eastAsia="Times New Roman" w:hAnsi="Times New Roman"/>
          <w:sz w:val="18"/>
          <w:szCs w:val="18"/>
          <w:i w:val="1"/>
          <w:iCs w:val="1"/>
          <w:color w:val="auto"/>
        </w:rPr>
        <w:t>Procedure for transfer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tabs>
          <w:tab w:leader="none" w:pos="1300" w:val="left"/>
          <w:tab w:leader="none" w:pos="398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8"/>
          <w:szCs w:val="18"/>
          <w:color w:val="auto"/>
        </w:rPr>
        <w:t>The proposed Transfer Date is [</w:t>
      </w:r>
      <w:r>
        <w:rPr>
          <w:sz w:val="20"/>
          <w:szCs w:val="20"/>
          <w:color w:val="auto"/>
        </w:rPr>
        <w:tab/>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1300" w:right="160" w:hanging="644"/>
        <w:spacing w:after="0" w:line="284" w:lineRule="auto"/>
        <w:tabs>
          <w:tab w:leader="none" w:pos="1310" w:val="left"/>
        </w:tabs>
        <w:numPr>
          <w:ilvl w:val="1"/>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facility office and address, fax number and attention details for notices of the New Lender for the purposes of Clause 23.2 (</w:t>
      </w:r>
      <w:r>
        <w:rPr>
          <w:rFonts w:ascii="Times New Roman" w:cs="Times New Roman" w:eastAsia="Times New Roman" w:hAnsi="Times New Roman"/>
          <w:sz w:val="18"/>
          <w:szCs w:val="18"/>
          <w:i w:val="1"/>
          <w:iCs w:val="1"/>
          <w:color w:val="auto"/>
        </w:rPr>
        <w:t>Addresses</w:t>
      </w:r>
      <w:r>
        <w:rPr>
          <w:rFonts w:ascii="Times New Roman" w:cs="Times New Roman" w:eastAsia="Times New Roman" w:hAnsi="Times New Roman"/>
          <w:sz w:val="18"/>
          <w:szCs w:val="18"/>
          <w:color w:val="auto"/>
        </w:rPr>
        <w:t>) are set out in the Schedule.</w:t>
      </w:r>
    </w:p>
    <w:p>
      <w:pPr>
        <w:spacing w:after="0" w:line="16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expressly acknowledges</w:t>
      </w:r>
    </w:p>
    <w:p>
      <w:pPr>
        <w:spacing w:after="0" w:line="223" w:lineRule="exact"/>
        <w:rPr>
          <w:rFonts w:ascii="Times New Roman" w:cs="Times New Roman" w:eastAsia="Times New Roman" w:hAnsi="Times New Roman"/>
          <w:sz w:val="18"/>
          <w:szCs w:val="18"/>
          <w:color w:val="auto"/>
        </w:rPr>
      </w:pPr>
    </w:p>
    <w:p>
      <w:pPr>
        <w:ind w:left="1300" w:right="120" w:hanging="644"/>
        <w:spacing w:after="0" w:line="284" w:lineRule="auto"/>
        <w:tabs>
          <w:tab w:leader="none" w:pos="1297"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on the Existing Lender’s obligations set out in sub-clauses (a) and (c) of Clause 18.2 (</w:t>
      </w:r>
      <w:r>
        <w:rPr>
          <w:rFonts w:ascii="Times New Roman" w:cs="Times New Roman" w:eastAsia="Times New Roman" w:hAnsi="Times New Roman"/>
          <w:sz w:val="18"/>
          <w:szCs w:val="18"/>
          <w:i w:val="1"/>
          <w:iCs w:val="1"/>
          <w:color w:val="auto"/>
        </w:rPr>
        <w:t>Limitation of responsibility of 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Lenders</w:t>
      </w:r>
      <w:r>
        <w:rPr>
          <w:rFonts w:ascii="Times New Roman" w:cs="Times New Roman" w:eastAsia="Times New Roman" w:hAnsi="Times New Roman"/>
          <w:sz w:val="18"/>
          <w:szCs w:val="18"/>
          <w:color w:val="auto"/>
        </w:rPr>
        <w:t>), and</w:t>
      </w:r>
    </w:p>
    <w:p>
      <w:pPr>
        <w:spacing w:after="0" w:line="160"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7"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is the responsibility of the New Lender to ascertain whether any document is required or any formality or other condition requires to be satisfied to effect or perfect the transfer contemplated by this Transfer Certificate or otherwise to enable the New Lender to enjoy the full benefit of each Finance Document.</w:t>
      </w:r>
    </w:p>
    <w:p>
      <w:pPr>
        <w:spacing w:after="0" w:line="17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confirms that it is a “New Lender” within the meaning of Clause 18.1 (</w:t>
      </w:r>
      <w:r>
        <w:rPr>
          <w:rFonts w:ascii="Times New Roman" w:cs="Times New Roman" w:eastAsia="Times New Roman" w:hAnsi="Times New Roman"/>
          <w:sz w:val="18"/>
          <w:szCs w:val="18"/>
          <w:i w:val="1"/>
          <w:iCs w:val="1"/>
          <w:color w:val="auto"/>
        </w:rPr>
        <w:t>Assignments and transfers by the Lenders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Lender and the New Lender confirm that the New Lender is not an Obligor or an Affiliate of an Obligor.</w:t>
      </w:r>
    </w:p>
    <w:p>
      <w:pPr>
        <w:spacing w:after="0" w:line="225"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Transfer Certificate may be executed in any number of counterparts and this has the same effect as if the signatures on the counterparts were on a single copy of this Transfer Certificate.</w:t>
      </w:r>
    </w:p>
    <w:p>
      <w:pPr>
        <w:spacing w:after="0" w:line="161" w:lineRule="exact"/>
        <w:rPr>
          <w:rFonts w:ascii="Times New Roman" w:cs="Times New Roman" w:eastAsia="Times New Roman" w:hAnsi="Times New Roman"/>
          <w:sz w:val="18"/>
          <w:szCs w:val="18"/>
          <w:color w:val="auto"/>
        </w:rPr>
      </w:pPr>
    </w:p>
    <w:p>
      <w:pPr>
        <w:ind w:left="660" w:right="580" w:hanging="652"/>
        <w:spacing w:after="0" w:line="282" w:lineRule="auto"/>
        <w:tabs>
          <w:tab w:leader="none" w:pos="660"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Transfer Certificate, and all non-contractual obligations arising from or in connection with this Transfer Certificate, are governed by, and construed exclusively in accordance with, the laws of PRC.</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Transfer Certificate has been entered into on the date stated at the beginning of this Transfer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500" w:type="dxa"/>
            <w:vAlign w:val="bottom"/>
          </w:tcPr>
          <w:p>
            <w:pPr>
              <w:jc w:val="right"/>
              <w:ind w:right="4950"/>
              <w:spacing w:after="0"/>
              <w:rPr>
                <w:sz w:val="20"/>
                <w:szCs w:val="20"/>
                <w:color w:val="auto"/>
              </w:rPr>
            </w:pPr>
            <w:r>
              <w:rPr>
                <w:rFonts w:ascii="Times New Roman" w:cs="Times New Roman" w:eastAsia="Times New Roman" w:hAnsi="Times New Roman"/>
                <w:sz w:val="18"/>
                <w:szCs w:val="18"/>
                <w:b w:val="1"/>
                <w:bCs w:val="1"/>
                <w:color w:val="auto"/>
              </w:rPr>
              <w:t>THE SCHEDULE</w:t>
            </w:r>
          </w:p>
        </w:tc>
      </w:tr>
      <w:tr>
        <w:trPr>
          <w:trHeight w:val="238"/>
        </w:trPr>
        <w:tc>
          <w:tcPr>
            <w:tcW w:w="3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500" w:type="dxa"/>
            <w:vAlign w:val="bottom"/>
          </w:tcPr>
          <w:p>
            <w:pPr>
              <w:jc w:val="right"/>
              <w:ind w:right="4070"/>
              <w:spacing w:after="0"/>
              <w:rPr>
                <w:sz w:val="20"/>
                <w:szCs w:val="20"/>
                <w:color w:val="auto"/>
              </w:rPr>
            </w:pPr>
            <w:r>
              <w:rPr>
                <w:rFonts w:ascii="Times New Roman" w:cs="Times New Roman" w:eastAsia="Times New Roman" w:hAnsi="Times New Roman"/>
                <w:sz w:val="18"/>
                <w:szCs w:val="18"/>
                <w:b w:val="1"/>
                <w:bCs w:val="1"/>
                <w:color w:val="auto"/>
              </w:rPr>
              <w:t>Rights and Obligations to be Transferred</w:t>
            </w:r>
          </w:p>
        </w:tc>
      </w:tr>
      <w:tr>
        <w:trPr>
          <w:trHeight w:val="432"/>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Transfer Details</w:t>
            </w:r>
            <w:r>
              <w:rPr>
                <w:rFonts w:ascii="Times New Roman" w:cs="Times New Roman" w:eastAsia="Times New Roman" w:hAnsi="Times New Roman"/>
                <w:sz w:val="18"/>
                <w:szCs w:val="18"/>
                <w:color w:val="auto"/>
              </w:rPr>
              <w:t>:</w:t>
            </w:r>
          </w:p>
        </w:tc>
        <w:tc>
          <w:tcPr>
            <w:tcW w:w="860" w:type="dxa"/>
            <w:vAlign w:val="bottom"/>
          </w:tcPr>
          <w:p>
            <w:pPr>
              <w:spacing w:after="0"/>
              <w:rPr>
                <w:sz w:val="24"/>
                <w:szCs w:val="24"/>
                <w:color w:val="auto"/>
              </w:rPr>
            </w:pPr>
          </w:p>
        </w:tc>
        <w:tc>
          <w:tcPr>
            <w:tcW w:w="7500" w:type="dxa"/>
            <w:vAlign w:val="bottom"/>
          </w:tcPr>
          <w:p>
            <w:pPr>
              <w:spacing w:after="0"/>
              <w:rPr>
                <w:sz w:val="24"/>
                <w:szCs w:val="24"/>
                <w:color w:val="auto"/>
              </w:rPr>
            </w:pPr>
          </w:p>
        </w:tc>
      </w:tr>
      <w:tr>
        <w:trPr>
          <w:trHeight w:val="41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Nature:</w:t>
            </w:r>
          </w:p>
        </w:tc>
        <w:tc>
          <w:tcPr>
            <w:tcW w:w="83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[insert description of facility(ies) transferred]</w:t>
            </w: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Final Maturity:</w:t>
            </w: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500" w:type="dxa"/>
            <w:vAlign w:val="bottom"/>
          </w:tcPr>
          <w:p>
            <w:pPr>
              <w:jc w:val="right"/>
              <w:ind w:right="6910"/>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Participation Transferred</w:t>
            </w:r>
          </w:p>
        </w:tc>
        <w:tc>
          <w:tcPr>
            <w:tcW w:w="860" w:type="dxa"/>
            <w:vAlign w:val="bottom"/>
          </w:tcPr>
          <w:p>
            <w:pPr>
              <w:spacing w:after="0"/>
              <w:rPr>
                <w:sz w:val="24"/>
                <w:szCs w:val="24"/>
                <w:color w:val="auto"/>
              </w:rPr>
            </w:pPr>
          </w:p>
        </w:tc>
        <w:tc>
          <w:tcPr>
            <w:tcW w:w="7500" w:type="dxa"/>
            <w:vAlign w:val="bottom"/>
          </w:tcPr>
          <w:p>
            <w:pPr>
              <w:spacing w:after="0"/>
              <w:rPr>
                <w:sz w:val="24"/>
                <w:szCs w:val="24"/>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Drawn Amount:</w:t>
            </w: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500" w:type="dxa"/>
            <w:vAlign w:val="bottom"/>
          </w:tcPr>
          <w:p>
            <w:pPr>
              <w:jc w:val="right"/>
              <w:ind w:right="69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Undrawn Amount:</w:t>
            </w: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500" w:type="dxa"/>
            <w:vAlign w:val="bottom"/>
          </w:tcPr>
          <w:p>
            <w:pPr>
              <w:jc w:val="right"/>
              <w:ind w:right="691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Administration Details:</w:t>
            </w:r>
          </w:p>
        </w:tc>
        <w:tc>
          <w:tcPr>
            <w:tcW w:w="860" w:type="dxa"/>
            <w:vAlign w:val="bottom"/>
          </w:tcPr>
          <w:p>
            <w:pPr>
              <w:spacing w:after="0"/>
              <w:rPr>
                <w:sz w:val="24"/>
                <w:szCs w:val="24"/>
                <w:color w:val="auto"/>
              </w:rPr>
            </w:pPr>
          </w:p>
        </w:tc>
        <w:tc>
          <w:tcPr>
            <w:tcW w:w="7500" w:type="dxa"/>
            <w:vAlign w:val="bottom"/>
          </w:tcPr>
          <w:p>
            <w:pPr>
              <w:spacing w:after="0"/>
              <w:rPr>
                <w:sz w:val="24"/>
                <w:szCs w:val="24"/>
                <w:color w:val="auto"/>
              </w:rPr>
            </w:pPr>
          </w:p>
        </w:tc>
      </w:tr>
      <w:tr>
        <w:trPr>
          <w:trHeight w:val="41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New Lender’s Receiving Account:</w:t>
            </w: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500" w:type="dxa"/>
            <w:vAlign w:val="bottom"/>
          </w:tcPr>
          <w:p>
            <w:pPr>
              <w:jc w:val="right"/>
              <w:ind w:right="69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500" w:type="dxa"/>
            <w:vAlign w:val="bottom"/>
          </w:tcPr>
          <w:p>
            <w:pPr>
              <w:jc w:val="right"/>
              <w:ind w:right="69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Telephone:</w:t>
            </w: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500" w:type="dxa"/>
            <w:vAlign w:val="bottom"/>
          </w:tcPr>
          <w:p>
            <w:pPr>
              <w:jc w:val="right"/>
              <w:ind w:right="69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Facsimile:</w:t>
            </w: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500" w:type="dxa"/>
            <w:vAlign w:val="bottom"/>
          </w:tcPr>
          <w:p>
            <w:pPr>
              <w:jc w:val="right"/>
              <w:ind w:right="69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Attn/Ref:</w:t>
            </w: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500" w:type="dxa"/>
            <w:vAlign w:val="bottom"/>
          </w:tcPr>
          <w:p>
            <w:pPr>
              <w:jc w:val="right"/>
              <w:ind w:right="6910"/>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[Existing Lender]</w:t>
            </w:r>
          </w:p>
        </w:tc>
        <w:tc>
          <w:tcPr>
            <w:tcW w:w="860" w:type="dxa"/>
            <w:vAlign w:val="bottom"/>
          </w:tcPr>
          <w:p>
            <w:pPr>
              <w:spacing w:after="0"/>
              <w:rPr>
                <w:sz w:val="24"/>
                <w:szCs w:val="24"/>
                <w:color w:val="auto"/>
              </w:rPr>
            </w:pPr>
          </w:p>
        </w:tc>
        <w:tc>
          <w:tcPr>
            <w:tcW w:w="75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[New Lender]</w:t>
            </w: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860" w:type="dxa"/>
            <w:vAlign w:val="bottom"/>
          </w:tcPr>
          <w:p>
            <w:pPr>
              <w:spacing w:after="0"/>
              <w:rPr>
                <w:sz w:val="20"/>
                <w:szCs w:val="20"/>
                <w:color w:val="auto"/>
              </w:rPr>
            </w:pPr>
          </w:p>
        </w:tc>
        <w:tc>
          <w:tcPr>
            <w:tcW w:w="75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r>
      <w:tr>
        <w:trPr>
          <w:trHeight w:val="348"/>
        </w:trPr>
        <w:tc>
          <w:tcPr>
            <w:tcW w:w="31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7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572" w:gutter="0" w:footer="0" w:header="0"/>
          <w:type w:val="continuous"/>
        </w:sectPr>
      </w:pPr>
    </w:p>
    <w:bookmarkStart w:id="218" w:name="page219"/>
    <w:bookmarkEnd w:id="218"/>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 of Significant Subsidiaries of the Registrant (as of December 31,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Phoenix Satellite Television Information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Phoenix New Media (Hong Kong) Company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Phoenix New Media (Hong Kong) Information Technology Company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Fenghuang On-line (Beijing) Information Technology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Fenghuang Yutian Software Technology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Fenghuang Feiyang (Beijing) New Media Information Technology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Fenghuang Borui Software Technology Co.,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Affiliated consolidated entities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Yifeng Lianhe (Beijing) Technology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Tianying Jiuzhou Network Technology Co.,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 of affiliated consolidated entity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Tianying Chuangzhi Advertising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Tianjin Fenghuang Mingdao Culture Communication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Yixi Network Technology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19" w:name="page220"/>
    <w:bookmarkEnd w:id="219"/>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Shuang Liu, certify that:</w:t>
      </w:r>
    </w:p>
    <w:p>
      <w:pPr>
        <w:spacing w:after="0" w:line="225" w:lineRule="exact"/>
        <w:rPr>
          <w:sz w:val="20"/>
          <w:szCs w:val="20"/>
          <w:color w:val="auto"/>
        </w:rPr>
      </w:pPr>
    </w:p>
    <w:p>
      <w:pPr>
        <w:ind w:left="1300" w:hanging="852"/>
        <w:spacing w:after="0"/>
        <w:tabs>
          <w:tab w:leader="none" w:pos="1300"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Phoenix New Media Limited (the “Company”);</w:t>
      </w:r>
    </w:p>
    <w:p>
      <w:pPr>
        <w:spacing w:after="0" w:line="225" w:lineRule="exact"/>
        <w:rPr>
          <w:rFonts w:ascii="Times New Roman" w:cs="Times New Roman" w:eastAsia="Times New Roman" w:hAnsi="Times New Roman"/>
          <w:sz w:val="18"/>
          <w:szCs w:val="18"/>
          <w:color w:val="auto"/>
        </w:rPr>
      </w:pPr>
    </w:p>
    <w:p>
      <w:pPr>
        <w:ind w:left="880" w:right="380" w:hanging="432"/>
        <w:spacing w:after="0" w:line="266" w:lineRule="auto"/>
        <w:tabs>
          <w:tab w:leader="none" w:pos="1294"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880" w:right="540" w:hanging="432"/>
        <w:spacing w:after="0" w:line="282" w:lineRule="auto"/>
        <w:tabs>
          <w:tab w:leader="none" w:pos="1294"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880" w:right="360" w:hanging="432"/>
        <w:spacing w:after="0" w:line="266" w:lineRule="auto"/>
        <w:tabs>
          <w:tab w:leader="none" w:pos="1294"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6" w:lineRule="exact"/>
        <w:rPr>
          <w:rFonts w:ascii="Times New Roman" w:cs="Times New Roman" w:eastAsia="Times New Roman" w:hAnsi="Times New Roman"/>
          <w:sz w:val="18"/>
          <w:szCs w:val="18"/>
          <w:color w:val="auto"/>
        </w:rPr>
      </w:pPr>
    </w:p>
    <w:p>
      <w:pPr>
        <w:jc w:val="both"/>
        <w:ind w:left="1740" w:right="220" w:hanging="435"/>
        <w:spacing w:after="0" w:line="266" w:lineRule="auto"/>
        <w:tabs>
          <w:tab w:leader="none" w:pos="2399" w:val="left"/>
        </w:tabs>
        <w:numPr>
          <w:ilvl w:val="1"/>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740" w:right="120" w:hanging="435"/>
        <w:spacing w:after="0" w:line="266" w:lineRule="auto"/>
        <w:tabs>
          <w:tab w:leader="none" w:pos="2409" w:val="left"/>
        </w:tabs>
        <w:numPr>
          <w:ilvl w:val="1"/>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740" w:right="140" w:hanging="435"/>
        <w:spacing w:after="0" w:line="266" w:lineRule="auto"/>
        <w:tabs>
          <w:tab w:leader="none" w:pos="2444" w:val="left"/>
        </w:tabs>
        <w:numPr>
          <w:ilvl w:val="1"/>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1740" w:right="320" w:hanging="435"/>
        <w:spacing w:after="0" w:line="266" w:lineRule="auto"/>
        <w:tabs>
          <w:tab w:leader="none" w:pos="2409" w:val="left"/>
        </w:tabs>
        <w:numPr>
          <w:ilvl w:val="1"/>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6" w:lineRule="exact"/>
        <w:rPr>
          <w:rFonts w:ascii="Times New Roman" w:cs="Times New Roman" w:eastAsia="Times New Roman" w:hAnsi="Times New Roman"/>
          <w:sz w:val="18"/>
          <w:szCs w:val="18"/>
          <w:color w:val="auto"/>
        </w:rPr>
      </w:pPr>
    </w:p>
    <w:p>
      <w:pPr>
        <w:jc w:val="both"/>
        <w:ind w:left="880" w:right="740" w:hanging="432"/>
        <w:spacing w:after="0" w:line="266" w:lineRule="auto"/>
        <w:tabs>
          <w:tab w:leader="none" w:pos="1294"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6" w:lineRule="exact"/>
        <w:rPr>
          <w:rFonts w:ascii="Times New Roman" w:cs="Times New Roman" w:eastAsia="Times New Roman" w:hAnsi="Times New Roman"/>
          <w:sz w:val="18"/>
          <w:szCs w:val="18"/>
          <w:color w:val="auto"/>
        </w:rPr>
      </w:pPr>
    </w:p>
    <w:p>
      <w:pPr>
        <w:ind w:left="1740" w:right="160" w:hanging="435"/>
        <w:spacing w:after="0" w:line="266" w:lineRule="auto"/>
        <w:tabs>
          <w:tab w:leader="none" w:pos="2399" w:val="left"/>
        </w:tabs>
        <w:numPr>
          <w:ilvl w:val="1"/>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1740" w:right="680" w:hanging="435"/>
        <w:spacing w:after="0" w:line="282" w:lineRule="auto"/>
        <w:tabs>
          <w:tab w:leader="none" w:pos="2409" w:val="left"/>
        </w:tabs>
        <w:numPr>
          <w:ilvl w:val="1"/>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Shuang Liu</w:t>
            </w:r>
          </w:p>
        </w:tc>
        <w:tc>
          <w:tcPr>
            <w:tcW w:w="5740" w:type="dxa"/>
            <w:vAlign w:val="bottom"/>
          </w:tcPr>
          <w:p>
            <w:pPr>
              <w:spacing w:after="0"/>
              <w:rPr>
                <w:sz w:val="20"/>
                <w:szCs w:val="20"/>
                <w:color w:val="auto"/>
              </w:rPr>
            </w:pPr>
          </w:p>
        </w:tc>
      </w:tr>
      <w:tr>
        <w:trPr>
          <w:trHeight w:val="191"/>
        </w:trPr>
        <w:tc>
          <w:tcPr>
            <w:tcW w:w="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Shuang Liu</w:t>
            </w:r>
          </w:p>
        </w:tc>
        <w:tc>
          <w:tcPr>
            <w:tcW w:w="5740" w:type="dxa"/>
            <w:vAlign w:val="bottom"/>
          </w:tcPr>
          <w:p>
            <w:pPr>
              <w:spacing w:after="0"/>
              <w:rPr>
                <w:sz w:val="16"/>
                <w:szCs w:val="16"/>
                <w:color w:val="auto"/>
              </w:rPr>
            </w:pP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5740" w:type="dxa"/>
            <w:vAlign w:val="bottom"/>
          </w:tcPr>
          <w:p>
            <w:pPr>
              <w:spacing w:after="0"/>
              <w:rPr>
                <w:sz w:val="20"/>
                <w:szCs w:val="20"/>
                <w:color w:val="auto"/>
              </w:rPr>
            </w:pPr>
          </w:p>
        </w:tc>
      </w:tr>
      <w:tr>
        <w:trPr>
          <w:trHeight w:val="348"/>
        </w:trPr>
        <w:tc>
          <w:tcPr>
            <w:tcW w:w="800" w:type="dxa"/>
            <w:vAlign w:val="bottom"/>
            <w:tcBorders>
              <w:bottom w:val="single" w:sz="8" w:color="808080"/>
            </w:tcBorders>
          </w:tcPr>
          <w:p>
            <w:pPr>
              <w:spacing w:after="0"/>
              <w:rPr>
                <w:sz w:val="24"/>
                <w:szCs w:val="24"/>
                <w:color w:val="auto"/>
              </w:rPr>
            </w:pPr>
          </w:p>
        </w:tc>
        <w:tc>
          <w:tcPr>
            <w:tcW w:w="492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220" w:name="page221"/>
    <w:bookmarkEnd w:id="220"/>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Betty Yip Ho, certify that:</w:t>
      </w:r>
    </w:p>
    <w:p>
      <w:pPr>
        <w:spacing w:after="0" w:line="225" w:lineRule="exact"/>
        <w:rPr>
          <w:sz w:val="20"/>
          <w:szCs w:val="20"/>
          <w:color w:val="auto"/>
        </w:rPr>
      </w:pPr>
    </w:p>
    <w:p>
      <w:pPr>
        <w:ind w:left="1300" w:hanging="852"/>
        <w:spacing w:after="0"/>
        <w:tabs>
          <w:tab w:leader="none" w:pos="1300"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Phoenix New Media Limited (the “Company”);</w:t>
      </w:r>
    </w:p>
    <w:p>
      <w:pPr>
        <w:spacing w:after="0" w:line="225" w:lineRule="exact"/>
        <w:rPr>
          <w:rFonts w:ascii="Times New Roman" w:cs="Times New Roman" w:eastAsia="Times New Roman" w:hAnsi="Times New Roman"/>
          <w:sz w:val="18"/>
          <w:szCs w:val="18"/>
          <w:color w:val="auto"/>
        </w:rPr>
      </w:pPr>
    </w:p>
    <w:p>
      <w:pPr>
        <w:ind w:left="880" w:right="380" w:hanging="432"/>
        <w:spacing w:after="0" w:line="266" w:lineRule="auto"/>
        <w:tabs>
          <w:tab w:leader="none" w:pos="1294"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880" w:right="540" w:hanging="432"/>
        <w:spacing w:after="0" w:line="282" w:lineRule="auto"/>
        <w:tabs>
          <w:tab w:leader="none" w:pos="1294"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880" w:right="360" w:hanging="432"/>
        <w:spacing w:after="0" w:line="266" w:lineRule="auto"/>
        <w:tabs>
          <w:tab w:leader="none" w:pos="1294"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6" w:lineRule="exact"/>
        <w:rPr>
          <w:rFonts w:ascii="Times New Roman" w:cs="Times New Roman" w:eastAsia="Times New Roman" w:hAnsi="Times New Roman"/>
          <w:sz w:val="18"/>
          <w:szCs w:val="18"/>
          <w:color w:val="auto"/>
        </w:rPr>
      </w:pPr>
    </w:p>
    <w:p>
      <w:pPr>
        <w:jc w:val="both"/>
        <w:ind w:left="1740" w:right="220" w:hanging="435"/>
        <w:spacing w:after="0" w:line="266" w:lineRule="auto"/>
        <w:tabs>
          <w:tab w:leader="none" w:pos="2399" w:val="left"/>
        </w:tabs>
        <w:numPr>
          <w:ilvl w:val="1"/>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740" w:right="120" w:hanging="435"/>
        <w:spacing w:after="0" w:line="266" w:lineRule="auto"/>
        <w:tabs>
          <w:tab w:leader="none" w:pos="2409" w:val="left"/>
        </w:tabs>
        <w:numPr>
          <w:ilvl w:val="1"/>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740" w:right="140" w:hanging="435"/>
        <w:spacing w:after="0" w:line="266" w:lineRule="auto"/>
        <w:tabs>
          <w:tab w:leader="none" w:pos="2444" w:val="left"/>
        </w:tabs>
        <w:numPr>
          <w:ilvl w:val="1"/>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1740" w:right="320" w:hanging="435"/>
        <w:spacing w:after="0" w:line="266" w:lineRule="auto"/>
        <w:tabs>
          <w:tab w:leader="none" w:pos="2409" w:val="left"/>
        </w:tabs>
        <w:numPr>
          <w:ilvl w:val="1"/>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6" w:lineRule="exact"/>
        <w:rPr>
          <w:rFonts w:ascii="Times New Roman" w:cs="Times New Roman" w:eastAsia="Times New Roman" w:hAnsi="Times New Roman"/>
          <w:sz w:val="18"/>
          <w:szCs w:val="18"/>
          <w:color w:val="auto"/>
        </w:rPr>
      </w:pPr>
    </w:p>
    <w:p>
      <w:pPr>
        <w:jc w:val="both"/>
        <w:ind w:left="880" w:right="740" w:hanging="432"/>
        <w:spacing w:after="0" w:line="266" w:lineRule="auto"/>
        <w:tabs>
          <w:tab w:leader="none" w:pos="1294"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6" w:lineRule="exact"/>
        <w:rPr>
          <w:rFonts w:ascii="Times New Roman" w:cs="Times New Roman" w:eastAsia="Times New Roman" w:hAnsi="Times New Roman"/>
          <w:sz w:val="18"/>
          <w:szCs w:val="18"/>
          <w:color w:val="auto"/>
        </w:rPr>
      </w:pPr>
    </w:p>
    <w:p>
      <w:pPr>
        <w:ind w:left="1740" w:right="160" w:hanging="435"/>
        <w:spacing w:after="0" w:line="266" w:lineRule="auto"/>
        <w:tabs>
          <w:tab w:leader="none" w:pos="2399" w:val="left"/>
        </w:tabs>
        <w:numPr>
          <w:ilvl w:val="1"/>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1740" w:right="680" w:hanging="435"/>
        <w:spacing w:after="0" w:line="282" w:lineRule="auto"/>
        <w:tabs>
          <w:tab w:leader="none" w:pos="2409" w:val="left"/>
        </w:tabs>
        <w:numPr>
          <w:ilvl w:val="1"/>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Betty Yip Ho</w:t>
            </w:r>
          </w:p>
        </w:tc>
        <w:tc>
          <w:tcPr>
            <w:tcW w:w="5740" w:type="dxa"/>
            <w:vAlign w:val="bottom"/>
          </w:tcPr>
          <w:p>
            <w:pPr>
              <w:spacing w:after="0"/>
              <w:rPr>
                <w:sz w:val="20"/>
                <w:szCs w:val="20"/>
                <w:color w:val="auto"/>
              </w:rPr>
            </w:pPr>
          </w:p>
        </w:tc>
      </w:tr>
      <w:tr>
        <w:trPr>
          <w:trHeight w:val="191"/>
        </w:trPr>
        <w:tc>
          <w:tcPr>
            <w:tcW w:w="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Betty Yip Ho</w:t>
            </w:r>
          </w:p>
        </w:tc>
        <w:tc>
          <w:tcPr>
            <w:tcW w:w="5740" w:type="dxa"/>
            <w:vAlign w:val="bottom"/>
          </w:tcPr>
          <w:p>
            <w:pPr>
              <w:spacing w:after="0"/>
              <w:rPr>
                <w:sz w:val="16"/>
                <w:szCs w:val="16"/>
                <w:color w:val="auto"/>
              </w:rPr>
            </w:pP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5740" w:type="dxa"/>
            <w:vAlign w:val="bottom"/>
          </w:tcPr>
          <w:p>
            <w:pPr>
              <w:spacing w:after="0"/>
              <w:rPr>
                <w:sz w:val="20"/>
                <w:szCs w:val="20"/>
                <w:color w:val="auto"/>
              </w:rPr>
            </w:pPr>
          </w:p>
        </w:tc>
      </w:tr>
      <w:tr>
        <w:trPr>
          <w:trHeight w:val="348"/>
        </w:trPr>
        <w:tc>
          <w:tcPr>
            <w:tcW w:w="800" w:type="dxa"/>
            <w:vAlign w:val="bottom"/>
            <w:tcBorders>
              <w:bottom w:val="single" w:sz="8" w:color="808080"/>
            </w:tcBorders>
          </w:tcPr>
          <w:p>
            <w:pPr>
              <w:spacing w:after="0"/>
              <w:rPr>
                <w:sz w:val="24"/>
                <w:szCs w:val="24"/>
                <w:color w:val="auto"/>
              </w:rPr>
            </w:pPr>
          </w:p>
        </w:tc>
        <w:tc>
          <w:tcPr>
            <w:tcW w:w="492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221" w:name="page222"/>
    <w:bookmarkEnd w:id="221"/>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16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Phoenix New Media Limited (the “Company”) on Form 20-F for the year ended December 31, 2016 as filed with the Securities and Exchange Commission on the date hereof (the “Report”), I, Shuang Liu,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700" w:hanging="251"/>
        <w:spacing w:after="0"/>
        <w:tabs>
          <w:tab w:leader="none" w:pos="700"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320" w:firstLine="449"/>
        <w:spacing w:after="0" w:line="501" w:lineRule="auto"/>
        <w:tabs>
          <w:tab w:leader="none" w:pos="693"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April 28, 2017</w:t>
      </w: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Shuang Liu</w:t>
            </w:r>
          </w:p>
        </w:tc>
        <w:tc>
          <w:tcPr>
            <w:tcW w:w="5740" w:type="dxa"/>
            <w:vAlign w:val="bottom"/>
          </w:tcPr>
          <w:p>
            <w:pPr>
              <w:spacing w:after="0"/>
              <w:rPr>
                <w:sz w:val="20"/>
                <w:szCs w:val="20"/>
                <w:color w:val="auto"/>
              </w:rPr>
            </w:pPr>
          </w:p>
        </w:tc>
      </w:tr>
      <w:tr>
        <w:trPr>
          <w:trHeight w:val="191"/>
        </w:trPr>
        <w:tc>
          <w:tcPr>
            <w:tcW w:w="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Shuang Liu</w:t>
            </w:r>
          </w:p>
        </w:tc>
        <w:tc>
          <w:tcPr>
            <w:tcW w:w="5740" w:type="dxa"/>
            <w:vAlign w:val="bottom"/>
          </w:tcPr>
          <w:p>
            <w:pPr>
              <w:spacing w:after="0"/>
              <w:rPr>
                <w:sz w:val="16"/>
                <w:szCs w:val="16"/>
                <w:color w:val="auto"/>
              </w:rPr>
            </w:pP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5740" w:type="dxa"/>
            <w:vAlign w:val="bottom"/>
          </w:tcPr>
          <w:p>
            <w:pPr>
              <w:spacing w:after="0"/>
              <w:rPr>
                <w:sz w:val="20"/>
                <w:szCs w:val="20"/>
                <w:color w:val="auto"/>
              </w:rPr>
            </w:pPr>
          </w:p>
        </w:tc>
      </w:tr>
      <w:tr>
        <w:trPr>
          <w:trHeight w:val="348"/>
        </w:trPr>
        <w:tc>
          <w:tcPr>
            <w:tcW w:w="760" w:type="dxa"/>
            <w:vAlign w:val="bottom"/>
            <w:tcBorders>
              <w:bottom w:val="single" w:sz="8" w:color="808080"/>
            </w:tcBorders>
          </w:tcPr>
          <w:p>
            <w:pPr>
              <w:spacing w:after="0"/>
              <w:rPr>
                <w:sz w:val="24"/>
                <w:szCs w:val="24"/>
                <w:color w:val="auto"/>
              </w:rPr>
            </w:pPr>
          </w:p>
        </w:tc>
        <w:tc>
          <w:tcPr>
            <w:tcW w:w="496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222" w:name="page223"/>
    <w:bookmarkEnd w:id="222"/>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Phoenix New Media Limited (the “Company”) on Form 20-F for the year ended December 31, 2016 as filed with the Securities and Exchange Commission on the date hereof (the “Report”), I, Betty Yip Ho, Chief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700" w:hanging="251"/>
        <w:spacing w:after="0"/>
        <w:tabs>
          <w:tab w:leader="none" w:pos="700"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320" w:firstLine="449"/>
        <w:spacing w:after="0" w:line="501" w:lineRule="auto"/>
        <w:tabs>
          <w:tab w:leader="none" w:pos="693"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April 28, 2017</w:t>
      </w: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Betty Yip Ho</w:t>
            </w:r>
          </w:p>
        </w:tc>
        <w:tc>
          <w:tcPr>
            <w:tcW w:w="5740" w:type="dxa"/>
            <w:vAlign w:val="bottom"/>
          </w:tcPr>
          <w:p>
            <w:pPr>
              <w:spacing w:after="0"/>
              <w:rPr>
                <w:sz w:val="20"/>
                <w:szCs w:val="20"/>
                <w:color w:val="auto"/>
              </w:rPr>
            </w:pPr>
          </w:p>
        </w:tc>
      </w:tr>
      <w:tr>
        <w:trPr>
          <w:trHeight w:val="191"/>
        </w:trPr>
        <w:tc>
          <w:tcPr>
            <w:tcW w:w="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Betty Yip Ho</w:t>
            </w:r>
          </w:p>
        </w:tc>
        <w:tc>
          <w:tcPr>
            <w:tcW w:w="5740" w:type="dxa"/>
            <w:vAlign w:val="bottom"/>
          </w:tcPr>
          <w:p>
            <w:pPr>
              <w:spacing w:after="0"/>
              <w:rPr>
                <w:sz w:val="16"/>
                <w:szCs w:val="16"/>
                <w:color w:val="auto"/>
              </w:rPr>
            </w:pP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5740" w:type="dxa"/>
            <w:vAlign w:val="bottom"/>
          </w:tcPr>
          <w:p>
            <w:pPr>
              <w:spacing w:after="0"/>
              <w:rPr>
                <w:sz w:val="20"/>
                <w:szCs w:val="20"/>
                <w:color w:val="auto"/>
              </w:rPr>
            </w:pPr>
          </w:p>
        </w:tc>
      </w:tr>
      <w:tr>
        <w:trPr>
          <w:trHeight w:val="348"/>
        </w:trPr>
        <w:tc>
          <w:tcPr>
            <w:tcW w:w="820" w:type="dxa"/>
            <w:vAlign w:val="bottom"/>
            <w:tcBorders>
              <w:bottom w:val="single" w:sz="8" w:color="808080"/>
            </w:tcBorders>
          </w:tcPr>
          <w:p>
            <w:pPr>
              <w:spacing w:after="0"/>
              <w:rPr>
                <w:sz w:val="24"/>
                <w:szCs w:val="24"/>
                <w:color w:val="auto"/>
              </w:rPr>
            </w:pPr>
          </w:p>
        </w:tc>
        <w:tc>
          <w:tcPr>
            <w:tcW w:w="490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(No.333-217490, No.333-200630, No.333-191177, No.333-177810) of Phoenix New Media Limited of our report dated April 28, 2017 relating to the consolidated financial statements and the effectiveness of internal control over financial reporting, which appears in this Form 20-F.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Zhong Tian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PricewaterhouseCoopers Zhong Tian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157480</wp:posOffset>
            </wp:positionV>
            <wp:extent cx="4219575" cy="123507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219575" cy="123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Phoenix New Media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Sinolight Plaza, Floor 16, No. 4, Qiyang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Wangjing, Chaoyang District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100102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Sir/Madam:</w:t>
      </w:r>
    </w:p>
    <w:p>
      <w:pPr>
        <w:spacing w:after="0" w:line="22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consent to the reference to our firm under the headings of “Risk Factors” and “Regulatory Matters” in Phoenix New Media Limited’s Annual Report on Form 20-F for year ended December 31, 2016, which will be filed with the Securities and Exchange Commission (the “SEC”). We also consent to the filing with the SEC of this consent letter as an exhibit to the Annual Report on Form 20-F for the year ended December 31, 2016.</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giving such consent, we do not hereby admit that we come within the category of persons whose consent is required under Section 7 of the Securities Act of 1933, or under the Securities Exchange Act of 1934, in each case, as amended, or the regulations promulgated thereunder.</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Zhong Lun Law Firm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Zhong Lun Law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798195</wp:posOffset>
            </wp:positionV>
            <wp:extent cx="726757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294640</wp:posOffset>
            </wp:positionV>
            <wp:extent cx="6174740" cy="3003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174740" cy="300355"/>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EBB1F2A"/>
    <w:multiLevelType w:val="hybridMultilevel"/>
    <w:lvl w:ilvl="0">
      <w:lvlJc w:val="left"/>
      <w:lvlText w:val="o"/>
      <w:numFmt w:val="bullet"/>
      <w:start w:val="1"/>
    </w:lvl>
  </w:abstractNum>
  <w:abstractNum w:abstractNumId="1">
    <w:nsid w:val="6FBF29CB"/>
    <w:multiLevelType w:val="hybridMultilevel"/>
    <w:lvl w:ilvl="0">
      <w:lvlJc w:val="left"/>
      <w:lvlText w:val="x"/>
      <w:numFmt w:val="bullet"/>
      <w:start w:val="1"/>
    </w:lvl>
  </w:abstractNum>
  <w:abstractNum w:abstractNumId="2">
    <w:nsid w:val="550B8808"/>
    <w:multiLevelType w:val="hybridMultilevel"/>
    <w:lvl w:ilvl="0">
      <w:lvlJc w:val="left"/>
      <w:lvlText w:val="o"/>
      <w:numFmt w:val="bullet"/>
      <w:start w:val="1"/>
    </w:lvl>
  </w:abstractNum>
  <w:abstractNum w:abstractNumId="3">
    <w:nsid w:val="34CC3ACF"/>
    <w:multiLevelType w:val="hybridMultilevel"/>
    <w:lvl w:ilvl="0">
      <w:lvlJc w:val="left"/>
      <w:lvlText w:val="o"/>
      <w:numFmt w:val="bullet"/>
      <w:start w:val="1"/>
    </w:lvl>
  </w:abstractNum>
  <w:abstractNum w:abstractNumId="4">
    <w:nsid w:val="4E556261"/>
    <w:multiLevelType w:val="hybridMultilevel"/>
    <w:lvl w:ilvl="0">
      <w:lvlJc w:val="left"/>
      <w:lvlText w:val="*"/>
      <w:numFmt w:val="bullet"/>
      <w:start w:val="1"/>
    </w:lvl>
  </w:abstractNum>
  <w:abstractNum w:abstractNumId="5">
    <w:nsid w:val="4C672FC9"/>
    <w:multiLevelType w:val="hybridMultilevel"/>
    <w:lvl w:ilvl="0">
      <w:lvlJc w:val="left"/>
      <w:lvlText w:val="*"/>
      <w:numFmt w:val="bullet"/>
      <w:start w:val="1"/>
    </w:lvl>
  </w:abstractNum>
  <w:abstractNum w:abstractNumId="6">
    <w:nsid w:val="52A311C3"/>
    <w:multiLevelType w:val="hybridMultilevel"/>
    <w:lvl w:ilvl="0">
      <w:lvlJc w:val="left"/>
      <w:lvlText w:val="†"/>
      <w:numFmt w:val="bullet"/>
      <w:start w:val="1"/>
    </w:lvl>
  </w:abstractNum>
  <w:abstractNum w:abstractNumId="7">
    <w:nsid w:val="44EF6B80"/>
    <w:multiLevelType w:val="hybridMultilevel"/>
    <w:lvl w:ilvl="0">
      <w:lvlJc w:val="left"/>
      <w:lvlText w:val="·"/>
      <w:numFmt w:val="bullet"/>
      <w:start w:val="1"/>
    </w:lvl>
  </w:abstractNum>
  <w:abstractNum w:abstractNumId="8">
    <w:nsid w:val="12FCDE5E"/>
    <w:multiLevelType w:val="hybridMultilevel"/>
    <w:lvl w:ilvl="0">
      <w:lvlJc w:val="left"/>
      <w:lvlText w:val="·"/>
      <w:numFmt w:val="bullet"/>
      <w:start w:val="1"/>
    </w:lvl>
  </w:abstractNum>
  <w:abstractNum w:abstractNumId="9">
    <w:nsid w:val="4A1D606E"/>
    <w:multiLevelType w:val="hybridMultilevel"/>
    <w:lvl w:ilvl="0">
      <w:lvlJc w:val="left"/>
      <w:lvlText w:val="(%1)"/>
      <w:numFmt w:val="decimal"/>
      <w:start w:val="2"/>
    </w:lvl>
  </w:abstractNum>
  <w:abstractNum w:abstractNumId="10">
    <w:nsid w:val="4382503"/>
    <w:multiLevelType w:val="hybridMultilevel"/>
    <w:lvl w:ilvl="0">
      <w:lvlJc w:val="left"/>
      <w:lvlText w:val="(%1)"/>
      <w:numFmt w:val="decimal"/>
      <w:start w:val="1"/>
    </w:lvl>
  </w:abstractNum>
  <w:abstractNum w:abstractNumId="11">
    <w:nsid w:val="59B76E28"/>
    <w:multiLevelType w:val="hybridMultilevel"/>
    <w:lvl w:ilvl="0">
      <w:lvlJc w:val="left"/>
      <w:lvlText w:val="·"/>
      <w:numFmt w:val="bullet"/>
      <w:start w:val="1"/>
    </w:lvl>
  </w:abstractNum>
  <w:abstractNum w:abstractNumId="12">
    <w:nsid w:val="4252C2DA"/>
    <w:multiLevelType w:val="hybridMultilevel"/>
    <w:lvl w:ilvl="0">
      <w:lvlJc w:val="left"/>
      <w:lvlText w:val="·"/>
      <w:numFmt w:val="bullet"/>
      <w:start w:val="1"/>
    </w:lvl>
  </w:abstractNum>
  <w:abstractNum w:abstractNumId="13">
    <w:nsid w:val="6A92EF4C"/>
    <w:multiLevelType w:val="hybridMultilevel"/>
    <w:lvl w:ilvl="0">
      <w:lvlJc w:val="left"/>
      <w:lvlText w:val="·"/>
      <w:numFmt w:val="bullet"/>
      <w:start w:val="1"/>
    </w:lvl>
  </w:abstractNum>
  <w:abstractNum w:abstractNumId="14">
    <w:nsid w:val="41ED20D7"/>
    <w:multiLevelType w:val="hybridMultilevel"/>
    <w:lvl w:ilvl="0">
      <w:lvlJc w:val="left"/>
      <w:lvlText w:val="(%1)"/>
      <w:numFmt w:val="lowerRoman"/>
      <w:start w:val="2"/>
    </w:lvl>
  </w:abstractNum>
  <w:abstractNum w:abstractNumId="15">
    <w:nsid w:val="E6B3F6A"/>
    <w:multiLevelType w:val="hybridMultilevel"/>
    <w:lvl w:ilvl="0">
      <w:lvlJc w:val="left"/>
      <w:lvlText w:val="·"/>
      <w:numFmt w:val="bullet"/>
      <w:start w:val="1"/>
    </w:lvl>
  </w:abstractNum>
  <w:abstractNum w:abstractNumId="16">
    <w:nsid w:val="3EB21819"/>
    <w:multiLevelType w:val="hybridMultilevel"/>
    <w:lvl w:ilvl="0">
      <w:lvlJc w:val="left"/>
      <w:lvlText w:val="·"/>
      <w:numFmt w:val="bullet"/>
      <w:start w:val="1"/>
    </w:lvl>
  </w:abstractNum>
  <w:abstractNum w:abstractNumId="17">
    <w:nsid w:val="41531DED"/>
    <w:multiLevelType w:val="hybridMultilevel"/>
    <w:lvl w:ilvl="0">
      <w:lvlJc w:val="left"/>
      <w:lvlText w:val="·"/>
      <w:numFmt w:val="bullet"/>
      <w:start w:val="1"/>
    </w:lvl>
  </w:abstractNum>
  <w:abstractNum w:abstractNumId="18">
    <w:nsid w:val="6353CD2"/>
    <w:multiLevelType w:val="hybridMultilevel"/>
    <w:lvl w:ilvl="0">
      <w:lvlJc w:val="left"/>
      <w:lvlText w:val="(%1)"/>
      <w:numFmt w:val="lowerRoman"/>
      <w:start w:val="2"/>
    </w:lvl>
  </w:abstractNum>
  <w:abstractNum w:abstractNumId="19">
    <w:nsid w:val="683CAAD3"/>
    <w:multiLevelType w:val="hybridMultilevel"/>
    <w:lvl w:ilvl="0">
      <w:lvlJc w:val="left"/>
      <w:lvlText w:val="·"/>
      <w:numFmt w:val="bullet"/>
      <w:start w:val="1"/>
    </w:lvl>
  </w:abstractNum>
  <w:abstractNum w:abstractNumId="20">
    <w:nsid w:val="313C7C99"/>
    <w:multiLevelType w:val="hybridMultilevel"/>
    <w:lvl w:ilvl="0">
      <w:lvlJc w:val="left"/>
      <w:lvlText w:val="·"/>
      <w:numFmt w:val="bullet"/>
      <w:start w:val="1"/>
    </w:lvl>
  </w:abstractNum>
  <w:abstractNum w:abstractNumId="21">
    <w:nsid w:val="519EB94C"/>
    <w:multiLevelType w:val="hybridMultilevel"/>
    <w:lvl w:ilvl="0">
      <w:lvlJc w:val="left"/>
      <w:lvlText w:val="(%1)"/>
      <w:numFmt w:val="lowerRoman"/>
      <w:start w:val="1"/>
    </w:lvl>
  </w:abstractNum>
  <w:abstractNum w:abstractNumId="22">
    <w:nsid w:val="39DF2579"/>
    <w:multiLevelType w:val="hybridMultilevel"/>
    <w:lvl w:ilvl="0">
      <w:lvlJc w:val="left"/>
      <w:lvlText w:val="·"/>
      <w:numFmt w:val="bullet"/>
      <w:start w:val="1"/>
    </w:lvl>
  </w:abstractNum>
  <w:abstractNum w:abstractNumId="23">
    <w:nsid w:val="126E008B"/>
    <w:multiLevelType w:val="hybridMultilevel"/>
    <w:lvl w:ilvl="0">
      <w:lvlJc w:val="left"/>
      <w:lvlText w:val="(%1)"/>
      <w:numFmt w:val="lowerRoman"/>
      <w:start w:val="2"/>
    </w:lvl>
  </w:abstractNum>
  <w:abstractNum w:abstractNumId="24">
    <w:nsid w:val="34DFBC00"/>
    <w:multiLevelType w:val="hybridMultilevel"/>
    <w:lvl w:ilvl="0">
      <w:lvlJc w:val="left"/>
      <w:lvlText w:val="·"/>
      <w:numFmt w:val="bullet"/>
      <w:start w:val="1"/>
    </w:lvl>
  </w:abstractNum>
  <w:abstractNum w:abstractNumId="25">
    <w:nsid w:val="1F9EC322"/>
    <w:multiLevelType w:val="hybridMultilevel"/>
    <w:lvl w:ilvl="0">
      <w:lvlJc w:val="left"/>
      <w:lvlText w:val="%1."/>
      <w:numFmt w:val="upperLetter"/>
      <w:start w:val="1"/>
    </w:lvl>
  </w:abstractNum>
  <w:abstractNum w:abstractNumId="26">
    <w:nsid w:val="3410ED56"/>
    <w:multiLevelType w:val="hybridMultilevel"/>
    <w:lvl w:ilvl="0">
      <w:lvlJc w:val="left"/>
      <w:lvlText w:val="%1."/>
      <w:numFmt w:val="upperLetter"/>
      <w:start w:val="2"/>
    </w:lvl>
  </w:abstractNum>
  <w:abstractNum w:abstractNumId="27">
    <w:nsid w:val="23C049A"/>
    <w:multiLevelType w:val="hybridMultilevel"/>
    <w:lvl w:ilvl="0">
      <w:lvlJc w:val="left"/>
      <w:lvlText w:val="(%1)"/>
      <w:numFmt w:val="lowerRoman"/>
      <w:start w:val="2"/>
    </w:lvl>
  </w:abstractNum>
  <w:abstractNum w:abstractNumId="28">
    <w:nsid w:val="5BDA35D4"/>
    <w:multiLevelType w:val="hybridMultilevel"/>
    <w:lvl w:ilvl="0">
      <w:lvlJc w:val="left"/>
      <w:lvlText w:val="·"/>
      <w:numFmt w:val="bullet"/>
      <w:start w:val="1"/>
    </w:lvl>
  </w:abstractNum>
  <w:abstractNum w:abstractNumId="29">
    <w:nsid w:val="496FB218"/>
    <w:multiLevelType w:val="hybridMultilevel"/>
    <w:lvl w:ilvl="0">
      <w:lvlJc w:val="left"/>
      <w:lvlText w:val="·"/>
      <w:numFmt w:val="bullet"/>
      <w:start w:val="1"/>
    </w:lvl>
  </w:abstractNum>
  <w:abstractNum w:abstractNumId="30">
    <w:nsid w:val="680EA5D1"/>
    <w:multiLevelType w:val="hybridMultilevel"/>
    <w:lvl w:ilvl="0">
      <w:lvlJc w:val="left"/>
      <w:lvlText w:val="·"/>
      <w:numFmt w:val="bullet"/>
      <w:start w:val="1"/>
    </w:lvl>
  </w:abstractNum>
  <w:abstractNum w:abstractNumId="31">
    <w:nsid w:val="4A9554FE"/>
    <w:multiLevelType w:val="hybridMultilevel"/>
    <w:lvl w:ilvl="0">
      <w:lvlJc w:val="left"/>
      <w:lvlText w:val="·"/>
      <w:numFmt w:val="bullet"/>
      <w:start w:val="1"/>
    </w:lvl>
  </w:abstractNum>
  <w:abstractNum w:abstractNumId="32">
    <w:nsid w:val="392EDBE4"/>
    <w:multiLevelType w:val="hybridMultilevel"/>
    <w:lvl w:ilvl="0">
      <w:lvlJc w:val="left"/>
      <w:lvlText w:val="·"/>
      <w:numFmt w:val="bullet"/>
      <w:start w:val="1"/>
    </w:lvl>
  </w:abstractNum>
  <w:abstractNum w:abstractNumId="33">
    <w:nsid w:val="3D1A2DD9"/>
    <w:multiLevelType w:val="hybridMultilevel"/>
    <w:lvl w:ilvl="0">
      <w:lvlJc w:val="left"/>
      <w:lvlText w:val="(%1)"/>
      <w:numFmt w:val="lowerRoman"/>
      <w:start w:val="5"/>
    </w:lvl>
    <w:lvl w:ilvl="1">
      <w:lvlJc w:val="left"/>
      <w:lvlText w:val="·"/>
      <w:numFmt w:val="bullet"/>
      <w:start w:val="1"/>
    </w:lvl>
  </w:abstractNum>
  <w:abstractNum w:abstractNumId="34">
    <w:nsid w:val="7F618FCD"/>
    <w:multiLevelType w:val="hybridMultilevel"/>
    <w:lvl w:ilvl="0">
      <w:lvlJc w:val="left"/>
      <w:lvlText w:val="·"/>
      <w:numFmt w:val="bullet"/>
      <w:start w:val="1"/>
    </w:lvl>
  </w:abstractNum>
  <w:abstractNum w:abstractNumId="35">
    <w:nsid w:val="7843E45"/>
    <w:multiLevelType w:val="hybridMultilevel"/>
    <w:lvl w:ilvl="0">
      <w:lvlJc w:val="left"/>
      <w:lvlText w:val="·"/>
      <w:numFmt w:val="bullet"/>
      <w:start w:val="1"/>
    </w:lvl>
  </w:abstractNum>
  <w:abstractNum w:abstractNumId="36">
    <w:nsid w:val="9815DA3"/>
    <w:multiLevelType w:val="hybridMultilevel"/>
    <w:lvl w:ilvl="0">
      <w:lvlJc w:val="left"/>
      <w:lvlText w:val="·"/>
      <w:numFmt w:val="bullet"/>
      <w:start w:val="1"/>
    </w:lvl>
  </w:abstractNum>
  <w:abstractNum w:abstractNumId="37">
    <w:nsid w:val="5204A191"/>
    <w:multiLevelType w:val="hybridMultilevel"/>
    <w:lvl w:ilvl="0">
      <w:lvlJc w:val="left"/>
      <w:lvlText w:val="·"/>
      <w:numFmt w:val="bullet"/>
      <w:start w:val="1"/>
    </w:lvl>
  </w:abstractNum>
  <w:abstractNum w:abstractNumId="38">
    <w:nsid w:val="4C73A9C6"/>
    <w:multiLevelType w:val="hybridMultilevel"/>
    <w:lvl w:ilvl="0">
      <w:lvlJc w:val="left"/>
      <w:lvlText w:val="·"/>
      <w:numFmt w:val="bullet"/>
      <w:start w:val="1"/>
    </w:lvl>
  </w:abstractNum>
  <w:abstractNum w:abstractNumId="39">
    <w:nsid w:val="1C7E3C01"/>
    <w:multiLevelType w:val="hybridMultilevel"/>
    <w:lvl w:ilvl="0">
      <w:lvlJc w:val="left"/>
      <w:lvlText w:val="·"/>
      <w:numFmt w:val="bullet"/>
      <w:start w:val="1"/>
    </w:lvl>
  </w:abstractNum>
  <w:abstractNum w:abstractNumId="40">
    <w:nsid w:val="1C2201FF"/>
    <w:multiLevelType w:val="hybridMultilevel"/>
    <w:lvl w:ilvl="0">
      <w:lvlJc w:val="left"/>
      <w:lvlText w:val="·"/>
      <w:numFmt w:val="bullet"/>
      <w:start w:val="1"/>
    </w:lvl>
  </w:abstractNum>
  <w:abstractNum w:abstractNumId="41">
    <w:nsid w:val="50ABCEC9"/>
    <w:multiLevelType w:val="hybridMultilevel"/>
    <w:lvl w:ilvl="0">
      <w:lvlJc w:val="left"/>
      <w:lvlText w:val="%1."/>
      <w:numFmt w:val="decimal"/>
      <w:start w:val="59"/>
    </w:lvl>
  </w:abstractNum>
  <w:abstractNum w:abstractNumId="42">
    <w:nsid w:val="7635AA2A"/>
    <w:multiLevelType w:val="hybridMultilevel"/>
    <w:lvl w:ilvl="0">
      <w:lvlJc w:val="left"/>
      <w:lvlText w:val="%1."/>
      <w:numFmt w:val="upperLetter"/>
      <w:start w:val="3"/>
    </w:lvl>
  </w:abstractNum>
  <w:abstractNum w:abstractNumId="43">
    <w:nsid w:val="5E74C4D9"/>
    <w:multiLevelType w:val="hybridMultilevel"/>
    <w:lvl w:ilvl="0">
      <w:lvlJc w:val="left"/>
      <w:lvlText w:val="·"/>
      <w:numFmt w:val="bullet"/>
      <w:start w:val="1"/>
    </w:lvl>
  </w:abstractNum>
  <w:abstractNum w:abstractNumId="44">
    <w:nsid w:val="3B3EBE15"/>
    <w:multiLevelType w:val="hybridMultilevel"/>
    <w:lvl w:ilvl="0">
      <w:lvlJc w:val="left"/>
      <w:lvlText w:val="(%1)"/>
      <w:numFmt w:val="lowerRoman"/>
      <w:start w:val="1"/>
    </w:lvl>
  </w:abstractNum>
  <w:abstractNum w:abstractNumId="45">
    <w:nsid w:val="3822CB01"/>
    <w:multiLevelType w:val="hybridMultilevel"/>
    <w:lvl w:ilvl="0">
      <w:lvlJc w:val="left"/>
      <w:lvlText w:val="%1."/>
      <w:numFmt w:val="upperLetter"/>
      <w:start w:val="4"/>
    </w:lvl>
  </w:abstractNum>
  <w:abstractNum w:abstractNumId="46">
    <w:nsid w:val="6CE00443"/>
    <w:multiLevelType w:val="hybridMultilevel"/>
    <w:lvl w:ilvl="0">
      <w:lvlJc w:val="left"/>
      <w:lvlText w:val="(%1)"/>
      <w:numFmt w:val="lowerRoman"/>
      <w:start w:val="2"/>
    </w:lvl>
  </w:abstractNum>
  <w:abstractNum w:abstractNumId="47">
    <w:nsid w:val="79F0D62F"/>
    <w:multiLevelType w:val="hybridMultilevel"/>
    <w:lvl w:ilvl="0">
      <w:lvlJc w:val="left"/>
      <w:lvlText w:val="·"/>
      <w:numFmt w:val="bullet"/>
      <w:start w:val="1"/>
    </w:lvl>
  </w:abstractNum>
  <w:abstractNum w:abstractNumId="48">
    <w:nsid w:val="7975E8EE"/>
    <w:multiLevelType w:val="hybridMultilevel"/>
    <w:lvl w:ilvl="0">
      <w:lvlJc w:val="left"/>
      <w:lvlText w:val="(%1)"/>
      <w:numFmt w:val="lowerRoman"/>
      <w:start w:val="1"/>
    </w:lvl>
  </w:abstractNum>
  <w:abstractNum w:abstractNumId="49">
    <w:nsid w:val="73154115"/>
    <w:multiLevelType w:val="hybridMultilevel"/>
    <w:lvl w:ilvl="0">
      <w:lvlJc w:val="left"/>
      <w:lvlText w:val="(%1)"/>
      <w:numFmt w:val="lowerRoman"/>
      <w:start w:val="2"/>
    </w:lvl>
  </w:abstractNum>
  <w:abstractNum w:abstractNumId="50">
    <w:nsid w:val="622D8102"/>
    <w:multiLevelType w:val="hybridMultilevel"/>
    <w:lvl w:ilvl="0">
      <w:lvlJc w:val="left"/>
      <w:lvlText w:val="(%1)"/>
      <w:numFmt w:val="decimal"/>
      <w:start w:val="1"/>
    </w:lvl>
  </w:abstractNum>
  <w:abstractNum w:abstractNumId="51">
    <w:nsid w:val="2AB26587"/>
    <w:multiLevelType w:val="hybridMultilevel"/>
    <w:lvl w:ilvl="0">
      <w:lvlJc w:val="left"/>
      <w:lvlText w:val="%1."/>
      <w:numFmt w:val="upperLetter"/>
      <w:start w:val="1"/>
    </w:lvl>
  </w:abstractNum>
  <w:abstractNum w:abstractNumId="52">
    <w:nsid w:val="44B3FA61"/>
    <w:multiLevelType w:val="hybridMultilevel"/>
    <w:lvl w:ilvl="0">
      <w:lvlJc w:val="left"/>
      <w:lvlText w:val="(%1)"/>
      <w:numFmt w:val="decimal"/>
      <w:start w:val="2"/>
    </w:lvl>
  </w:abstractNum>
  <w:abstractNum w:abstractNumId="53">
    <w:nsid w:val="1C0CA67C"/>
    <w:multiLevelType w:val="hybridMultilevel"/>
    <w:lvl w:ilvl="0">
      <w:lvlJc w:val="left"/>
      <w:lvlText w:val="·"/>
      <w:numFmt w:val="bullet"/>
      <w:start w:val="1"/>
    </w:lvl>
  </w:abstractNum>
  <w:abstractNum w:abstractNumId="54">
    <w:nsid w:val="3D206613"/>
    <w:multiLevelType w:val="hybridMultilevel"/>
    <w:lvl w:ilvl="0">
      <w:lvlJc w:val="left"/>
      <w:lvlText w:val="·"/>
      <w:numFmt w:val="bullet"/>
      <w:start w:val="1"/>
    </w:lvl>
  </w:abstractNum>
  <w:abstractNum w:abstractNumId="55">
    <w:nsid w:val="7993B662"/>
    <w:multiLevelType w:val="hybridMultilevel"/>
    <w:lvl w:ilvl="0">
      <w:lvlJc w:val="left"/>
      <w:lvlText w:val="·"/>
      <w:numFmt w:val="bullet"/>
      <w:start w:val="1"/>
    </w:lvl>
  </w:abstractNum>
  <w:abstractNum w:abstractNumId="56">
    <w:nsid w:val="3BAB699E"/>
    <w:multiLevelType w:val="hybridMultilevel"/>
    <w:lvl w:ilvl="0">
      <w:lvlJc w:val="left"/>
      <w:lvlText w:val="·"/>
      <w:numFmt w:val="bullet"/>
      <w:start w:val="1"/>
    </w:lvl>
  </w:abstractNum>
  <w:abstractNum w:abstractNumId="57">
    <w:nsid w:val="71315369"/>
    <w:multiLevelType w:val="hybridMultilevel"/>
    <w:lvl w:ilvl="0">
      <w:lvlJc w:val="left"/>
      <w:lvlText w:val="·"/>
      <w:numFmt w:val="bullet"/>
      <w:start w:val="1"/>
    </w:lvl>
  </w:abstractNum>
  <w:abstractNum w:abstractNumId="58">
    <w:nsid w:val="7BCFBAFC"/>
    <w:multiLevelType w:val="hybridMultilevel"/>
    <w:lvl w:ilvl="0">
      <w:lvlJc w:val="left"/>
      <w:lvlText w:val="·"/>
      <w:numFmt w:val="bullet"/>
      <w:start w:val="1"/>
    </w:lvl>
  </w:abstractNum>
  <w:abstractNum w:abstractNumId="59">
    <w:nsid w:val="17859F72"/>
    <w:multiLevelType w:val="hybridMultilevel"/>
    <w:lvl w:ilvl="0">
      <w:lvlJc w:val="left"/>
      <w:lvlText w:val="·"/>
      <w:numFmt w:val="bullet"/>
      <w:start w:val="1"/>
    </w:lvl>
  </w:abstractNum>
  <w:abstractNum w:abstractNumId="60">
    <w:nsid w:val="3AA10581"/>
    <w:multiLevelType w:val="hybridMultilevel"/>
    <w:lvl w:ilvl="0">
      <w:lvlJc w:val="left"/>
      <w:lvlText w:val="·"/>
      <w:numFmt w:val="bullet"/>
      <w:start w:val="1"/>
    </w:lvl>
  </w:abstractNum>
  <w:abstractNum w:abstractNumId="61">
    <w:nsid w:val="63DE60CD"/>
    <w:multiLevelType w:val="hybridMultilevel"/>
    <w:lvl w:ilvl="0">
      <w:lvlJc w:val="left"/>
      <w:lvlText w:val="·"/>
      <w:numFmt w:val="bullet"/>
      <w:start w:val="1"/>
    </w:lvl>
  </w:abstractNum>
  <w:abstractNum w:abstractNumId="62">
    <w:nsid w:val="621AF471"/>
    <w:multiLevelType w:val="hybridMultilevel"/>
    <w:lvl w:ilvl="0">
      <w:lvlJc w:val="left"/>
      <w:lvlText w:val="%1."/>
      <w:numFmt w:val="upperLetter"/>
      <w:start w:val="2"/>
    </w:lvl>
  </w:abstractNum>
  <w:abstractNum w:abstractNumId="63">
    <w:nsid w:val="73CFE165"/>
    <w:multiLevelType w:val="hybridMultilevel"/>
    <w:lvl w:ilvl="0">
      <w:lvlJc w:val="left"/>
      <w:lvlText w:val="%1."/>
      <w:numFmt w:val="upperLetter"/>
      <w:start w:val="3"/>
    </w:lvl>
  </w:abstractNum>
  <w:abstractNum w:abstractNumId="64">
    <w:nsid w:val="20F88EA6"/>
    <w:multiLevelType w:val="hybridMultilevel"/>
    <w:lvl w:ilvl="0">
      <w:lvlJc w:val="left"/>
      <w:lvlText w:val="%1."/>
      <w:numFmt w:val="upperLetter"/>
      <w:start w:val="4"/>
    </w:lvl>
  </w:abstractNum>
  <w:abstractNum w:abstractNumId="65">
    <w:nsid w:val="617C843E"/>
    <w:multiLevelType w:val="hybridMultilevel"/>
    <w:lvl w:ilvl="0">
      <w:lvlJc w:val="left"/>
      <w:lvlText w:val="%1."/>
      <w:numFmt w:val="upperLetter"/>
      <w:start w:val="5"/>
    </w:lvl>
  </w:abstractNum>
  <w:abstractNum w:abstractNumId="66">
    <w:nsid w:val="7B541FAB"/>
    <w:multiLevelType w:val="hybridMultilevel"/>
    <w:lvl w:ilvl="0">
      <w:lvlJc w:val="left"/>
      <w:lvlText w:val="%1."/>
      <w:numFmt w:val="upperLetter"/>
      <w:start w:val="6"/>
    </w:lvl>
  </w:abstractNum>
  <w:abstractNum w:abstractNumId="67">
    <w:nsid w:val="2A79EC49"/>
    <w:multiLevelType w:val="hybridMultilevel"/>
    <w:lvl w:ilvl="0">
      <w:lvlJc w:val="left"/>
      <w:lvlText w:val="%1."/>
      <w:numFmt w:val="upperLetter"/>
      <w:start w:val="7"/>
    </w:lvl>
  </w:abstractNum>
  <w:abstractNum w:abstractNumId="68">
    <w:nsid w:val="338125CF"/>
    <w:multiLevelType w:val="hybridMultilevel"/>
    <w:lvl w:ilvl="0">
      <w:lvlJc w:val="left"/>
      <w:lvlText w:val="·"/>
      <w:numFmt w:val="bullet"/>
      <w:start w:val="1"/>
    </w:lvl>
  </w:abstractNum>
  <w:abstractNum w:abstractNumId="69">
    <w:nsid w:val="47C7C971"/>
    <w:multiLevelType w:val="hybridMultilevel"/>
    <w:lvl w:ilvl="0">
      <w:lvlJc w:val="left"/>
      <w:lvlText w:val="%1."/>
      <w:numFmt w:val="upperLetter"/>
      <w:start w:val="1"/>
    </w:lvl>
  </w:abstractNum>
  <w:abstractNum w:abstractNumId="70">
    <w:nsid w:val="46F8284B"/>
    <w:multiLevelType w:val="hybridMultilevel"/>
    <w:lvl w:ilvl="0">
      <w:lvlJc w:val="left"/>
      <w:lvlText w:val="%1."/>
      <w:numFmt w:val="upperLetter"/>
      <w:start w:val="2"/>
    </w:lvl>
  </w:abstractNum>
  <w:abstractNum w:abstractNumId="71">
    <w:nsid w:val="4FA327CE"/>
    <w:multiLevelType w:val="hybridMultilevel"/>
    <w:lvl w:ilvl="0">
      <w:lvlJc w:val="left"/>
      <w:lvlText w:val="%1."/>
      <w:numFmt w:val="upperLetter"/>
      <w:start w:val="3"/>
    </w:lvl>
  </w:abstractNum>
  <w:abstractNum w:abstractNumId="72">
    <w:nsid w:val="1873983A"/>
    <w:multiLevelType w:val="hybridMultilevel"/>
    <w:lvl w:ilvl="0">
      <w:lvlJc w:val="left"/>
      <w:lvlText w:val="·"/>
      <w:numFmt w:val="bullet"/>
      <w:start w:val="1"/>
    </w:lvl>
  </w:abstractNum>
  <w:abstractNum w:abstractNumId="73">
    <w:nsid w:val="3D2DD275"/>
    <w:multiLevelType w:val="hybridMultilevel"/>
    <w:lvl w:ilvl="0">
      <w:lvlJc w:val="left"/>
      <w:lvlText w:val="·"/>
      <w:numFmt w:val="bullet"/>
      <w:start w:val="1"/>
    </w:lvl>
  </w:abstractNum>
  <w:abstractNum w:abstractNumId="74">
    <w:nsid w:val="2E17ECA7"/>
    <w:multiLevelType w:val="hybridMultilevel"/>
    <w:lvl w:ilvl="0">
      <w:lvlJc w:val="left"/>
      <w:lvlText w:val="·"/>
      <w:numFmt w:val="bullet"/>
      <w:start w:val="1"/>
    </w:lvl>
  </w:abstractNum>
  <w:abstractNum w:abstractNumId="75">
    <w:nsid w:val="53B2564F"/>
    <w:multiLevelType w:val="hybridMultilevel"/>
    <w:lvl w:ilvl="0">
      <w:lvlJc w:val="left"/>
      <w:lvlText w:val="·"/>
      <w:numFmt w:val="bullet"/>
      <w:start w:val="1"/>
    </w:lvl>
  </w:abstractNum>
  <w:abstractNum w:abstractNumId="76">
    <w:nsid w:val="75509D76"/>
    <w:multiLevelType w:val="hybridMultilevel"/>
    <w:lvl w:ilvl="0">
      <w:lvlJc w:val="left"/>
      <w:lvlText w:val="%1."/>
      <w:numFmt w:val="upperLetter"/>
      <w:start w:val="4"/>
    </w:lvl>
  </w:abstractNum>
  <w:abstractNum w:abstractNumId="77">
    <w:nsid w:val="1AF7F0EA"/>
    <w:multiLevelType w:val="hybridMultilevel"/>
    <w:lvl w:ilvl="0">
      <w:lvlJc w:val="left"/>
      <w:lvlText w:val="%1."/>
      <w:numFmt w:val="upperLetter"/>
      <w:start w:val="5"/>
    </w:lvl>
  </w:abstractNum>
  <w:abstractNum w:abstractNumId="78">
    <w:nsid w:val="4DA32C7E"/>
    <w:multiLevelType w:val="hybridMultilevel"/>
    <w:lvl w:ilvl="0">
      <w:lvlJc w:val="left"/>
      <w:lvlText w:val="·"/>
      <w:numFmt w:val="bullet"/>
      <w:start w:val="1"/>
    </w:lvl>
  </w:abstractNum>
  <w:abstractNum w:abstractNumId="79">
    <w:nsid w:val="6EC68664"/>
    <w:multiLevelType w:val="hybridMultilevel"/>
    <w:lvl w:ilvl="0">
      <w:lvlJc w:val="left"/>
      <w:lvlText w:val="*"/>
      <w:numFmt w:val="bullet"/>
      <w:start w:val="1"/>
    </w:lvl>
  </w:abstractNum>
  <w:abstractNum w:abstractNumId="80">
    <w:nsid w:val="E0D31FF"/>
    <w:multiLevelType w:val="hybridMultilevel"/>
    <w:lvl w:ilvl="0">
      <w:lvlJc w:val="left"/>
      <w:lvlText w:val="(%1)"/>
      <w:numFmt w:val="decimal"/>
      <w:start w:val="1"/>
    </w:lvl>
  </w:abstractNum>
  <w:abstractNum w:abstractNumId="81">
    <w:nsid w:val="2FD0AD81"/>
    <w:multiLevelType w:val="hybridMultilevel"/>
    <w:lvl w:ilvl="0">
      <w:lvlJc w:val="left"/>
      <w:lvlText w:val="(%1)"/>
      <w:numFmt w:val="decimal"/>
      <w:start w:val="1"/>
    </w:lvl>
  </w:abstractNum>
  <w:abstractNum w:abstractNumId="82">
    <w:nsid w:val="1978EBEB"/>
    <w:multiLevelType w:val="hybridMultilevel"/>
    <w:lvl w:ilvl="0">
      <w:lvlJc w:val="left"/>
      <w:lvlText w:val="%1."/>
      <w:numFmt w:val="upperLetter"/>
      <w:start w:val="1"/>
    </w:lvl>
  </w:abstractNum>
  <w:abstractNum w:abstractNumId="83">
    <w:nsid w:val="52C12C61"/>
    <w:multiLevelType w:val="hybridMultilevel"/>
    <w:lvl w:ilvl="0">
      <w:lvlJc w:val="left"/>
      <w:lvlText w:val="%1."/>
      <w:numFmt w:val="upperLetter"/>
      <w:start w:val="2"/>
    </w:lvl>
  </w:abstractNum>
  <w:abstractNum w:abstractNumId="84">
    <w:nsid w:val="4BDD53FD"/>
    <w:multiLevelType w:val="hybridMultilevel"/>
    <w:lvl w:ilvl="0">
      <w:lvlJc w:val="left"/>
      <w:lvlText w:val="(%1)"/>
      <w:numFmt w:val="lowerRoman"/>
      <w:start w:val="1"/>
    </w:lvl>
  </w:abstractNum>
  <w:abstractNum w:abstractNumId="85">
    <w:nsid w:val="569951FE"/>
    <w:multiLevelType w:val="hybridMultilevel"/>
    <w:lvl w:ilvl="0">
      <w:lvlJc w:val="left"/>
      <w:lvlText w:val="%1."/>
      <w:numFmt w:val="upperLetter"/>
      <w:start w:val="3"/>
    </w:lvl>
  </w:abstractNum>
  <w:abstractNum w:abstractNumId="86">
    <w:nsid w:val="4C54E2C3"/>
    <w:multiLevelType w:val="hybridMultilevel"/>
    <w:lvl w:ilvl="0">
      <w:lvlJc w:val="left"/>
      <w:lvlText w:val="%1."/>
      <w:numFmt w:val="upperLetter"/>
      <w:start w:val="1"/>
    </w:lvl>
  </w:abstractNum>
  <w:abstractNum w:abstractNumId="87">
    <w:nsid w:val="788BD9B"/>
    <w:multiLevelType w:val="hybridMultilevel"/>
    <w:lvl w:ilvl="0">
      <w:lvlJc w:val="left"/>
      <w:lvlText w:val="%1."/>
      <w:numFmt w:val="upperLetter"/>
      <w:start w:val="2"/>
    </w:lvl>
  </w:abstractNum>
  <w:abstractNum w:abstractNumId="88">
    <w:nsid w:val="47CAA567"/>
    <w:multiLevelType w:val="hybridMultilevel"/>
    <w:lvl w:ilvl="0">
      <w:lvlJc w:val="left"/>
      <w:lvlText w:val="%1."/>
      <w:numFmt w:val="upperLetter"/>
      <w:start w:val="3"/>
    </w:lvl>
  </w:abstractNum>
  <w:abstractNum w:abstractNumId="89">
    <w:nsid w:val="48249DBF"/>
    <w:multiLevelType w:val="hybridMultilevel"/>
    <w:lvl w:ilvl="0">
      <w:lvlJc w:val="left"/>
      <w:lvlText w:val="%1."/>
      <w:numFmt w:val="upperLetter"/>
      <w:start w:val="4"/>
    </w:lvl>
  </w:abstractNum>
  <w:abstractNum w:abstractNumId="90">
    <w:nsid w:val="1F0E5D0D"/>
    <w:multiLevelType w:val="hybridMultilevel"/>
    <w:lvl w:ilvl="0">
      <w:lvlJc w:val="left"/>
      <w:lvlText w:val="%1."/>
      <w:numFmt w:val="upperLetter"/>
      <w:start w:val="5"/>
    </w:lvl>
  </w:abstractNum>
  <w:abstractNum w:abstractNumId="91">
    <w:nsid w:val="26BAAE9"/>
    <w:multiLevelType w:val="hybridMultilevel"/>
    <w:lvl w:ilvl="0">
      <w:lvlJc w:val="left"/>
      <w:lvlText w:val="%1."/>
      <w:numFmt w:val="upperLetter"/>
      <w:start w:val="6"/>
    </w:lvl>
  </w:abstractNum>
  <w:abstractNum w:abstractNumId="92">
    <w:nsid w:val="2C02FE8C"/>
    <w:multiLevelType w:val="hybridMultilevel"/>
    <w:lvl w:ilvl="0">
      <w:lvlJc w:val="left"/>
      <w:lvlText w:val="%1."/>
      <w:numFmt w:val="upperLetter"/>
      <w:start w:val="1"/>
    </w:lvl>
  </w:abstractNum>
  <w:abstractNum w:abstractNumId="93">
    <w:nsid w:val="129517E"/>
    <w:multiLevelType w:val="hybridMultilevel"/>
    <w:lvl w:ilvl="0">
      <w:lvlJc w:val="left"/>
      <w:lvlText w:val="%1."/>
      <w:numFmt w:val="upperLetter"/>
      <w:start w:val="2"/>
    </w:lvl>
  </w:abstractNum>
  <w:abstractNum w:abstractNumId="94">
    <w:nsid w:val="763B8C4E"/>
    <w:multiLevelType w:val="hybridMultilevel"/>
    <w:lvl w:ilvl="0">
      <w:lvlJc w:val="left"/>
      <w:lvlText w:val="%1."/>
      <w:numFmt w:val="upperLetter"/>
      <w:start w:val="3"/>
    </w:lvl>
  </w:abstractNum>
  <w:abstractNum w:abstractNumId="95">
    <w:nsid w:val="4CFB8D32"/>
    <w:multiLevelType w:val="hybridMultilevel"/>
    <w:lvl w:ilvl="0">
      <w:lvlJc w:val="left"/>
      <w:lvlText w:val="%1."/>
      <w:numFmt w:val="upperLetter"/>
      <w:start w:val="4"/>
    </w:lvl>
  </w:abstractNum>
  <w:abstractNum w:abstractNumId="96">
    <w:nsid w:val="62A5D5BD"/>
    <w:multiLevelType w:val="hybridMultilevel"/>
    <w:lvl w:ilvl="0">
      <w:lvlJc w:val="left"/>
      <w:lvlText w:val="%1."/>
      <w:numFmt w:val="upperLetter"/>
      <w:start w:val="5"/>
    </w:lvl>
  </w:abstractNum>
  <w:abstractNum w:abstractNumId="97">
    <w:nsid w:val="718FABF9"/>
    <w:multiLevelType w:val="hybridMultilevel"/>
    <w:lvl w:ilvl="0">
      <w:lvlJc w:val="left"/>
      <w:lvlText w:val="·"/>
      <w:numFmt w:val="bullet"/>
      <w:start w:val="1"/>
    </w:lvl>
  </w:abstractNum>
  <w:abstractNum w:abstractNumId="98">
    <w:nsid w:val="7775797C"/>
    <w:multiLevelType w:val="hybridMultilevel"/>
    <w:lvl w:ilvl="0">
      <w:lvlJc w:val="left"/>
      <w:lvlText w:val="·"/>
      <w:numFmt w:val="bullet"/>
      <w:start w:val="1"/>
    </w:lvl>
  </w:abstractNum>
  <w:abstractNum w:abstractNumId="99">
    <w:nsid w:val="1626FB8C"/>
    <w:multiLevelType w:val="hybridMultilevel"/>
    <w:lvl w:ilvl="0">
      <w:lvlJc w:val="left"/>
      <w:lvlText w:val="·"/>
      <w:numFmt w:val="bullet"/>
      <w:start w:val="1"/>
    </w:lvl>
  </w:abstractNum>
  <w:abstractNum w:abstractNumId="100">
    <w:nsid w:val="3957756A"/>
    <w:multiLevelType w:val="hybridMultilevel"/>
    <w:lvl w:ilvl="0">
      <w:lvlJc w:val="left"/>
      <w:lvlText w:val="·"/>
      <w:numFmt w:val="bullet"/>
      <w:start w:val="1"/>
    </w:lvl>
  </w:abstractNum>
  <w:abstractNum w:abstractNumId="101">
    <w:nsid w:val="3E6DA1C7"/>
    <w:multiLevelType w:val="hybridMultilevel"/>
    <w:lvl w:ilvl="0">
      <w:lvlJc w:val="left"/>
      <w:lvlText w:val="·"/>
      <w:numFmt w:val="bullet"/>
      <w:start w:val="1"/>
    </w:lvl>
  </w:abstractNum>
  <w:abstractNum w:abstractNumId="102">
    <w:nsid w:val="65CA235B"/>
    <w:multiLevelType w:val="hybridMultilevel"/>
    <w:lvl w:ilvl="0">
      <w:lvlJc w:val="left"/>
      <w:lvlText w:val="%1."/>
      <w:numFmt w:val="upperLetter"/>
      <w:start w:val="6"/>
    </w:lvl>
  </w:abstractNum>
  <w:abstractNum w:abstractNumId="103">
    <w:nsid w:val="51CB0DA4"/>
    <w:multiLevelType w:val="hybridMultilevel"/>
    <w:lvl w:ilvl="0">
      <w:lvlJc w:val="left"/>
      <w:lvlText w:val="%1."/>
      <w:numFmt w:val="upperLetter"/>
      <w:start w:val="7"/>
    </w:lvl>
  </w:abstractNum>
  <w:abstractNum w:abstractNumId="104">
    <w:nsid w:val="7B9B743C"/>
    <w:multiLevelType w:val="hybridMultilevel"/>
    <w:lvl w:ilvl="0">
      <w:lvlJc w:val="left"/>
      <w:lvlText w:val="%1."/>
      <w:numFmt w:val="upperLetter"/>
      <w:start w:val="8"/>
    </w:lvl>
  </w:abstractNum>
  <w:abstractNum w:abstractNumId="105">
    <w:nsid w:val="13E21002"/>
    <w:multiLevelType w:val="hybridMultilevel"/>
    <w:lvl w:ilvl="0">
      <w:lvlJc w:val="left"/>
      <w:lvlText w:val="%1."/>
      <w:numFmt w:val="upperLetter"/>
      <w:start w:val="9"/>
    </w:lvl>
  </w:abstractNum>
  <w:abstractNum w:abstractNumId="106">
    <w:nsid w:val="257D63F4"/>
    <w:multiLevelType w:val="hybridMultilevel"/>
    <w:lvl w:ilvl="0">
      <w:lvlJc w:val="left"/>
      <w:lvlText w:val="%1."/>
      <w:numFmt w:val="upperLetter"/>
      <w:start w:val="1"/>
    </w:lvl>
  </w:abstractNum>
  <w:abstractNum w:abstractNumId="107">
    <w:nsid w:val="70EC11B2"/>
    <w:multiLevelType w:val="hybridMultilevel"/>
    <w:lvl w:ilvl="0">
      <w:lvlJc w:val="left"/>
      <w:lvlText w:val="%1."/>
      <w:numFmt w:val="upperLetter"/>
      <w:start w:val="2"/>
    </w:lvl>
  </w:abstractNum>
  <w:abstractNum w:abstractNumId="108">
    <w:nsid w:val="2EDA00ED"/>
    <w:multiLevelType w:val="hybridMultilevel"/>
    <w:lvl w:ilvl="0">
      <w:lvlJc w:val="left"/>
      <w:lvlText w:val="%1."/>
      <w:numFmt w:val="upperLetter"/>
      <w:start w:val="3"/>
    </w:lvl>
  </w:abstractNum>
  <w:abstractNum w:abstractNumId="109">
    <w:nsid w:val="73209072"/>
    <w:multiLevelType w:val="hybridMultilevel"/>
    <w:lvl w:ilvl="0">
      <w:lvlJc w:val="left"/>
      <w:lvlText w:val="%1."/>
      <w:numFmt w:val="upperLetter"/>
      <w:start w:val="4"/>
    </w:lvl>
  </w:abstractNum>
  <w:abstractNum w:abstractNumId="110">
    <w:nsid w:val="5FB29816"/>
    <w:multiLevelType w:val="hybridMultilevel"/>
    <w:lvl w:ilvl="0">
      <w:lvlJc w:val="left"/>
      <w:lvlText w:val="·"/>
      <w:numFmt w:val="bullet"/>
      <w:start w:val="1"/>
    </w:lvl>
  </w:abstractNum>
  <w:abstractNum w:abstractNumId="111">
    <w:nsid w:val="3CE732EC"/>
    <w:multiLevelType w:val="hybridMultilevel"/>
    <w:lvl w:ilvl="0">
      <w:lvlJc w:val="left"/>
      <w:lvlText w:val="(%1)"/>
      <w:numFmt w:val="lowerRoman"/>
      <w:start w:val="1"/>
    </w:lvl>
  </w:abstractNum>
  <w:abstractNum w:abstractNumId="112">
    <w:nsid w:val="22F13DF3"/>
    <w:multiLevelType w:val="hybridMultilevel"/>
    <w:lvl w:ilvl="0">
      <w:lvlJc w:val="left"/>
      <w:lvlText w:val="%1."/>
      <w:numFmt w:val="upperLetter"/>
      <w:start w:val="1"/>
    </w:lvl>
  </w:abstractNum>
  <w:abstractNum w:abstractNumId="113">
    <w:nsid w:val="792B8401"/>
    <w:multiLevelType w:val="hybridMultilevel"/>
    <w:lvl w:ilvl="0">
      <w:lvlJc w:val="left"/>
      <w:lvlText w:val="%1."/>
      <w:numFmt w:val="upperLetter"/>
      <w:start w:val="2"/>
    </w:lvl>
  </w:abstractNum>
  <w:abstractNum w:abstractNumId="114">
    <w:nsid w:val="FA85F4D"/>
    <w:multiLevelType w:val="hybridMultilevel"/>
    <w:lvl w:ilvl="0">
      <w:lvlJc w:val="left"/>
      <w:lvlText w:val="(%1)"/>
      <w:numFmt w:val="decimal"/>
      <w:start w:val="1"/>
    </w:lvl>
  </w:abstractNum>
  <w:abstractNum w:abstractNumId="115">
    <w:nsid w:val="6ECE91F0"/>
    <w:multiLevelType w:val="hybridMultilevel"/>
    <w:lvl w:ilvl="0">
      <w:lvlJc w:val="left"/>
      <w:lvlText w:val="·"/>
      <w:numFmt w:val="bullet"/>
      <w:start w:val="1"/>
    </w:lvl>
  </w:abstractNum>
  <w:abstractNum w:abstractNumId="116">
    <w:nsid w:val="4FC4D600"/>
    <w:multiLevelType w:val="hybridMultilevel"/>
    <w:lvl w:ilvl="0">
      <w:lvlJc w:val="left"/>
      <w:lvlText w:val="·"/>
      <w:numFmt w:val="bullet"/>
      <w:start w:val="1"/>
    </w:lvl>
  </w:abstractNum>
  <w:abstractNum w:abstractNumId="117">
    <w:nsid w:val="5BFD4210"/>
    <w:multiLevelType w:val="hybridMultilevel"/>
    <w:lvl w:ilvl="0">
      <w:lvlJc w:val="left"/>
      <w:lvlText w:val="*"/>
      <w:numFmt w:val="bullet"/>
      <w:start w:val="1"/>
    </w:lvl>
  </w:abstractNum>
  <w:abstractNum w:abstractNumId="118">
    <w:nsid w:val="76574F8B"/>
    <w:multiLevelType w:val="hybridMultilevel"/>
    <w:lvl w:ilvl="0">
      <w:lvlJc w:val="left"/>
      <w:lvlText w:val="%1."/>
      <w:numFmt w:val="decimal"/>
      <w:start w:val="2"/>
    </w:lvl>
  </w:abstractNum>
  <w:abstractNum w:abstractNumId="119">
    <w:nsid w:val="178F7B67"/>
    <w:multiLevelType w:val="hybridMultilevel"/>
    <w:lvl w:ilvl="0">
      <w:lvlJc w:val="left"/>
      <w:lvlText w:val="%1."/>
      <w:numFmt w:val="decimal"/>
      <w:start w:val="2"/>
    </w:lvl>
  </w:abstractNum>
  <w:abstractNum w:abstractNumId="120">
    <w:nsid w:val="2421DFCF"/>
    <w:multiLevelType w:val="hybridMultilevel"/>
    <w:lvl w:ilvl="0">
      <w:lvlJc w:val="left"/>
      <w:lvlText w:val="(%1)"/>
      <w:numFmt w:val="decimal"/>
      <w:start w:val="3"/>
    </w:lvl>
  </w:abstractNum>
  <w:abstractNum w:abstractNumId="121">
    <w:nsid w:val="1565AC99"/>
    <w:multiLevelType w:val="hybridMultilevel"/>
    <w:lvl w:ilvl="0">
      <w:lvlJc w:val="left"/>
      <w:lvlText w:val="%1."/>
      <w:numFmt w:val="decimal"/>
      <w:start w:val="2"/>
    </w:lvl>
  </w:abstractNum>
  <w:abstractNum w:abstractNumId="122">
    <w:nsid w:val="19FB2650"/>
    <w:multiLevelType w:val="hybridMultilevel"/>
    <w:lvl w:ilvl="0">
      <w:lvlJc w:val="left"/>
      <w:lvlText w:val="%1."/>
      <w:numFmt w:val="decimal"/>
      <w:start w:val="2"/>
    </w:lvl>
  </w:abstractNum>
  <w:abstractNum w:abstractNumId="123">
    <w:nsid w:val="5024DE5B"/>
    <w:multiLevelType w:val="hybridMultilevel"/>
    <w:lvl w:ilvl="0">
      <w:lvlJc w:val="left"/>
      <w:lvlText w:val="(%1)"/>
      <w:numFmt w:val="lowerRoman"/>
      <w:start w:val="1"/>
    </w:lvl>
  </w:abstractNum>
  <w:abstractNum w:abstractNumId="124">
    <w:nsid w:val="168EFE17"/>
    <w:multiLevelType w:val="hybridMultilevel"/>
    <w:lvl w:ilvl="0">
      <w:lvlJc w:val="left"/>
      <w:lvlText w:val="%1."/>
      <w:numFmt w:val="decimal"/>
      <w:start w:val="2"/>
    </w:lvl>
  </w:abstractNum>
  <w:abstractNum w:abstractNumId="125">
    <w:nsid w:val="1036B29F"/>
    <w:multiLevelType w:val="hybridMultilevel"/>
    <w:lvl w:ilvl="0">
      <w:lvlJc w:val="left"/>
      <w:lvlText w:val="(%1)"/>
      <w:numFmt w:val="lowerRoman"/>
      <w:start w:val="1"/>
    </w:lvl>
  </w:abstractNum>
  <w:abstractNum w:abstractNumId="126">
    <w:nsid w:val="1D206B8E"/>
    <w:multiLevelType w:val="hybridMultilevel"/>
    <w:lvl w:ilvl="0">
      <w:lvlJc w:val="left"/>
      <w:lvlText w:val="(%1)"/>
      <w:numFmt w:val="lowerRoman"/>
      <w:start w:val="2"/>
    </w:lvl>
  </w:abstractNum>
  <w:abstractNum w:abstractNumId="127">
    <w:nsid w:val="7934D3D4"/>
    <w:multiLevelType w:val="hybridMultilevel"/>
    <w:lvl w:ilvl="0">
      <w:lvlJc w:val="left"/>
      <w:lvlText w:val="%1."/>
      <w:numFmt w:val="decimal"/>
      <w:start w:val="2"/>
    </w:lvl>
  </w:abstractNum>
  <w:abstractNum w:abstractNumId="128">
    <w:nsid w:val="1C65E98"/>
    <w:multiLevelType w:val="hybridMultilevel"/>
    <w:lvl w:ilvl="0">
      <w:lvlJc w:val="left"/>
      <w:lvlText w:val="(%1)"/>
      <w:numFmt w:val="lowerRoman"/>
      <w:start w:val="2"/>
    </w:lvl>
  </w:abstractNum>
  <w:abstractNum w:abstractNumId="129">
    <w:nsid w:val="1495E50A"/>
    <w:multiLevelType w:val="hybridMultilevel"/>
    <w:lvl w:ilvl="0">
      <w:lvlJc w:val="left"/>
      <w:lvlText w:val="%1."/>
      <w:numFmt w:val="decimal"/>
      <w:start w:val="2"/>
    </w:lvl>
  </w:abstractNum>
  <w:abstractNum w:abstractNumId="130">
    <w:nsid w:val="F5BCF61"/>
    <w:multiLevelType w:val="hybridMultilevel"/>
    <w:lvl w:ilvl="0">
      <w:lvlJc w:val="left"/>
      <w:lvlText w:val="(%1)"/>
      <w:numFmt w:val="lowerRoman"/>
      <w:start w:val="2"/>
    </w:lvl>
  </w:abstractNum>
  <w:abstractNum w:abstractNumId="131">
    <w:nsid w:val="3B1DD403"/>
    <w:multiLevelType w:val="hybridMultilevel"/>
    <w:lvl w:ilvl="0">
      <w:lvlJc w:val="left"/>
      <w:lvlText w:val="%1."/>
      <w:numFmt w:val="decimal"/>
      <w:start w:val="2"/>
    </w:lvl>
  </w:abstractNum>
  <w:abstractNum w:abstractNumId="132">
    <w:nsid w:val="530386D1"/>
    <w:multiLevelType w:val="hybridMultilevel"/>
    <w:lvl w:ilvl="0">
      <w:lvlJc w:val="left"/>
      <w:lvlText w:val="(%1)"/>
      <w:numFmt w:val="lowerRoman"/>
      <w:start w:val="2"/>
    </w:lvl>
  </w:abstractNum>
  <w:abstractNum w:abstractNumId="133">
    <w:nsid w:val="7525F2BC"/>
    <w:multiLevelType w:val="hybridMultilevel"/>
    <w:lvl w:ilvl="0">
      <w:lvlJc w:val="left"/>
      <w:lvlText w:val="%1."/>
      <w:numFmt w:val="decimal"/>
      <w:start w:val="2"/>
    </w:lvl>
  </w:abstractNum>
  <w:abstractNum w:abstractNumId="134">
    <w:nsid w:val="CE8E1A7"/>
    <w:multiLevelType w:val="hybridMultilevel"/>
    <w:lvl w:ilvl="0">
      <w:lvlJc w:val="left"/>
      <w:lvlText w:val="%1."/>
      <w:numFmt w:val="decimal"/>
      <w:start w:val="2"/>
    </w:lvl>
  </w:abstractNum>
  <w:abstractNum w:abstractNumId="135">
    <w:nsid w:val="4E9EFB0D"/>
    <w:multiLevelType w:val="hybridMultilevel"/>
    <w:lvl w:ilvl="0">
      <w:lvlJc w:val="left"/>
      <w:lvlText w:val="%1."/>
      <w:numFmt w:val="decimal"/>
      <w:start w:val="2"/>
    </w:lvl>
  </w:abstractNum>
  <w:abstractNum w:abstractNumId="136">
    <w:nsid w:val="90802BE"/>
    <w:multiLevelType w:val="hybridMultilevel"/>
    <w:lvl w:ilvl="0">
      <w:lvlJc w:val="left"/>
      <w:lvlText w:val="%1."/>
      <w:numFmt w:val="decimal"/>
      <w:start w:val="2"/>
    </w:lvl>
  </w:abstractNum>
  <w:abstractNum w:abstractNumId="137">
    <w:nsid w:val="3266459B"/>
    <w:multiLevelType w:val="hybridMultilevel"/>
    <w:lvl w:ilvl="0">
      <w:lvlJc w:val="left"/>
      <w:lvlText w:val="%1."/>
      <w:numFmt w:val="decimal"/>
      <w:start w:val="3"/>
    </w:lvl>
  </w:abstractNum>
  <w:abstractNum w:abstractNumId="138">
    <w:nsid w:val="3F8B0CBF"/>
    <w:multiLevelType w:val="hybridMultilevel"/>
    <w:lvl w:ilvl="0">
      <w:lvlJc w:val="left"/>
      <w:lvlText w:val="%1."/>
      <w:numFmt w:val="decimal"/>
      <w:start w:val="3"/>
    </w:lvl>
  </w:abstractNum>
  <w:abstractNum w:abstractNumId="139">
    <w:nsid w:val="37E203AB"/>
    <w:multiLevelType w:val="hybridMultilevel"/>
    <w:lvl w:ilvl="0">
      <w:lvlJc w:val="left"/>
      <w:lvlText w:val="%1."/>
      <w:numFmt w:val="decimal"/>
      <w:start w:val="22"/>
    </w:lvl>
  </w:abstractNum>
  <w:abstractNum w:abstractNumId="140">
    <w:nsid w:val="2586D60E"/>
    <w:multiLevelType w:val="hybridMultilevel"/>
    <w:lvl w:ilvl="0">
      <w:lvlJc w:val="left"/>
      <w:lvlText w:val="%1."/>
      <w:numFmt w:val="decimal"/>
      <w:start w:val="22"/>
    </w:lvl>
  </w:abstractNum>
  <w:abstractNum w:abstractNumId="141">
    <w:nsid w:val="1F3DA4D5"/>
    <w:multiLevelType w:val="hybridMultilevel"/>
    <w:lvl w:ilvl="0">
      <w:lvlJc w:val="left"/>
      <w:lvlText w:val="·"/>
      <w:numFmt w:val="bullet"/>
      <w:start w:val="1"/>
    </w:lvl>
  </w:abstractNum>
  <w:abstractNum w:abstractNumId="142">
    <w:nsid w:val="74C93698"/>
    <w:multiLevelType w:val="hybridMultilevel"/>
    <w:lvl w:ilvl="0">
      <w:lvlJc w:val="left"/>
      <w:lvlText w:val="\ldblquote"/>
      <w:numFmt w:val="bullet"/>
      <w:start w:val="1"/>
    </w:lvl>
  </w:abstractNum>
  <w:abstractNum w:abstractNumId="143">
    <w:nsid w:val="48781401"/>
    <w:multiLevelType w:val="hybridMultilevel"/>
    <w:lvl w:ilvl="0">
      <w:lvlJc w:val="left"/>
      <w:lvlText w:val="(%1)"/>
      <w:numFmt w:val="decimal"/>
      <w:start w:val="1"/>
    </w:lvl>
  </w:abstractNum>
  <w:abstractNum w:abstractNumId="144">
    <w:nsid w:val="186928D6"/>
    <w:multiLevelType w:val="hybridMultilevel"/>
    <w:lvl w:ilvl="0">
      <w:lvlJc w:val="left"/>
      <w:lvlText w:val="(%1)"/>
      <w:numFmt w:val="decimal"/>
      <w:start w:val="30"/>
    </w:lvl>
  </w:abstractNum>
  <w:abstractNum w:abstractNumId="145">
    <w:nsid w:val="47195E5"/>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46">
    <w:nsid w:val="3746A5F2"/>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abstractNum>
  <w:abstractNum w:abstractNumId="147">
    <w:nsid w:val="682DFED6"/>
    <w:multiLevelType w:val="hybridMultilevel"/>
    <w:lvl w:ilvl="0">
      <w:lvlJc w:val="left"/>
      <w:lvlText w:val="(%1)"/>
      <w:numFmt w:val="decimal"/>
      <w:start w:val="3"/>
    </w:lvl>
    <w:lvl w:ilvl="1">
      <w:lvlJc w:val="left"/>
      <w:lvlText w:val="%2"/>
      <w:numFmt w:val="decimal"/>
      <w:start w:val="1"/>
    </w:lvl>
    <w:lvl w:ilvl="2">
      <w:lvlJc w:val="left"/>
      <w:lvlText w:val="%3"/>
      <w:numFmt w:val="decimal"/>
      <w:start w:val="1"/>
    </w:lvl>
  </w:abstractNum>
  <w:abstractNum w:abstractNumId="148">
    <w:nsid w:val="606ED7F6"/>
    <w:multiLevelType w:val="hybridMultilevel"/>
    <w:lvl w:ilvl="0">
      <w:lvlJc w:val="left"/>
      <w:lvlText w:val="("/>
      <w:numFmt w:val="bullet"/>
      <w:start w:val="1"/>
    </w:lvl>
  </w:abstractNum>
  <w:abstractNum w:abstractNumId="149">
    <w:nsid w:val="2D9DF57D"/>
    <w:multiLevelType w:val="hybridMultilevel"/>
    <w:lvl w:ilvl="0">
      <w:lvlJc w:val="left"/>
      <w:lvlText w:val="(%1)"/>
      <w:numFmt w:val="decimal"/>
      <w:start w:val="5"/>
    </w:lvl>
  </w:abstractNum>
  <w:abstractNum w:abstractNumId="150">
    <w:nsid w:val="7FBD7A3E"/>
    <w:multiLevelType w:val="hybridMultilevel"/>
    <w:lvl w:ilvl="0">
      <w:lvlJc w:val="left"/>
      <w:lvlText w:val="(%1)"/>
      <w:numFmt w:val="decimal"/>
      <w:start w:val="1"/>
    </w:lvl>
  </w:abstractNum>
  <w:abstractNum w:abstractNumId="151">
    <w:nsid w:val="490B7C5"/>
    <w:multiLevelType w:val="hybridMultilevel"/>
    <w:lvl w:ilvl="0">
      <w:lvlJc w:val="left"/>
      <w:lvlText w:val="(%1)"/>
      <w:numFmt w:val="decimal"/>
      <w:start w:val="5"/>
    </w:lvl>
  </w:abstractNum>
  <w:abstractNum w:abstractNumId="152">
    <w:nsid w:val="4303A216"/>
    <w:multiLevelType w:val="hybridMultilevel"/>
    <w:lvl w:ilvl="0">
      <w:lvlJc w:val="left"/>
      <w:lvlText w:val="%1."/>
      <w:numFmt w:val="decimal"/>
      <w:start w:val="1"/>
    </w:lvl>
  </w:abstractNum>
  <w:abstractNum w:abstractNumId="153">
    <w:nsid w:val="19B8A08E"/>
    <w:multiLevelType w:val="hybridMultilevel"/>
    <w:lvl w:ilvl="0">
      <w:lvlJc w:val="left"/>
      <w:lvlText w:val="(%1)"/>
      <w:numFmt w:val="lowerLetter"/>
      <w:start w:val="1"/>
    </w:lvl>
  </w:abstractNum>
  <w:abstractNum w:abstractNumId="154">
    <w:nsid w:val="54B59621"/>
    <w:multiLevelType w:val="hybridMultilevel"/>
    <w:lvl w:ilvl="0">
      <w:lvlJc w:val="left"/>
      <w:lvlText w:val="(%1)"/>
      <w:numFmt w:val="lowerLetter"/>
      <w:start w:val="1"/>
    </w:lvl>
    <w:lvl w:ilvl="1">
      <w:lvlJc w:val="left"/>
      <w:lvlText w:val="(%2)"/>
      <w:numFmt w:val="lowerLetter"/>
      <w:start w:val="1"/>
    </w:lvl>
  </w:abstractNum>
  <w:abstractNum w:abstractNumId="155">
    <w:nsid w:val="5992A02E"/>
    <w:multiLevelType w:val="hybridMultilevel"/>
    <w:lvl w:ilvl="0">
      <w:lvlJc w:val="left"/>
      <w:lvlText w:val="(%1)"/>
      <w:numFmt w:val="lowerLetter"/>
      <w:start w:val="1"/>
    </w:lvl>
  </w:abstractNum>
  <w:abstractNum w:abstractNumId="156">
    <w:nsid w:val="29EF532D"/>
    <w:multiLevelType w:val="hybridMultilevel"/>
    <w:lvl w:ilvl="0">
      <w:lvlJc w:val="left"/>
      <w:lvlText w:val="(%1)"/>
      <w:numFmt w:val="lowerLetter"/>
      <w:start w:val="3"/>
    </w:lvl>
  </w:abstractNum>
  <w:abstractNum w:abstractNumId="157">
    <w:nsid w:val="71D601AF"/>
    <w:multiLevelType w:val="hybridMultilevel"/>
    <w:lvl w:ilvl="0">
      <w:lvlJc w:val="left"/>
      <w:lvlText w:val="(%1)"/>
      <w:numFmt w:val="lowerLetter"/>
      <w:start w:val="1"/>
    </w:lvl>
  </w:abstractNum>
  <w:abstractNum w:abstractNumId="158">
    <w:nsid w:val="52C77402"/>
    <w:multiLevelType w:val="hybridMultilevel"/>
    <w:lvl w:ilvl="0">
      <w:lvlJc w:val="left"/>
      <w:lvlText w:val="(%1)"/>
      <w:numFmt w:val="lowerLetter"/>
      <w:start w:val="1"/>
    </w:lvl>
  </w:abstractNum>
  <w:abstractNum w:abstractNumId="159">
    <w:nsid w:val="2BB5B1C6"/>
    <w:multiLevelType w:val="hybridMultilevel"/>
    <w:lvl w:ilvl="0">
      <w:lvlJc w:val="left"/>
      <w:lvlText w:val="(%1)"/>
      <w:numFmt w:val="lowerLetter"/>
      <w:start w:val="1"/>
    </w:lvl>
  </w:abstractNum>
  <w:abstractNum w:abstractNumId="160">
    <w:nsid w:val="66BE6B9"/>
    <w:multiLevelType w:val="hybridMultilevel"/>
    <w:lvl w:ilvl="0">
      <w:lvlJc w:val="left"/>
      <w:lvlText w:val="(%1)"/>
      <w:numFmt w:val="lowerLetter"/>
      <w:start w:val="1"/>
    </w:lvl>
  </w:abstractNum>
  <w:abstractNum w:abstractNumId="161">
    <w:nsid w:val="62234363"/>
    <w:multiLevelType w:val="hybridMultilevel"/>
    <w:lvl w:ilvl="0">
      <w:lvlJc w:val="left"/>
      <w:lvlText w:val="(%1)"/>
      <w:numFmt w:val="lowerLetter"/>
      <w:start w:val="2"/>
    </w:lvl>
  </w:abstractNum>
  <w:abstractNum w:abstractNumId="162">
    <w:nsid w:val="66D385C9"/>
    <w:multiLevelType w:val="hybridMultilevel"/>
    <w:lvl w:ilvl="0">
      <w:lvlJc w:val="left"/>
      <w:lvlText w:val="(%1)"/>
      <w:numFmt w:val="lowerLetter"/>
      <w:start w:val="1"/>
    </w:lvl>
  </w:abstractNum>
  <w:abstractNum w:abstractNumId="163">
    <w:nsid w:val="596F6D8A"/>
    <w:multiLevelType w:val="hybridMultilevel"/>
    <w:lvl w:ilvl="0">
      <w:lvlJc w:val="left"/>
      <w:lvlText w:val="(%1)"/>
      <w:numFmt w:val="lowerLetter"/>
      <w:start w:val="2"/>
    </w:lvl>
  </w:abstractNum>
  <w:abstractNum w:abstractNumId="164">
    <w:nsid w:val="5749361F"/>
    <w:multiLevelType w:val="hybridMultilevel"/>
    <w:lvl w:ilvl="0">
      <w:lvlJc w:val="left"/>
      <w:lvlText w:val="(%1)"/>
      <w:numFmt w:val="lowerLetter"/>
      <w:start w:val="1"/>
    </w:lvl>
    <w:lvl w:ilvl="1">
      <w:lvlJc w:val="left"/>
      <w:lvlText w:val="(%2)"/>
      <w:numFmt w:val="lowerRoman"/>
      <w:start w:val="1"/>
    </w:lvl>
  </w:abstractNum>
  <w:abstractNum w:abstractNumId="165">
    <w:nsid w:val="73BC6770"/>
    <w:multiLevelType w:val="hybridMultilevel"/>
    <w:lvl w:ilvl="0">
      <w:lvlJc w:val="left"/>
      <w:lvlText w:val="%1."/>
      <w:numFmt w:val="decimal"/>
      <w:start w:val="2"/>
    </w:lvl>
  </w:abstractNum>
  <w:abstractNum w:abstractNumId="166">
    <w:nsid w:val="280E6897"/>
    <w:multiLevelType w:val="hybridMultilevel"/>
    <w:lvl w:ilvl="0">
      <w:lvlJc w:val="left"/>
      <w:lvlText w:val="%1."/>
      <w:numFmt w:val="decimal"/>
      <w:start w:val="3"/>
    </w:lvl>
  </w:abstractNum>
  <w:abstractNum w:abstractNumId="167">
    <w:nsid w:val="605138DE"/>
    <w:multiLevelType w:val="hybridMultilevel"/>
    <w:lvl w:ilvl="0">
      <w:lvlJc w:val="left"/>
      <w:lvlText w:val="%1."/>
      <w:numFmt w:val="decimal"/>
      <w:start w:val="4"/>
    </w:lvl>
  </w:abstractNum>
  <w:abstractNum w:abstractNumId="168">
    <w:nsid w:val="2622AD0C"/>
    <w:multiLevelType w:val="hybridMultilevel"/>
    <w:lvl w:ilvl="0">
      <w:lvlJc w:val="left"/>
      <w:lvlText w:val="(%1)"/>
      <w:numFmt w:val="lowerLetter"/>
      <w:start w:val="1"/>
    </w:lvl>
  </w:abstractNum>
  <w:abstractNum w:abstractNumId="169">
    <w:nsid w:val="67997556"/>
    <w:multiLevelType w:val="hybridMultilevel"/>
    <w:lvl w:ilvl="0">
      <w:lvlJc w:val="left"/>
      <w:lvlText w:val="%1."/>
      <w:numFmt w:val="decimal"/>
      <w:start w:val="5"/>
    </w:lvl>
  </w:abstractNum>
  <w:abstractNum w:abstractNumId="170">
    <w:nsid w:val="18333C89"/>
    <w:multiLevelType w:val="hybridMultilevel"/>
    <w:lvl w:ilvl="0">
      <w:lvlJc w:val="left"/>
      <w:lvlText w:val="(%1)"/>
      <w:numFmt w:val="lowerLetter"/>
      <w:start w:val="1"/>
    </w:lvl>
    <w:lvl w:ilvl="1">
      <w:lvlJc w:val="left"/>
      <w:lvlText w:val="(%2)"/>
      <w:numFmt w:val="upperLetter"/>
      <w:start w:val="1"/>
    </w:lvl>
  </w:abstractNum>
  <w:abstractNum w:abstractNumId="171">
    <w:nsid w:val="4BA9831A"/>
    <w:multiLevelType w:val="hybridMultilevel"/>
    <w:lvl w:ilvl="0">
      <w:lvlJc w:val="left"/>
      <w:lvlText w:val="%1"/>
      <w:numFmt w:val="lowerLetter"/>
      <w:start w:val="1"/>
    </w:lvl>
    <w:lvl w:ilvl="1">
      <w:lvlJc w:val="left"/>
      <w:lvlText w:val="(%2)"/>
      <w:numFmt w:val="upperLetter"/>
      <w:start w:val="2"/>
    </w:lvl>
  </w:abstractNum>
  <w:abstractNum w:abstractNumId="172">
    <w:nsid w:val="6D71A2B"/>
    <w:multiLevelType w:val="hybridMultilevel"/>
    <w:lvl w:ilvl="0">
      <w:lvlJc w:val="left"/>
      <w:lvlText w:val="(%1)"/>
      <w:numFmt w:val="lowerLetter"/>
      <w:start w:val="2"/>
    </w:lvl>
    <w:lvl w:ilvl="1">
      <w:lvlJc w:val="left"/>
      <w:lvlText w:val="%2"/>
      <w:numFmt w:val="upperLetter"/>
      <w:start w:val="1"/>
    </w:lvl>
  </w:abstractNum>
  <w:abstractNum w:abstractNumId="173">
    <w:nsid w:val="CFC7321"/>
    <w:multiLevelType w:val="hybridMultilevel"/>
    <w:lvl w:ilvl="0">
      <w:lvlJc w:val="left"/>
      <w:lvlText w:val="(%1)"/>
      <w:numFmt w:val="lowerLetter"/>
      <w:start w:val="1"/>
    </w:lvl>
  </w:abstractNum>
  <w:abstractNum w:abstractNumId="174">
    <w:nsid w:val="1421971B"/>
    <w:multiLevelType w:val="hybridMultilevel"/>
    <w:lvl w:ilvl="0">
      <w:lvlJc w:val="left"/>
      <w:lvlText w:val="(%1)"/>
      <w:numFmt w:val="lowerLetter"/>
      <w:start w:val="1"/>
    </w:lvl>
  </w:abstractNum>
  <w:abstractNum w:abstractNumId="175">
    <w:nsid w:val="1F404301"/>
    <w:multiLevelType w:val="hybridMultilevel"/>
    <w:lvl w:ilvl="0">
      <w:lvlJc w:val="left"/>
      <w:lvlText w:val="%1."/>
      <w:numFmt w:val="decimal"/>
      <w:start w:val="6"/>
    </w:lvl>
  </w:abstractNum>
  <w:abstractNum w:abstractNumId="176">
    <w:nsid w:val="116E0907"/>
    <w:multiLevelType w:val="hybridMultilevel"/>
    <w:lvl w:ilvl="0">
      <w:lvlJc w:val="left"/>
      <w:lvlText w:val="%1"/>
      <w:numFmt w:val="decimal"/>
      <w:start w:val="1"/>
    </w:lvl>
    <w:lvl w:ilvl="1">
      <w:lvlJc w:val="left"/>
      <w:lvlText w:val="(%2)"/>
      <w:numFmt w:val="lowerLetter"/>
      <w:start w:val="1"/>
    </w:lvl>
  </w:abstractNum>
  <w:abstractNum w:abstractNumId="177">
    <w:nsid w:val="4B683D0D"/>
    <w:multiLevelType w:val="hybridMultilevel"/>
    <w:lvl w:ilvl="0">
      <w:lvlJc w:val="left"/>
      <w:lvlText w:val="%1."/>
      <w:numFmt w:val="decimal"/>
      <w:start w:val="7"/>
    </w:lvl>
    <w:lvl w:ilvl="1">
      <w:lvlJc w:val="left"/>
      <w:lvlText w:val="%2"/>
      <w:numFmt w:val="lowerLetter"/>
      <w:start w:val="1"/>
    </w:lvl>
  </w:abstractNum>
  <w:abstractNum w:abstractNumId="178">
    <w:nsid w:val="76E41D8"/>
    <w:multiLevelType w:val="hybridMultilevel"/>
    <w:lvl w:ilvl="0">
      <w:lvlJc w:val="left"/>
      <w:lvlText w:val="%1."/>
      <w:numFmt w:val="decimal"/>
      <w:start w:val="8"/>
    </w:lvl>
  </w:abstractNum>
  <w:abstractNum w:abstractNumId="179">
    <w:nsid w:val="71DCE0FD"/>
    <w:multiLevelType w:val="hybridMultilevel"/>
    <w:lvl w:ilvl="0">
      <w:lvlJc w:val="left"/>
      <w:lvlText w:val="(%1)"/>
      <w:numFmt w:val="lowerLetter"/>
      <w:start w:val="1"/>
    </w:lvl>
  </w:abstractNum>
  <w:abstractNum w:abstractNumId="180">
    <w:nsid w:val="7906328B"/>
    <w:multiLevelType w:val="hybridMultilevel"/>
    <w:lvl w:ilvl="0">
      <w:lvlJc w:val="left"/>
      <w:lvlText w:val="(%1)"/>
      <w:numFmt w:val="lowerLetter"/>
      <w:start w:val="1"/>
    </w:lvl>
  </w:abstractNum>
  <w:abstractNum w:abstractNumId="181">
    <w:nsid w:val="72BBC16"/>
    <w:multiLevelType w:val="hybridMultilevel"/>
    <w:lvl w:ilvl="0">
      <w:lvlJc w:val="left"/>
      <w:lvlText w:val="%1."/>
      <w:numFmt w:val="decimal"/>
      <w:start w:val="9"/>
    </w:lvl>
    <w:lvl w:ilvl="1">
      <w:lvlJc w:val="left"/>
      <w:lvlText w:val="(%2)"/>
      <w:numFmt w:val="lowerLetter"/>
      <w:start w:val="1"/>
    </w:lvl>
  </w:abstractNum>
  <w:abstractNum w:abstractNumId="182">
    <w:nsid w:val="766D98C2"/>
    <w:multiLevelType w:val="hybridMultilevel"/>
    <w:lvl w:ilvl="0">
      <w:lvlJc w:val="left"/>
      <w:lvlText w:val="(%1)"/>
      <w:numFmt w:val="lowerLetter"/>
      <w:start w:val="1"/>
    </w:lvl>
  </w:abstractNum>
  <w:abstractNum w:abstractNumId="183">
    <w:nsid w:val="3C09D4A1"/>
    <w:multiLevelType w:val="hybridMultilevel"/>
    <w:lvl w:ilvl="0">
      <w:lvlJc w:val="left"/>
      <w:lvlText w:val="(%1)"/>
      <w:numFmt w:val="lowerLetter"/>
      <w:start w:val="4"/>
    </w:lvl>
  </w:abstractNum>
  <w:abstractNum w:abstractNumId="184">
    <w:nsid w:val="20E45CA4"/>
    <w:multiLevelType w:val="hybridMultilevel"/>
    <w:lvl w:ilvl="0">
      <w:lvlJc w:val="left"/>
      <w:lvlText w:val="(%1)"/>
      <w:numFmt w:val="lowerLetter"/>
      <w:start w:val="1"/>
    </w:lvl>
    <w:lvl w:ilvl="1">
      <w:lvlJc w:val="left"/>
      <w:lvlText w:val="(%2)"/>
      <w:numFmt w:val="lowerLetter"/>
      <w:start w:val="9"/>
    </w:lvl>
  </w:abstractNum>
  <w:abstractNum w:abstractNumId="185">
    <w:nsid w:val="4B232EE3"/>
    <w:multiLevelType w:val="hybridMultilevel"/>
    <w:lvl w:ilvl="0">
      <w:lvlJc w:val="left"/>
      <w:lvlText w:val="%1"/>
      <w:numFmt w:val="lowerLetter"/>
      <w:start w:val="1"/>
    </w:lvl>
    <w:lvl w:ilvl="1">
      <w:lvlJc w:val="left"/>
      <w:lvlText w:val="(%2)"/>
      <w:numFmt w:val="lowerLetter"/>
      <w:start w:val="35"/>
    </w:lvl>
  </w:abstractNum>
  <w:abstractNum w:abstractNumId="186">
    <w:nsid w:val="159C74CF"/>
    <w:multiLevelType w:val="hybridMultilevel"/>
    <w:lvl w:ilvl="0">
      <w:lvlJc w:val="left"/>
      <w:lvlText w:val="(%1)"/>
      <w:numFmt w:val="lowerLetter"/>
      <w:start w:val="2"/>
    </w:lvl>
    <w:lvl w:ilvl="1">
      <w:lvlJc w:val="left"/>
      <w:lvlText w:val="%2"/>
      <w:numFmt w:val="lowerLetter"/>
      <w:start w:val="1"/>
    </w:lvl>
  </w:abstractNum>
  <w:abstractNum w:abstractNumId="187">
    <w:nsid w:val="4AD3AFD2"/>
    <w:multiLevelType w:val="hybridMultilevel"/>
    <w:lvl w:ilvl="0">
      <w:lvlJc w:val="left"/>
      <w:lvlText w:val="(%1)"/>
      <w:numFmt w:val="lowerLetter"/>
      <w:start w:val="1"/>
    </w:lvl>
  </w:abstractNum>
  <w:abstractNum w:abstractNumId="188">
    <w:nsid w:val="3CF93092"/>
    <w:multiLevelType w:val="hybridMultilevel"/>
    <w:lvl w:ilvl="0">
      <w:lvlJc w:val="left"/>
      <w:lvlText w:val="(%1)"/>
      <w:numFmt w:val="lowerLetter"/>
      <w:start w:val="1"/>
    </w:lvl>
  </w:abstractNum>
  <w:abstractNum w:abstractNumId="189">
    <w:nsid w:val="6863E8D2"/>
    <w:multiLevelType w:val="hybridMultilevel"/>
    <w:lvl w:ilvl="0">
      <w:lvlJc w:val="left"/>
      <w:lvlText w:val="%1"/>
      <w:numFmt w:val="decimal"/>
      <w:start w:val="1"/>
    </w:lvl>
    <w:lvl w:ilvl="1">
      <w:lvlJc w:val="left"/>
      <w:lvlText w:val="(%2)"/>
      <w:numFmt w:val="lowerLetter"/>
      <w:start w:val="1"/>
    </w:lvl>
  </w:abstractNum>
  <w:abstractNum w:abstractNumId="190">
    <w:nsid w:val="76896198"/>
    <w:multiLevelType w:val="hybridMultilevel"/>
    <w:lvl w:ilvl="0">
      <w:lvlJc w:val="left"/>
      <w:lvlText w:val="%1."/>
      <w:numFmt w:val="decimal"/>
      <w:start w:val="10"/>
    </w:lvl>
    <w:lvl w:ilvl="1">
      <w:lvlJc w:val="left"/>
      <w:lvlText w:val="%2"/>
      <w:numFmt w:val="lowerLetter"/>
      <w:start w:val="1"/>
    </w:lvl>
  </w:abstractNum>
  <w:abstractNum w:abstractNumId="191">
    <w:nsid w:val="4365174B"/>
    <w:multiLevelType w:val="hybridMultilevel"/>
    <w:lvl w:ilvl="0">
      <w:lvlJc w:val="left"/>
      <w:lvlText w:val="(%1)"/>
      <w:numFmt w:val="lowerLetter"/>
      <w:start w:val="1"/>
    </w:lvl>
    <w:lvl w:ilvl="1">
      <w:lvlJc w:val="left"/>
      <w:lvlText w:val="(%2)"/>
      <w:numFmt w:val="lowerRoman"/>
      <w:start w:val="1"/>
    </w:lvl>
  </w:abstractNum>
  <w:abstractNum w:abstractNumId="192">
    <w:nsid w:val="4A872C35"/>
    <w:multiLevelType w:val="hybridMultilevel"/>
    <w:lvl w:ilvl="0">
      <w:lvlJc w:val="left"/>
      <w:lvlText w:val="(%1)"/>
      <w:numFmt w:val="lowerLetter"/>
      <w:start w:val="1"/>
    </w:lvl>
  </w:abstractNum>
  <w:abstractNum w:abstractNumId="193">
    <w:nsid w:val="5D5CE761"/>
    <w:multiLevelType w:val="hybridMultilevel"/>
    <w:lvl w:ilvl="0">
      <w:lvlJc w:val="left"/>
      <w:lvlText w:val="(%1)"/>
      <w:numFmt w:val="lowerLetter"/>
      <w:start w:val="1"/>
    </w:lvl>
    <w:lvl w:ilvl="1">
      <w:lvlJc w:val="left"/>
      <w:lvlText w:val="(%2)"/>
      <w:numFmt w:val="lowerLetter"/>
      <w:start w:val="9"/>
    </w:lvl>
  </w:abstractNum>
  <w:abstractNum w:abstractNumId="194">
    <w:nsid w:val="1CD484D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95">
    <w:nsid w:val="21D06255"/>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96">
    <w:nsid w:val="51194ED1"/>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197">
    <w:nsid w:val="44E2ED6C"/>
    <w:multiLevelType w:val="hybridMultilevel"/>
    <w:lvl w:ilvl="0">
      <w:lvlJc w:val="left"/>
      <w:lvlText w:val="(%1)"/>
      <w:numFmt w:val="lowerLetter"/>
      <w:start w:val="1"/>
    </w:lvl>
  </w:abstractNum>
  <w:abstractNum w:abstractNumId="198">
    <w:nsid w:val="2219B33"/>
    <w:multiLevelType w:val="hybridMultilevel"/>
    <w:lvl w:ilvl="0">
      <w:lvlJc w:val="left"/>
      <w:lvlText w:val="(%1)"/>
      <w:numFmt w:val="lowerLetter"/>
      <w:start w:val="1"/>
    </w:lvl>
  </w:abstractNum>
  <w:abstractNum w:abstractNumId="199">
    <w:nsid w:val="773BFBDD"/>
    <w:multiLevelType w:val="hybridMultilevel"/>
    <w:lvl w:ilvl="0">
      <w:lvlJc w:val="left"/>
      <w:lvlText w:val="%1"/>
      <w:numFmt w:val="decimal"/>
      <w:start w:val="1"/>
    </w:lvl>
    <w:lvl w:ilvl="1">
      <w:lvlJc w:val="left"/>
      <w:lvlText w:val="(%2)"/>
      <w:numFmt w:val="lowerLetter"/>
      <w:start w:val="1"/>
    </w:lvl>
  </w:abstractNum>
  <w:abstractNum w:abstractNumId="200">
    <w:nsid w:val="2C7C62C2"/>
    <w:multiLevelType w:val="hybridMultilevel"/>
    <w:lvl w:ilvl="0">
      <w:lvlJc w:val="left"/>
      <w:lvlText w:val="%1."/>
      <w:numFmt w:val="decimal"/>
      <w:start w:val="12"/>
    </w:lvl>
    <w:lvl w:ilvl="1">
      <w:lvlJc w:val="left"/>
      <w:lvlText w:val="%2"/>
      <w:numFmt w:val="lowerLetter"/>
      <w:start w:val="1"/>
    </w:lvl>
  </w:abstractNum>
  <w:abstractNum w:abstractNumId="201">
    <w:nsid w:val="1A54D7BC"/>
    <w:multiLevelType w:val="hybridMultilevel"/>
    <w:lvl w:ilvl="0">
      <w:lvlJc w:val="left"/>
      <w:lvlText w:val="(%1)"/>
      <w:numFmt w:val="lowerLetter"/>
      <w:start w:val="1"/>
    </w:lvl>
    <w:lvl w:ilvl="1">
      <w:lvlJc w:val="left"/>
      <w:lvlText w:val="(%2)"/>
      <w:numFmt w:val="lowerRoman"/>
      <w:start w:val="1"/>
    </w:lvl>
  </w:abstractNum>
  <w:abstractNum w:abstractNumId="202">
    <w:nsid w:val="42E57EF7"/>
    <w:multiLevelType w:val="hybridMultilevel"/>
    <w:lvl w:ilvl="0">
      <w:lvlJc w:val="left"/>
      <w:lvlText w:val="(%1)"/>
      <w:numFmt w:val="lowerLetter"/>
      <w:start w:val="2"/>
    </w:lvl>
  </w:abstractNum>
  <w:abstractNum w:abstractNumId="203">
    <w:nsid w:val="33537CED"/>
    <w:multiLevelType w:val="hybridMultilevel"/>
    <w:lvl w:ilvl="0">
      <w:lvlJc w:val="left"/>
      <w:lvlText w:val="(%1)"/>
      <w:numFmt w:val="lowerLetter"/>
      <w:start w:val="1"/>
    </w:lvl>
  </w:abstractNum>
  <w:abstractNum w:abstractNumId="204">
    <w:nsid w:val="27514ADE"/>
    <w:multiLevelType w:val="hybridMultilevel"/>
    <w:lvl w:ilvl="0">
      <w:lvlJc w:val="left"/>
      <w:lvlText w:val="(%1)"/>
      <w:numFmt w:val="lowerLetter"/>
      <w:start w:val="4"/>
    </w:lvl>
  </w:abstractNum>
  <w:abstractNum w:abstractNumId="205">
    <w:nsid w:val="57071613"/>
    <w:multiLevelType w:val="hybridMultilevel"/>
    <w:lvl w:ilvl="0">
      <w:lvlJc w:val="left"/>
      <w:lvlText w:val="%1."/>
      <w:numFmt w:val="decimal"/>
      <w:start w:val="13"/>
    </w:lvl>
  </w:abstractNum>
  <w:abstractNum w:abstractNumId="206">
    <w:nsid w:val="5293BFEF"/>
    <w:multiLevelType w:val="hybridMultilevel"/>
    <w:lvl w:ilvl="0">
      <w:lvlJc w:val="left"/>
      <w:lvlText w:val="%1."/>
      <w:numFmt w:val="decimal"/>
      <w:start w:val="14"/>
    </w:lvl>
  </w:abstractNum>
  <w:abstractNum w:abstractNumId="207">
    <w:nsid w:val="38BF53E5"/>
    <w:multiLevelType w:val="hybridMultilevel"/>
    <w:lvl w:ilvl="0">
      <w:lvlJc w:val="left"/>
      <w:lvlText w:val="(%1)"/>
      <w:numFmt w:val="lowerLetter"/>
      <w:start w:val="1"/>
    </w:lvl>
  </w:abstractNum>
  <w:abstractNum w:abstractNumId="208">
    <w:nsid w:val="226F5320"/>
    <w:multiLevelType w:val="hybridMultilevel"/>
    <w:lvl w:ilvl="0">
      <w:lvlJc w:val="left"/>
      <w:lvlText w:val="(%1)"/>
      <w:numFmt w:val="lowerLetter"/>
      <w:start w:val="1"/>
    </w:lvl>
  </w:abstractNum>
  <w:abstractNum w:abstractNumId="209">
    <w:nsid w:val="5A0201C7"/>
    <w:multiLevelType w:val="hybridMultilevel"/>
    <w:lvl w:ilvl="0">
      <w:lvlJc w:val="left"/>
      <w:lvlText w:val="(%1)"/>
      <w:numFmt w:val="lowerLetter"/>
      <w:start w:val="1"/>
    </w:lvl>
  </w:abstractNum>
  <w:abstractNum w:abstractNumId="210">
    <w:nsid w:val="2A9C34E2"/>
    <w:multiLevelType w:val="hybridMultilevel"/>
    <w:lvl w:ilvl="0">
      <w:lvlJc w:val="left"/>
      <w:lvlText w:val="(%1)"/>
      <w:numFmt w:val="lowerLetter"/>
      <w:start w:val="1"/>
    </w:lvl>
  </w:abstractNum>
  <w:abstractNum w:abstractNumId="211">
    <w:nsid w:val="1B7585AB"/>
    <w:multiLevelType w:val="hybridMultilevel"/>
    <w:lvl w:ilvl="0">
      <w:lvlJc w:val="left"/>
      <w:lvlText w:val="(%1)"/>
      <w:numFmt w:val="lowerLetter"/>
      <w:start w:val="1"/>
    </w:lvl>
  </w:abstractNum>
  <w:abstractNum w:abstractNumId="212">
    <w:nsid w:val="612DBDDD"/>
    <w:multiLevelType w:val="hybridMultilevel"/>
    <w:lvl w:ilvl="0">
      <w:lvlJc w:val="left"/>
      <w:lvlText w:val="(%1)"/>
      <w:numFmt w:val="lowerLetter"/>
      <w:start w:val="1"/>
    </w:lvl>
  </w:abstractNum>
  <w:abstractNum w:abstractNumId="213">
    <w:nsid w:val="2109CDA4"/>
    <w:multiLevelType w:val="hybridMultilevel"/>
    <w:lvl w:ilvl="0">
      <w:lvlJc w:val="left"/>
      <w:lvlText w:val="%1."/>
      <w:numFmt w:val="decimal"/>
      <w:start w:val="15"/>
    </w:lvl>
  </w:abstractNum>
  <w:abstractNum w:abstractNumId="214">
    <w:nsid w:val="577F5A4D"/>
    <w:multiLevelType w:val="hybridMultilevel"/>
    <w:lvl w:ilvl="0">
      <w:lvlJc w:val="left"/>
      <w:lvlText w:val="(%1)"/>
      <w:numFmt w:val="lowerLetter"/>
      <w:start w:val="1"/>
    </w:lvl>
  </w:abstractNum>
  <w:abstractNum w:abstractNumId="215">
    <w:nsid w:val="2121A81"/>
    <w:multiLevelType w:val="hybridMultilevel"/>
    <w:lvl w:ilvl="0">
      <w:lvlJc w:val="left"/>
      <w:lvlText w:val="%1"/>
      <w:numFmt w:val="decimal"/>
      <w:start w:val="1"/>
    </w:lvl>
    <w:lvl w:ilvl="1">
      <w:lvlJc w:val="left"/>
      <w:lvlText w:val="(%2)"/>
      <w:numFmt w:val="lowerLetter"/>
      <w:start w:val="1"/>
    </w:lvl>
  </w:abstractNum>
  <w:abstractNum w:abstractNumId="216">
    <w:nsid w:val="6C2CFC88"/>
    <w:multiLevelType w:val="hybridMultilevel"/>
    <w:lvl w:ilvl="0">
      <w:lvlJc w:val="left"/>
      <w:lvlText w:val="%1."/>
      <w:numFmt w:val="decimal"/>
      <w:start w:val="16"/>
    </w:lvl>
    <w:lvl w:ilvl="1">
      <w:lvlJc w:val="left"/>
      <w:lvlText w:val="%2"/>
      <w:numFmt w:val="lowerLetter"/>
      <w:start w:val="1"/>
    </w:lvl>
  </w:abstractNum>
  <w:abstractNum w:abstractNumId="217">
    <w:nsid w:val="6D1BCF1C"/>
    <w:multiLevelType w:val="hybridMultilevel"/>
    <w:lvl w:ilvl="0">
      <w:lvlJc w:val="left"/>
      <w:lvlText w:val="(%1)"/>
      <w:numFmt w:val="lowerLetter"/>
      <w:start w:val="1"/>
    </w:lvl>
  </w:abstractNum>
  <w:abstractNum w:abstractNumId="218">
    <w:nsid w:val="4CE5CA53"/>
    <w:multiLevelType w:val="hybridMultilevel"/>
    <w:lvl w:ilvl="0">
      <w:lvlJc w:val="left"/>
      <w:lvlText w:val="(%1)"/>
      <w:numFmt w:val="lowerLetter"/>
      <w:start w:val="1"/>
    </w:lvl>
  </w:abstractNum>
  <w:abstractNum w:abstractNumId="219">
    <w:nsid w:val="29262D1A"/>
    <w:multiLevelType w:val="hybridMultilevel"/>
    <w:lvl w:ilvl="0">
      <w:lvlJc w:val="left"/>
      <w:lvlText w:val="(%1)"/>
      <w:numFmt w:val="lowerLetter"/>
      <w:start w:val="1"/>
    </w:lvl>
    <w:lvl w:ilvl="1">
      <w:lvlJc w:val="left"/>
      <w:lvlText w:val="(%2)"/>
      <w:numFmt w:val="lowerRoman"/>
      <w:start w:val="1"/>
    </w:lvl>
  </w:abstractNum>
  <w:abstractNum w:abstractNumId="220">
    <w:nsid w:val="557FB7EE"/>
    <w:multiLevelType w:val="hybridMultilevel"/>
    <w:lvl w:ilvl="0">
      <w:lvlJc w:val="left"/>
      <w:lvlText w:val="%1."/>
      <w:numFmt w:val="decimal"/>
      <w:start w:val="17"/>
    </w:lvl>
  </w:abstractNum>
  <w:abstractNum w:abstractNumId="221">
    <w:nsid w:val="436F2BEB"/>
    <w:multiLevelType w:val="hybridMultilevel"/>
    <w:lvl w:ilvl="0">
      <w:lvlJc w:val="left"/>
      <w:lvlText w:val="(%1)"/>
      <w:numFmt w:val="lowerLetter"/>
      <w:start w:val="1"/>
    </w:lvl>
  </w:abstractNum>
  <w:abstractNum w:abstractNumId="222">
    <w:nsid w:val="6C8B4466"/>
    <w:multiLevelType w:val="hybridMultilevel"/>
    <w:lvl w:ilvl="0">
      <w:lvlJc w:val="left"/>
      <w:lvlText w:val="(%1)"/>
      <w:numFmt w:val="lowerLetter"/>
      <w:start w:val="1"/>
    </w:lvl>
  </w:abstractNum>
  <w:abstractNum w:abstractNumId="223">
    <w:nsid w:val="2006E424"/>
    <w:multiLevelType w:val="hybridMultilevel"/>
    <w:lvl w:ilvl="0">
      <w:lvlJc w:val="left"/>
      <w:lvlText w:val="(%1)"/>
      <w:numFmt w:val="lowerLetter"/>
      <w:start w:val="1"/>
    </w:lvl>
    <w:lvl w:ilvl="1">
      <w:lvlJc w:val="left"/>
      <w:lvlText w:val="(%2)"/>
      <w:numFmt w:val="decimal"/>
      <w:start w:val="10"/>
    </w:lvl>
  </w:abstractNum>
  <w:abstractNum w:abstractNumId="224">
    <w:nsid w:val="20CC134C"/>
    <w:multiLevelType w:val="hybridMultilevel"/>
    <w:lvl w:ilvl="0">
      <w:lvlJc w:val="left"/>
      <w:lvlText w:val="(%1)"/>
      <w:numFmt w:val="lowerLetter"/>
      <w:start w:val="1"/>
    </w:lvl>
  </w:abstractNum>
  <w:abstractNum w:abstractNumId="225">
    <w:nsid w:val="95FC93B"/>
    <w:multiLevelType w:val="hybridMultilevel"/>
    <w:lvl w:ilvl="0">
      <w:lvlJc w:val="left"/>
      <w:lvlText w:val="(%1)"/>
      <w:numFmt w:val="lowerLetter"/>
      <w:start w:val="1"/>
    </w:lvl>
  </w:abstractNum>
  <w:abstractNum w:abstractNumId="226">
    <w:nsid w:val="41D74679"/>
    <w:multiLevelType w:val="hybridMultilevel"/>
    <w:lvl w:ilvl="0">
      <w:lvlJc w:val="left"/>
      <w:lvlText w:val="(%1)"/>
      <w:numFmt w:val="lowerLetter"/>
      <w:start w:val="1"/>
    </w:lvl>
  </w:abstractNum>
  <w:abstractNum w:abstractNumId="227">
    <w:nsid w:val="71E5621E"/>
    <w:multiLevelType w:val="hybridMultilevel"/>
    <w:lvl w:ilvl="0">
      <w:lvlJc w:val="left"/>
      <w:lvlText w:val="(%1)"/>
      <w:numFmt w:val="lowerLetter"/>
      <w:start w:val="1"/>
    </w:lvl>
  </w:abstractNum>
  <w:abstractNum w:abstractNumId="228">
    <w:nsid w:val="4E42B6A8"/>
    <w:multiLevelType w:val="hybridMultilevel"/>
    <w:lvl w:ilvl="0">
      <w:lvlJc w:val="left"/>
      <w:lvlText w:val="%1"/>
      <w:numFmt w:val="decimal"/>
      <w:start w:val="1"/>
    </w:lvl>
    <w:lvl w:ilvl="1">
      <w:lvlJc w:val="left"/>
      <w:lvlText w:val="(%2)"/>
      <w:numFmt w:val="lowerLetter"/>
      <w:start w:val="1"/>
    </w:lvl>
  </w:abstractNum>
  <w:abstractNum w:abstractNumId="229">
    <w:nsid w:val="43F8E1AC"/>
    <w:multiLevelType w:val="hybridMultilevel"/>
    <w:lvl w:ilvl="0">
      <w:lvlJc w:val="left"/>
      <w:lvlText w:val="%1."/>
      <w:numFmt w:val="decimal"/>
      <w:start w:val="18"/>
    </w:lvl>
    <w:lvl w:ilvl="1">
      <w:lvlJc w:val="left"/>
      <w:lvlText w:val="%2"/>
      <w:numFmt w:val="lowerLetter"/>
      <w:start w:val="1"/>
    </w:lvl>
  </w:abstractNum>
  <w:abstractNum w:abstractNumId="230">
    <w:nsid w:val="69215DFB"/>
    <w:multiLevelType w:val="hybridMultilevel"/>
    <w:lvl w:ilvl="0">
      <w:lvlJc w:val="left"/>
      <w:lvlText w:val="(%1)"/>
      <w:numFmt w:val="lowerLetter"/>
      <w:start w:val="1"/>
    </w:lvl>
    <w:lvl w:ilvl="1">
      <w:lvlJc w:val="left"/>
      <w:lvlText w:val="(%2)"/>
      <w:numFmt w:val="lowerRoman"/>
      <w:start w:val="1"/>
    </w:lvl>
  </w:abstractNum>
  <w:abstractNum w:abstractNumId="231">
    <w:nsid w:val="7ABF196A"/>
    <w:multiLevelType w:val="hybridMultilevel"/>
    <w:lvl w:ilvl="0">
      <w:lvlJc w:val="left"/>
      <w:lvlText w:val="(%1)"/>
      <w:numFmt w:val="lowerLetter"/>
      <w:start w:val="2"/>
    </w:lvl>
  </w:abstractNum>
  <w:abstractNum w:abstractNumId="232">
    <w:nsid w:val="5E4DB968"/>
    <w:multiLevelType w:val="hybridMultilevel"/>
    <w:lvl w:ilvl="0">
      <w:lvlJc w:val="left"/>
      <w:lvlText w:val="(%1)"/>
      <w:numFmt w:val="lowerLetter"/>
      <w:start w:val="3"/>
    </w:lvl>
  </w:abstractNum>
  <w:abstractNum w:abstractNumId="233">
    <w:nsid w:val="2C06DCF3"/>
    <w:multiLevelType w:val="hybridMultilevel"/>
    <w:lvl w:ilvl="0">
      <w:lvlJc w:val="left"/>
      <w:lvlText w:val="(%1)"/>
      <w:numFmt w:val="lowerLetter"/>
      <w:start w:val="1"/>
    </w:lvl>
    <w:lvl w:ilvl="1">
      <w:lvlJc w:val="left"/>
      <w:lvlText w:val="(%2)"/>
      <w:numFmt w:val="lowerRoman"/>
      <w:start w:val="1"/>
    </w:lvl>
  </w:abstractNum>
  <w:abstractNum w:abstractNumId="234">
    <w:nsid w:val="2E129658"/>
    <w:multiLevelType w:val="hybridMultilevel"/>
    <w:lvl w:ilvl="0">
      <w:lvlJc w:val="left"/>
      <w:lvlText w:val="(%1)"/>
      <w:numFmt w:val="lowerLetter"/>
      <w:start w:val="2"/>
    </w:lvl>
    <w:lvl w:ilvl="1">
      <w:lvlJc w:val="left"/>
      <w:lvlText w:val="(%2)"/>
      <w:numFmt w:val="lowerRoman"/>
      <w:start w:val="1"/>
    </w:lvl>
  </w:abstractNum>
  <w:abstractNum w:abstractNumId="235">
    <w:nsid w:val="59F0446"/>
    <w:multiLevelType w:val="hybridMultilevel"/>
    <w:lvl w:ilvl="0">
      <w:lvlJc w:val="left"/>
      <w:lvlText w:val="(%1)"/>
      <w:numFmt w:val="lowerLetter"/>
      <w:start w:val="1"/>
    </w:lvl>
  </w:abstractNum>
  <w:abstractNum w:abstractNumId="236">
    <w:nsid w:val="30DF306"/>
    <w:multiLevelType w:val="hybridMultilevel"/>
    <w:lvl w:ilvl="0">
      <w:lvlJc w:val="left"/>
      <w:lvlText w:val="(%1)"/>
      <w:numFmt w:val="lowerLetter"/>
      <w:start w:val="2"/>
    </w:lvl>
    <w:lvl w:ilvl="1">
      <w:lvlJc w:val="left"/>
      <w:lvlText w:val="(%2)"/>
      <w:numFmt w:val="lowerRoman"/>
      <w:start w:val="1"/>
    </w:lvl>
  </w:abstractNum>
  <w:abstractNum w:abstractNumId="237">
    <w:nsid w:val="A65647"/>
    <w:multiLevelType w:val="hybridMultilevel"/>
    <w:lvl w:ilvl="0">
      <w:lvlJc w:val="left"/>
      <w:lvlText w:val="%1."/>
      <w:numFmt w:val="decimal"/>
      <w:start w:val="19"/>
    </w:lvl>
    <w:lvl w:ilvl="1">
      <w:lvlJc w:val="left"/>
      <w:lvlText w:val="(%2)"/>
      <w:numFmt w:val="upperLetter"/>
      <w:start w:val="1"/>
    </w:lvl>
  </w:abstractNum>
  <w:abstractNum w:abstractNumId="238">
    <w:nsid w:val="3E5E582B"/>
    <w:multiLevelType w:val="hybridMultilevel"/>
    <w:lvl w:ilvl="0">
      <w:lvlJc w:val="left"/>
      <w:lvlText w:val="(%1)"/>
      <w:numFmt w:val="upperLetter"/>
      <w:start w:val="5"/>
    </w:lvl>
    <w:lvl w:ilvl="1">
      <w:lvlJc w:val="left"/>
      <w:lvlText w:val="(%2)"/>
      <w:numFmt w:val="lowerLetter"/>
      <w:start w:val="1"/>
    </w:lvl>
  </w:abstractNum>
  <w:abstractNum w:abstractNumId="239">
    <w:nsid w:val="257D4626"/>
    <w:multiLevelType w:val="hybridMultilevel"/>
    <w:lvl w:ilvl="0">
      <w:lvlJc w:val="left"/>
      <w:lvlText w:val="(%1)"/>
      <w:numFmt w:val="lowerLetter"/>
      <w:start w:val="5"/>
    </w:lvl>
  </w:abstractNum>
  <w:abstractNum w:abstractNumId="240">
    <w:nsid w:val="5AA8580E"/>
    <w:multiLevelType w:val="hybridMultilevel"/>
    <w:lvl w:ilvl="0">
      <w:lvlJc w:val="left"/>
      <w:lvlText w:val="%1."/>
      <w:numFmt w:val="decimal"/>
      <w:start w:val="21"/>
    </w:lvl>
    <w:lvl w:ilvl="1">
      <w:lvlJc w:val="left"/>
      <w:lvlText w:val="(%2)"/>
      <w:numFmt w:val="lowerLetter"/>
      <w:start w:val="1"/>
    </w:lvl>
  </w:abstractNum>
  <w:abstractNum w:abstractNumId="241">
    <w:nsid w:val="68FA8D0D"/>
    <w:multiLevelType w:val="hybridMultilevel"/>
    <w:lvl w:ilvl="0">
      <w:lvlJc w:val="left"/>
      <w:lvlText w:val="(%1)"/>
      <w:numFmt w:val="lowerLetter"/>
      <w:start w:val="2"/>
    </w:lvl>
  </w:abstractNum>
  <w:abstractNum w:abstractNumId="242">
    <w:nsid w:val="40F2CBD2"/>
    <w:multiLevelType w:val="hybridMultilevel"/>
    <w:lvl w:ilvl="0">
      <w:lvlJc w:val="left"/>
      <w:lvlText w:val="(%1)"/>
      <w:numFmt w:val="lowerLetter"/>
      <w:start w:val="1"/>
    </w:lvl>
    <w:lvl w:ilvl="1">
      <w:lvlJc w:val="left"/>
      <w:lvlText w:val="(%2)"/>
      <w:numFmt w:val="upperLetter"/>
      <w:start w:val="1"/>
    </w:lvl>
  </w:abstractNum>
  <w:abstractNum w:abstractNumId="243">
    <w:nsid w:val="3BD615EB"/>
    <w:multiLevelType w:val="hybridMultilevel"/>
    <w:lvl w:ilvl="0">
      <w:lvlJc w:val="left"/>
      <w:lvlText w:val="%1"/>
      <w:numFmt w:val="decimal"/>
      <w:start w:val="1"/>
    </w:lvl>
    <w:lvl w:ilvl="1">
      <w:lvlJc w:val="left"/>
      <w:lvlText w:val="(%2)"/>
      <w:numFmt w:val="lowerLetter"/>
      <w:start w:val="1"/>
    </w:lvl>
  </w:abstractNum>
  <w:abstractNum w:abstractNumId="244">
    <w:nsid w:val="A045AB2"/>
    <w:multiLevelType w:val="hybridMultilevel"/>
    <w:lvl w:ilvl="0">
      <w:lvlJc w:val="left"/>
      <w:lvlText w:val="%1."/>
      <w:numFmt w:val="decimal"/>
      <w:start w:val="22"/>
    </w:lvl>
    <w:lvl w:ilvl="1">
      <w:lvlJc w:val="left"/>
      <w:lvlText w:val="(%2)"/>
      <w:numFmt w:val="lowerLetter"/>
      <w:start w:val="1"/>
    </w:lvl>
  </w:abstractNum>
  <w:abstractNum w:abstractNumId="245">
    <w:nsid w:val="1872261F"/>
    <w:multiLevelType w:val="hybridMultilevel"/>
    <w:lvl w:ilvl="0">
      <w:lvlJc w:val="left"/>
      <w:lvlText w:val="(%1)"/>
      <w:numFmt w:val="lowerLetter"/>
      <w:start w:val="1"/>
    </w:lvl>
  </w:abstractNum>
  <w:abstractNum w:abstractNumId="246">
    <w:nsid w:val="3DE8306C"/>
    <w:multiLevelType w:val="hybridMultilevel"/>
    <w:lvl w:ilvl="0">
      <w:lvlJc w:val="left"/>
      <w:lvlText w:val="(%1)"/>
      <w:numFmt w:val="lowerLetter"/>
      <w:start w:val="2"/>
    </w:lvl>
  </w:abstractNum>
  <w:abstractNum w:abstractNumId="247">
    <w:nsid w:val="7631573A"/>
    <w:multiLevelType w:val="hybridMultilevel"/>
    <w:lvl w:ilvl="0">
      <w:lvlJc w:val="left"/>
      <w:lvlText w:val="(%1)"/>
      <w:numFmt w:val="lowerLetter"/>
      <w:start w:val="1"/>
    </w:lvl>
    <w:lvl w:ilvl="1">
      <w:lvlJc w:val="left"/>
      <w:lvlText w:val="(%2)"/>
      <w:numFmt w:val="lowerRoman"/>
      <w:start w:val="1"/>
    </w:lvl>
  </w:abstractNum>
  <w:abstractNum w:abstractNumId="248">
    <w:nsid w:val="58DF53B"/>
    <w:multiLevelType w:val="hybridMultilevel"/>
    <w:lvl w:ilvl="0">
      <w:lvlJc w:val="left"/>
      <w:lvlText w:val="(%1)"/>
      <w:numFmt w:val="lowerLetter"/>
      <w:start w:val="2"/>
    </w:lvl>
  </w:abstractNum>
  <w:abstractNum w:abstractNumId="249">
    <w:nsid w:val="ACDFAC0"/>
    <w:multiLevelType w:val="hybridMultilevel"/>
    <w:lvl w:ilvl="0">
      <w:lvlJc w:val="left"/>
      <w:lvlText w:val="(%1)"/>
      <w:numFmt w:val="lowerLetter"/>
      <w:start w:val="1"/>
    </w:lvl>
    <w:lvl w:ilvl="1">
      <w:lvlJc w:val="left"/>
      <w:lvlText w:val="(%2)"/>
      <w:numFmt w:val="lowerRoman"/>
      <w:start w:val="1"/>
    </w:lvl>
  </w:abstractNum>
  <w:abstractNum w:abstractNumId="250">
    <w:nsid w:val="1F578454"/>
    <w:multiLevelType w:val="hybridMultilevel"/>
    <w:lvl w:ilvl="0">
      <w:lvlJc w:val="left"/>
      <w:lvlText w:val="(%1)"/>
      <w:numFmt w:val="lowerLetter"/>
      <w:start w:val="2"/>
    </w:lvl>
  </w:abstractNum>
  <w:abstractNum w:abstractNumId="251">
    <w:nsid w:val="5B0DAD2A"/>
    <w:multiLevelType w:val="hybridMultilevel"/>
    <w:lvl w:ilvl="0">
      <w:lvlJc w:val="left"/>
      <w:lvlText w:val="%1."/>
      <w:numFmt w:val="decimal"/>
      <w:start w:val="24"/>
    </w:lvl>
  </w:abstractNum>
  <w:abstractNum w:abstractNumId="252">
    <w:nsid w:val="4E3D26AB"/>
    <w:multiLevelType w:val="hybridMultilevel"/>
    <w:lvl w:ilvl="0">
      <w:lvlJc w:val="left"/>
      <w:lvlText w:val="%1."/>
      <w:numFmt w:val="decimal"/>
      <w:start w:val="25"/>
    </w:lvl>
  </w:abstractNum>
  <w:abstractNum w:abstractNumId="253">
    <w:nsid w:val="BE2C8BA"/>
    <w:multiLevelType w:val="hybridMultilevel"/>
    <w:lvl w:ilvl="0">
      <w:lvlJc w:val="left"/>
      <w:lvlText w:val="%1."/>
      <w:numFmt w:val="decimal"/>
      <w:start w:val="29"/>
    </w:lvl>
  </w:abstractNum>
  <w:abstractNum w:abstractNumId="254">
    <w:nsid w:val="7B14914E"/>
    <w:multiLevelType w:val="hybridMultilevel"/>
    <w:lvl w:ilvl="0">
      <w:lvlJc w:val="left"/>
      <w:lvlText w:val="%1."/>
      <w:numFmt w:val="decimal"/>
      <w:start w:val="1"/>
    </w:lvl>
  </w:abstractNum>
  <w:abstractNum w:abstractNumId="255">
    <w:nsid w:val="6F0939F8"/>
    <w:multiLevelType w:val="hybridMultilevel"/>
    <w:lvl w:ilvl="0">
      <w:lvlJc w:val="left"/>
      <w:lvlText w:val="(%1)"/>
      <w:numFmt w:val="lowerLetter"/>
      <w:start w:val="1"/>
    </w:lvl>
  </w:abstractNum>
  <w:abstractNum w:abstractNumId="256">
    <w:nsid w:val="154291F6"/>
    <w:multiLevelType w:val="hybridMultilevel"/>
    <w:lvl w:ilvl="0">
      <w:lvlJc w:val="left"/>
      <w:lvlText w:val="(%1)"/>
      <w:numFmt w:val="lowerLetter"/>
      <w:start w:val="1"/>
    </w:lvl>
  </w:abstractNum>
  <w:abstractNum w:abstractNumId="257">
    <w:nsid w:val="3CEBD7C7"/>
    <w:multiLevelType w:val="hybridMultilevel"/>
    <w:lvl w:ilvl="0">
      <w:lvlJc w:val="left"/>
      <w:lvlText w:val="(%1)"/>
      <w:numFmt w:val="lowerRoman"/>
      <w:start w:val="2"/>
    </w:lvl>
  </w:abstractNum>
  <w:abstractNum w:abstractNumId="258">
    <w:nsid w:val="60EE9C16"/>
    <w:multiLevelType w:val="hybridMultilevel"/>
    <w:lvl w:ilvl="0">
      <w:lvlJc w:val="left"/>
      <w:lvlText w:val="%1."/>
      <w:numFmt w:val="decimal"/>
      <w:start w:val="2"/>
    </w:lvl>
  </w:abstractNum>
  <w:abstractNum w:abstractNumId="259">
    <w:nsid w:val="6385489E"/>
    <w:multiLevelType w:val="hybridMultilevel"/>
    <w:lvl w:ilvl="0">
      <w:lvlJc w:val="left"/>
      <w:lvlText w:val="(%1)"/>
      <w:numFmt w:val="lowerLetter"/>
      <w:start w:val="1"/>
    </w:lvl>
  </w:abstractNum>
  <w:abstractNum w:abstractNumId="260">
    <w:nsid w:val="E4B973"/>
    <w:multiLevelType w:val="hybridMultilevel"/>
    <w:lvl w:ilvl="0">
      <w:lvlJc w:val="left"/>
      <w:lvlText w:val="%1"/>
      <w:numFmt w:val="decimal"/>
      <w:start w:val="1"/>
    </w:lvl>
    <w:lvl w:ilvl="1">
      <w:lvlJc w:val="left"/>
      <w:lvlText w:val="(%2)"/>
      <w:numFmt w:val="lowerLetter"/>
      <w:start w:val="1"/>
    </w:lvl>
  </w:abstractNum>
  <w:abstractNum w:abstractNumId="261">
    <w:nsid w:val="4A0FFA11"/>
    <w:multiLevelType w:val="hybridMultilevel"/>
    <w:lvl w:ilvl="0">
      <w:lvlJc w:val="left"/>
      <w:lvlText w:val="%1."/>
      <w:numFmt w:val="decimal"/>
      <w:start w:val="3"/>
    </w:lvl>
    <w:lvl w:ilvl="1">
      <w:lvlJc w:val="left"/>
      <w:lvlText w:val="%2"/>
      <w:numFmt w:val="lowerLetter"/>
      <w:start w:val="1"/>
    </w:lvl>
  </w:abstractNum>
  <w:abstractNum w:abstractNumId="262">
    <w:nsid w:val="5E446208"/>
    <w:multiLevelType w:val="hybridMultilevel"/>
    <w:lvl w:ilvl="0">
      <w:lvlJc w:val="left"/>
      <w:lvlText w:val="%1."/>
      <w:numFmt w:val="decimal"/>
      <w:start w:val="1"/>
    </w:lvl>
  </w:abstractNum>
  <w:abstractNum w:abstractNumId="263">
    <w:nsid w:val="5F3272DB"/>
    <w:multiLevelType w:val="hybridMultilevel"/>
    <w:lvl w:ilvl="0">
      <w:lvlJc w:val="left"/>
      <w:lvlText w:val="%1."/>
      <w:numFmt w:val="decimal"/>
      <w:start w:val="3"/>
    </w:lvl>
  </w:abstractNum>
  <w:abstractNum w:abstractNumId="264">
    <w:nsid w:val="7616D704"/>
    <w:multiLevelType w:val="hybridMultilevel"/>
    <w:lvl w:ilvl="0">
      <w:lvlJc w:val="left"/>
      <w:lvlText w:val="%1."/>
      <w:numFmt w:val="decimal"/>
      <w:start w:val="5"/>
    </w:lvl>
  </w:abstractNum>
  <w:abstractNum w:abstractNumId="265">
    <w:nsid w:val="C56F860"/>
    <w:multiLevelType w:val="hybridMultilevel"/>
    <w:lvl w:ilvl="0">
      <w:lvlJc w:val="left"/>
      <w:lvlText w:val="%1."/>
      <w:numFmt w:val="decimal"/>
      <w:start w:val="1"/>
    </w:lvl>
  </w:abstractNum>
  <w:abstractNum w:abstractNumId="266">
    <w:nsid w:val="64D17722"/>
    <w:multiLevelType w:val="hybridMultilevel"/>
    <w:lvl w:ilvl="0">
      <w:lvlJc w:val="left"/>
      <w:lvlText w:val="(%1)"/>
      <w:numFmt w:val="lowerLetter"/>
      <w:start w:val="1"/>
    </w:lvl>
  </w:abstractNum>
  <w:abstractNum w:abstractNumId="267">
    <w:nsid w:val="7924CA0A"/>
    <w:multiLevelType w:val="hybridMultilevel"/>
    <w:lvl w:ilvl="0">
      <w:lvlJc w:val="left"/>
      <w:lvlText w:val="%1"/>
      <w:numFmt w:val="decimal"/>
      <w:start w:val="1"/>
    </w:lvl>
    <w:lvl w:ilvl="1">
      <w:lvlJc w:val="left"/>
      <w:lvlText w:val="(%2)"/>
      <w:numFmt w:val="lowerLetter"/>
      <w:start w:val="3"/>
    </w:lvl>
  </w:abstractNum>
  <w:abstractNum w:abstractNumId="268">
    <w:nsid w:val="CFD4EA7"/>
    <w:multiLevelType w:val="hybridMultilevel"/>
    <w:lvl w:ilvl="0">
      <w:lvlJc w:val="left"/>
      <w:lvlText w:val="%1."/>
      <w:numFmt w:val="decimal"/>
      <w:start w:val="3"/>
    </w:lvl>
    <w:lvl w:ilvl="1">
      <w:lvlJc w:val="left"/>
      <w:lvlText w:val="(%2)"/>
      <w:numFmt w:val="lowerLetter"/>
      <w:start w:val="1"/>
    </w:lvl>
  </w:abstractNum>
  <w:abstractNum w:abstractNumId="269">
    <w:nsid w:val="232FCF4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70">
    <w:nsid w:val="1EA21031"/>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abstractNum>
  <w:abstractNum w:abstractNumId="271">
    <w:nsid w:val="67A5A6B5"/>
    <w:multiLevelType w:val="hybridMultilevel"/>
    <w:lvl w:ilvl="0">
      <w:lvlJc w:val="left"/>
      <w:lvlText w:val="(%1)"/>
      <w:numFmt w:val="decimal"/>
      <w:start w:val="3"/>
    </w:lvl>
    <w:lvl w:ilvl="1">
      <w:lvlJc w:val="left"/>
      <w:lvlText w:val="%2"/>
      <w:numFmt w:val="decimal"/>
      <w:start w:val="1"/>
    </w:lvl>
    <w:lvl w:ilvl="2">
      <w:lvlJc w:val="left"/>
      <w:lvlText w:val="%3"/>
      <w:numFmt w:val="decimal"/>
      <w:start w:val="1"/>
    </w:lvl>
  </w:abstractNum>
  <w:abstractNum w:abstractNumId="272">
    <w:nsid w:val="C2A5C5B"/>
    <w:multiLevelType w:val="hybridMultilevel"/>
    <w:lvl w:ilvl="0">
      <w:lvlJc w:val="left"/>
      <w:lvlText w:val="("/>
      <w:numFmt w:val="bullet"/>
      <w:start w:val="1"/>
    </w:lvl>
  </w:abstractNum>
  <w:abstractNum w:abstractNumId="273">
    <w:nsid w:val="5F94DC03"/>
    <w:multiLevelType w:val="hybridMultilevel"/>
    <w:lvl w:ilvl="0">
      <w:lvlJc w:val="left"/>
      <w:lvlText w:val="(%1)"/>
      <w:numFmt w:val="decimal"/>
      <w:start w:val="5"/>
    </w:lvl>
  </w:abstractNum>
  <w:abstractNum w:abstractNumId="274">
    <w:nsid w:val="237BBCA0"/>
    <w:multiLevelType w:val="hybridMultilevel"/>
    <w:lvl w:ilvl="0">
      <w:lvlJc w:val="left"/>
      <w:lvlText w:val="(%1)"/>
      <w:numFmt w:val="decimal"/>
      <w:start w:val="1"/>
    </w:lvl>
  </w:abstractNum>
  <w:abstractNum w:abstractNumId="275">
    <w:nsid w:val="162EB70D"/>
    <w:multiLevelType w:val="hybridMultilevel"/>
    <w:lvl w:ilvl="0">
      <w:lvlJc w:val="left"/>
      <w:lvlText w:val="(%1)"/>
      <w:numFmt w:val="decimal"/>
      <w:start w:val="5"/>
    </w:lvl>
  </w:abstractNum>
  <w:abstractNum w:abstractNumId="276">
    <w:nsid w:val="78070222"/>
    <w:multiLevelType w:val="hybridMultilevel"/>
    <w:lvl w:ilvl="0">
      <w:lvlJc w:val="left"/>
      <w:lvlText w:val="%1."/>
      <w:numFmt w:val="decimal"/>
      <w:start w:val="1"/>
    </w:lvl>
  </w:abstractNum>
  <w:abstractNum w:abstractNumId="277">
    <w:nsid w:val="6163ED0D"/>
    <w:multiLevelType w:val="hybridMultilevel"/>
    <w:lvl w:ilvl="0">
      <w:lvlJc w:val="left"/>
      <w:lvlText w:val="%1."/>
      <w:numFmt w:val="decimal"/>
      <w:start w:val="5"/>
    </w:lvl>
  </w:abstractNum>
  <w:abstractNum w:abstractNumId="278">
    <w:nsid w:val="C600E4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79">
    <w:nsid w:val="7D94F75D"/>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abstractNum>
  <w:abstractNum w:abstractNumId="280">
    <w:nsid w:val="6C31E7CD"/>
    <w:multiLevelType w:val="hybridMultilevel"/>
    <w:lvl w:ilvl="0">
      <w:lvlJc w:val="left"/>
      <w:lvlText w:val="(%1)"/>
      <w:numFmt w:val="decimal"/>
      <w:start w:val="3"/>
    </w:lvl>
    <w:lvl w:ilvl="1">
      <w:lvlJc w:val="left"/>
      <w:lvlText w:val="%2"/>
      <w:numFmt w:val="decimal"/>
      <w:start w:val="1"/>
    </w:lvl>
    <w:lvl w:ilvl="2">
      <w:lvlJc w:val="left"/>
      <w:lvlText w:val="%3"/>
      <w:numFmt w:val="decimal"/>
      <w:start w:val="1"/>
    </w:lvl>
  </w:abstractNum>
  <w:abstractNum w:abstractNumId="281">
    <w:nsid w:val="2BB7929B"/>
    <w:multiLevelType w:val="hybridMultilevel"/>
    <w:lvl w:ilvl="0">
      <w:lvlJc w:val="left"/>
      <w:lvlText w:val="("/>
      <w:numFmt w:val="bullet"/>
      <w:start w:val="1"/>
    </w:lvl>
  </w:abstractNum>
  <w:abstractNum w:abstractNumId="282">
    <w:nsid w:val="58A2A487"/>
    <w:multiLevelType w:val="hybridMultilevel"/>
    <w:lvl w:ilvl="0">
      <w:lvlJc w:val="left"/>
      <w:lvlText w:val="(%1)"/>
      <w:numFmt w:val="decimal"/>
      <w:start w:val="5"/>
    </w:lvl>
  </w:abstractNum>
  <w:abstractNum w:abstractNumId="283">
    <w:nsid w:val="3A6F0E78"/>
    <w:multiLevelType w:val="hybridMultilevel"/>
    <w:lvl w:ilvl="0">
      <w:lvlJc w:val="left"/>
      <w:lvlText w:val="(%1)"/>
      <w:numFmt w:val="decimal"/>
      <w:start w:val="1"/>
    </w:lvl>
  </w:abstractNum>
  <w:abstractNum w:abstractNumId="284">
    <w:nsid w:val="379A5B56"/>
    <w:multiLevelType w:val="hybridMultilevel"/>
    <w:lvl w:ilvl="0">
      <w:lvlJc w:val="left"/>
      <w:lvlText w:val="(%1)"/>
      <w:numFmt w:val="decimal"/>
      <w:start w:val="2"/>
    </w:lvl>
  </w:abstractNum>
  <w:abstractNum w:abstractNumId="285">
    <w:nsid w:val="53B735D5"/>
    <w:multiLevelType w:val="hybridMultilevel"/>
    <w:lvl w:ilvl="0">
      <w:lvlJc w:val="left"/>
      <w:lvlText w:val="(%1)"/>
      <w:numFmt w:val="decimal"/>
      <w:start w:val="5"/>
    </w:lvl>
  </w:abstractNum>
  <w:abstractNum w:abstractNumId="286">
    <w:nsid w:val="29784870"/>
    <w:multiLevelType w:val="hybridMultilevel"/>
    <w:lvl w:ilvl="0">
      <w:lvlJc w:val="left"/>
      <w:lvlText w:val="%1."/>
      <w:numFmt w:val="decimal"/>
      <w:start w:val="1"/>
    </w:lvl>
  </w:abstractNum>
  <w:abstractNum w:abstractNumId="287">
    <w:nsid w:val="4CDCED4C"/>
    <w:multiLevelType w:val="hybridMultilevel"/>
    <w:lvl w:ilvl="0">
      <w:lvlJc w:val="left"/>
      <w:lvlText w:val="(%1)"/>
      <w:numFmt w:val="lowerLetter"/>
      <w:start w:val="1"/>
    </w:lvl>
  </w:abstractNum>
  <w:abstractNum w:abstractNumId="288">
    <w:nsid w:val="10A30D9C"/>
    <w:multiLevelType w:val="hybridMultilevel"/>
    <w:lvl w:ilvl="0">
      <w:lvlJc w:val="left"/>
      <w:lvlText w:val="(%1)"/>
      <w:numFmt w:val="lowerLetter"/>
      <w:start w:val="1"/>
    </w:lvl>
  </w:abstractNum>
  <w:abstractNum w:abstractNumId="289">
    <w:nsid w:val="A66E486"/>
    <w:multiLevelType w:val="hybridMultilevel"/>
    <w:lvl w:ilvl="0">
      <w:lvlJc w:val="left"/>
      <w:lvlText w:val="(%1)"/>
      <w:numFmt w:val="lowerLetter"/>
      <w:start w:val="1"/>
    </w:lvl>
  </w:abstractNum>
  <w:abstractNum w:abstractNumId="290">
    <w:nsid w:val="306235EA"/>
    <w:multiLevelType w:val="hybridMultilevel"/>
    <w:lvl w:ilvl="0">
      <w:lvlJc w:val="left"/>
      <w:lvlText w:val="(%1)"/>
      <w:numFmt w:val="lowerLetter"/>
      <w:start w:val="3"/>
    </w:lvl>
  </w:abstractNum>
  <w:abstractNum w:abstractNumId="291">
    <w:nsid w:val="1187C70F"/>
    <w:multiLevelType w:val="hybridMultilevel"/>
    <w:lvl w:ilvl="0">
      <w:lvlJc w:val="left"/>
      <w:lvlText w:val="(%1)"/>
      <w:numFmt w:val="lowerLetter"/>
      <w:start w:val="1"/>
    </w:lvl>
  </w:abstractNum>
  <w:abstractNum w:abstractNumId="292">
    <w:nsid w:val="5476DE98"/>
    <w:multiLevelType w:val="hybridMultilevel"/>
    <w:lvl w:ilvl="0">
      <w:lvlJc w:val="left"/>
      <w:lvlText w:val="(%1)"/>
      <w:numFmt w:val="lowerLetter"/>
      <w:start w:val="1"/>
    </w:lvl>
  </w:abstractNum>
  <w:abstractNum w:abstractNumId="293">
    <w:nsid w:val="EA697F2"/>
    <w:multiLevelType w:val="hybridMultilevel"/>
    <w:lvl w:ilvl="0">
      <w:lvlJc w:val="left"/>
      <w:lvlText w:val="(%1)"/>
      <w:numFmt w:val="lowerLetter"/>
      <w:start w:val="1"/>
    </w:lvl>
  </w:abstractNum>
  <w:abstractNum w:abstractNumId="294">
    <w:nsid w:val="70BA39EB"/>
    <w:multiLevelType w:val="hybridMultilevel"/>
    <w:lvl w:ilvl="0">
      <w:lvlJc w:val="left"/>
      <w:lvlText w:val="(%1)"/>
      <w:numFmt w:val="lowerLetter"/>
      <w:start w:val="1"/>
    </w:lvl>
  </w:abstractNum>
  <w:abstractNum w:abstractNumId="295">
    <w:nsid w:val="4A8DB59C"/>
    <w:multiLevelType w:val="hybridMultilevel"/>
    <w:lvl w:ilvl="0">
      <w:lvlJc w:val="left"/>
      <w:lvlText w:val="(%1)"/>
      <w:numFmt w:val="lowerLetter"/>
      <w:start w:val="2"/>
    </w:lvl>
  </w:abstractNum>
  <w:abstractNum w:abstractNumId="296">
    <w:nsid w:val="1AFD9053"/>
    <w:multiLevelType w:val="hybridMultilevel"/>
    <w:lvl w:ilvl="0">
      <w:lvlJc w:val="left"/>
      <w:lvlText w:val="(%1)"/>
      <w:numFmt w:val="lowerLetter"/>
      <w:start w:val="1"/>
    </w:lvl>
  </w:abstractNum>
  <w:abstractNum w:abstractNumId="297">
    <w:nsid w:val="558BB10D"/>
    <w:multiLevelType w:val="hybridMultilevel"/>
    <w:lvl w:ilvl="0">
      <w:lvlJc w:val="left"/>
      <w:lvlText w:val="(%1)"/>
      <w:numFmt w:val="lowerLetter"/>
      <w:start w:val="1"/>
    </w:lvl>
    <w:lvl w:ilvl="1">
      <w:lvlJc w:val="left"/>
      <w:lvlText w:val="(%2)"/>
      <w:numFmt w:val="lowerRoman"/>
      <w:start w:val="1"/>
    </w:lvl>
  </w:abstractNum>
  <w:abstractNum w:abstractNumId="298">
    <w:nsid w:val="43B27FA7"/>
    <w:multiLevelType w:val="hybridMultilevel"/>
    <w:lvl w:ilvl="0">
      <w:lvlJc w:val="left"/>
      <w:lvlText w:val="%1."/>
      <w:numFmt w:val="decimal"/>
      <w:start w:val="2"/>
    </w:lvl>
  </w:abstractNum>
  <w:abstractNum w:abstractNumId="299">
    <w:nsid w:val="27FADEFA"/>
    <w:multiLevelType w:val="hybridMultilevel"/>
    <w:lvl w:ilvl="0">
      <w:lvlJc w:val="left"/>
      <w:lvlText w:val="%1."/>
      <w:numFmt w:val="decimal"/>
      <w:start w:val="3"/>
    </w:lvl>
  </w:abstractNum>
  <w:abstractNum w:abstractNumId="300">
    <w:nsid w:val="78BB805A"/>
    <w:multiLevelType w:val="hybridMultilevel"/>
    <w:lvl w:ilvl="0">
      <w:lvlJc w:val="left"/>
      <w:lvlText w:val="%1."/>
      <w:numFmt w:val="decimal"/>
      <w:start w:val="4"/>
    </w:lvl>
  </w:abstractNum>
  <w:abstractNum w:abstractNumId="301">
    <w:nsid w:val="62548FD8"/>
    <w:multiLevelType w:val="hybridMultilevel"/>
    <w:lvl w:ilvl="0">
      <w:lvlJc w:val="left"/>
      <w:lvlText w:val="(%1)"/>
      <w:numFmt w:val="lowerLetter"/>
      <w:start w:val="1"/>
    </w:lvl>
  </w:abstractNum>
  <w:abstractNum w:abstractNumId="302">
    <w:nsid w:val="FA085B0"/>
    <w:multiLevelType w:val="hybridMultilevel"/>
    <w:lvl w:ilvl="0">
      <w:lvlJc w:val="left"/>
      <w:lvlText w:val="%1."/>
      <w:numFmt w:val="decimal"/>
      <w:start w:val="5"/>
    </w:lvl>
  </w:abstractNum>
  <w:abstractNum w:abstractNumId="303">
    <w:nsid w:val="4E5DCB5"/>
    <w:multiLevelType w:val="hybridMultilevel"/>
    <w:lvl w:ilvl="0">
      <w:lvlJc w:val="left"/>
      <w:lvlText w:val="(%1)"/>
      <w:numFmt w:val="lowerLetter"/>
      <w:start w:val="1"/>
    </w:lvl>
    <w:lvl w:ilvl="1">
      <w:lvlJc w:val="left"/>
      <w:lvlText w:val="(%2)"/>
      <w:numFmt w:val="upperLetter"/>
      <w:start w:val="1"/>
    </w:lvl>
  </w:abstractNum>
  <w:abstractNum w:abstractNumId="304">
    <w:nsid w:val="41E96BDB"/>
    <w:multiLevelType w:val="hybridMultilevel"/>
    <w:lvl w:ilvl="0">
      <w:lvlJc w:val="left"/>
      <w:lvlText w:val="(%1)"/>
      <w:numFmt w:val="lowerLetter"/>
      <w:start w:val="1"/>
    </w:lvl>
  </w:abstractNum>
  <w:abstractNum w:abstractNumId="305">
    <w:nsid w:val="331C4250"/>
    <w:multiLevelType w:val="hybridMultilevel"/>
    <w:lvl w:ilvl="0">
      <w:lvlJc w:val="left"/>
      <w:lvlText w:val="(%1)"/>
      <w:numFmt w:val="lowerLetter"/>
      <w:start w:val="1"/>
    </w:lvl>
  </w:abstractNum>
  <w:abstractNum w:abstractNumId="306">
    <w:nsid w:val="1B1493C2"/>
    <w:multiLevelType w:val="hybridMultilevel"/>
    <w:lvl w:ilvl="0">
      <w:lvlJc w:val="left"/>
      <w:lvlText w:val="%1."/>
      <w:numFmt w:val="decimal"/>
      <w:start w:val="6"/>
    </w:lvl>
  </w:abstractNum>
  <w:abstractNum w:abstractNumId="307">
    <w:nsid w:val="39F06DFD"/>
    <w:multiLevelType w:val="hybridMultilevel"/>
    <w:lvl w:ilvl="0">
      <w:lvlJc w:val="left"/>
      <w:lvlText w:val="%1"/>
      <w:numFmt w:val="decimal"/>
      <w:start w:val="1"/>
    </w:lvl>
    <w:lvl w:ilvl="1">
      <w:lvlJc w:val="left"/>
      <w:lvlText w:val="(%2)"/>
      <w:numFmt w:val="lowerLetter"/>
      <w:start w:val="1"/>
    </w:lvl>
  </w:abstractNum>
  <w:abstractNum w:abstractNumId="308">
    <w:nsid w:val="14802F5D"/>
    <w:multiLevelType w:val="hybridMultilevel"/>
    <w:lvl w:ilvl="0">
      <w:lvlJc w:val="left"/>
      <w:lvlText w:val="%1."/>
      <w:numFmt w:val="decimal"/>
      <w:start w:val="7"/>
    </w:lvl>
    <w:lvl w:ilvl="1">
      <w:lvlJc w:val="left"/>
      <w:lvlText w:val="%2"/>
      <w:numFmt w:val="lowerLetter"/>
      <w:start w:val="1"/>
    </w:lvl>
  </w:abstractNum>
  <w:abstractNum w:abstractNumId="309">
    <w:nsid w:val="2774A209"/>
    <w:multiLevelType w:val="hybridMultilevel"/>
    <w:lvl w:ilvl="0">
      <w:lvlJc w:val="left"/>
      <w:lvlText w:val="%1."/>
      <w:numFmt w:val="decimal"/>
      <w:start w:val="8"/>
    </w:lvl>
  </w:abstractNum>
  <w:abstractNum w:abstractNumId="310">
    <w:nsid w:val="3785655A"/>
    <w:multiLevelType w:val="hybridMultilevel"/>
    <w:lvl w:ilvl="0">
      <w:lvlJc w:val="left"/>
      <w:lvlText w:val="(%1)"/>
      <w:numFmt w:val="lowerLetter"/>
      <w:start w:val="1"/>
    </w:lvl>
  </w:abstractNum>
  <w:abstractNum w:abstractNumId="311">
    <w:nsid w:val="B2172A"/>
    <w:multiLevelType w:val="hybridMultilevel"/>
    <w:lvl w:ilvl="0">
      <w:lvlJc w:val="left"/>
      <w:lvlText w:val="%1"/>
      <w:numFmt w:val="decimal"/>
      <w:start w:val="1"/>
    </w:lvl>
    <w:lvl w:ilvl="1">
      <w:lvlJc w:val="left"/>
      <w:lvlText w:val="(%2)"/>
      <w:numFmt w:val="lowerLetter"/>
      <w:start w:val="1"/>
    </w:lvl>
  </w:abstractNum>
  <w:abstractNum w:abstractNumId="312">
    <w:nsid w:val="532C34A5"/>
    <w:multiLevelType w:val="hybridMultilevel"/>
    <w:lvl w:ilvl="0">
      <w:lvlJc w:val="left"/>
      <w:lvlText w:val="%1."/>
      <w:numFmt w:val="decimal"/>
      <w:start w:val="9"/>
    </w:lvl>
    <w:lvl w:ilvl="1">
      <w:lvlJc w:val="left"/>
      <w:lvlText w:val="%2"/>
      <w:numFmt w:val="lowerLetter"/>
      <w:start w:val="1"/>
    </w:lvl>
  </w:abstractNum>
  <w:abstractNum w:abstractNumId="313">
    <w:nsid w:val="102809E2"/>
    <w:multiLevelType w:val="hybridMultilevel"/>
    <w:lvl w:ilvl="0">
      <w:lvlJc w:val="left"/>
      <w:lvlText w:val="(%1)"/>
      <w:numFmt w:val="lowerLetter"/>
      <w:start w:val="1"/>
    </w:lvl>
  </w:abstractNum>
  <w:abstractNum w:abstractNumId="314">
    <w:nsid w:val="3B2125A3"/>
    <w:multiLevelType w:val="hybridMultilevel"/>
    <w:lvl w:ilvl="0">
      <w:lvlJc w:val="left"/>
      <w:lvlText w:val="(%1)"/>
      <w:numFmt w:val="lowerLetter"/>
      <w:start w:val="1"/>
    </w:lvl>
  </w:abstractNum>
  <w:abstractNum w:abstractNumId="315">
    <w:nsid w:val="AC68FFB"/>
    <w:multiLevelType w:val="hybridMultilevel"/>
    <w:lvl w:ilvl="0">
      <w:lvlJc w:val="left"/>
      <w:lvlText w:val="(%1)"/>
      <w:numFmt w:val="lowerLetter"/>
      <w:start w:val="4"/>
    </w:lvl>
  </w:abstractNum>
  <w:abstractNum w:abstractNumId="316">
    <w:nsid w:val="63DF3FB7"/>
    <w:multiLevelType w:val="hybridMultilevel"/>
    <w:lvl w:ilvl="0">
      <w:lvlJc w:val="left"/>
      <w:lvlText w:val="(%1)"/>
      <w:numFmt w:val="lowerLetter"/>
      <w:start w:val="1"/>
    </w:lvl>
    <w:lvl w:ilvl="1">
      <w:lvlJc w:val="left"/>
      <w:lvlText w:val="(%2)"/>
      <w:numFmt w:val="lowerRoman"/>
      <w:start w:val="1"/>
    </w:lvl>
  </w:abstractNum>
  <w:abstractNum w:abstractNumId="317">
    <w:nsid w:val="64996E13"/>
    <w:multiLevelType w:val="hybridMultilevel"/>
    <w:lvl w:ilvl="0">
      <w:lvlJc w:val="left"/>
      <w:lvlText w:val="(%1)"/>
      <w:numFmt w:val="lowerLetter"/>
      <w:start w:val="1"/>
    </w:lvl>
  </w:abstractNum>
  <w:abstractNum w:abstractNumId="318">
    <w:nsid w:val="57A37D47"/>
    <w:multiLevelType w:val="hybridMultilevel"/>
    <w:lvl w:ilvl="0">
      <w:lvlJc w:val="left"/>
      <w:lvlText w:val="(%1)"/>
      <w:numFmt w:val="lowerLetter"/>
      <w:start w:val="1"/>
    </w:lvl>
  </w:abstractNum>
  <w:abstractNum w:abstractNumId="319">
    <w:nsid w:val="74824D54"/>
    <w:multiLevelType w:val="hybridMultilevel"/>
    <w:lvl w:ilvl="0">
      <w:lvlJc w:val="left"/>
      <w:lvlText w:val="%1"/>
      <w:numFmt w:val="decimal"/>
      <w:start w:val="1"/>
    </w:lvl>
    <w:lvl w:ilvl="1">
      <w:lvlJc w:val="left"/>
      <w:lvlText w:val="(%2)"/>
      <w:numFmt w:val="lowerLetter"/>
      <w:start w:val="1"/>
    </w:lvl>
  </w:abstractNum>
  <w:abstractNum w:abstractNumId="320">
    <w:nsid w:val="6F00529A"/>
    <w:multiLevelType w:val="hybridMultilevel"/>
    <w:lvl w:ilvl="0">
      <w:lvlJc w:val="left"/>
      <w:lvlText w:val="%1."/>
      <w:numFmt w:val="decimal"/>
      <w:start w:val="10"/>
    </w:lvl>
    <w:lvl w:ilvl="1">
      <w:lvlJc w:val="left"/>
      <w:lvlText w:val="%2"/>
      <w:numFmt w:val="lowerLetter"/>
      <w:start w:val="1"/>
    </w:lvl>
  </w:abstractNum>
  <w:abstractNum w:abstractNumId="321">
    <w:nsid w:val="805B331"/>
    <w:multiLevelType w:val="hybridMultilevel"/>
    <w:lvl w:ilvl="0">
      <w:lvlJc w:val="left"/>
      <w:lvlText w:val="(%1)"/>
      <w:numFmt w:val="lowerLetter"/>
      <w:start w:val="1"/>
    </w:lvl>
    <w:lvl w:ilvl="1">
      <w:lvlJc w:val="left"/>
      <w:lvlText w:val="(%2)"/>
      <w:numFmt w:val="lowerRoman"/>
      <w:start w:val="1"/>
    </w:lvl>
  </w:abstractNum>
  <w:abstractNum w:abstractNumId="322">
    <w:nsid w:val="60A1463"/>
    <w:multiLevelType w:val="hybridMultilevel"/>
    <w:lvl w:ilvl="0">
      <w:lvlJc w:val="left"/>
      <w:lvlText w:val="(%1)"/>
      <w:numFmt w:val="lowerLetter"/>
      <w:start w:val="1"/>
    </w:lvl>
  </w:abstractNum>
  <w:abstractNum w:abstractNumId="323">
    <w:nsid w:val="43773132"/>
    <w:multiLevelType w:val="hybridMultilevel"/>
    <w:lvl w:ilvl="0">
      <w:lvlJc w:val="left"/>
      <w:lvlText w:val="(%1)"/>
      <w:numFmt w:val="lowerLetter"/>
      <w:start w:val="1"/>
    </w:lvl>
    <w:lvl w:ilvl="1">
      <w:lvlJc w:val="left"/>
      <w:lvlText w:val="(%2)"/>
      <w:numFmt w:val="lowerRoman"/>
      <w:start w:val="1"/>
    </w:lvl>
  </w:abstractNum>
  <w:abstractNum w:abstractNumId="324">
    <w:nsid w:val="16AC4B23"/>
    <w:multiLevelType w:val="hybridMultilevel"/>
    <w:lvl w:ilvl="0">
      <w:lvlJc w:val="left"/>
      <w:lvlText w:val="%1"/>
      <w:numFmt w:val="decimal"/>
      <w:start w:val="1"/>
    </w:lvl>
    <w:lvl w:ilvl="1">
      <w:lvlJc w:val="left"/>
      <w:lvlText w:val="(%2)"/>
      <w:numFmt w:val="lowerLetter"/>
      <w:start w:val="2"/>
    </w:lvl>
  </w:abstractNum>
  <w:abstractNum w:abstractNumId="325">
    <w:nsid w:val="76C44E4E"/>
    <w:multiLevelType w:val="hybridMultilevel"/>
    <w:lvl w:ilvl="0">
      <w:lvlJc w:val="left"/>
      <w:lvlText w:val="%1."/>
      <w:numFmt w:val="decimal"/>
      <w:start w:val="11"/>
    </w:lvl>
    <w:lvl w:ilvl="1">
      <w:lvlJc w:val="left"/>
      <w:lvlText w:val="%2"/>
      <w:numFmt w:val="lowerLetter"/>
      <w:start w:val="1"/>
    </w:lvl>
  </w:abstractNum>
  <w:abstractNum w:abstractNumId="326">
    <w:nsid w:val="E04E6CE"/>
    <w:multiLevelType w:val="hybridMultilevel"/>
    <w:lvl w:ilvl="0">
      <w:lvlJc w:val="left"/>
      <w:lvlText w:val="(%1)"/>
      <w:numFmt w:val="lowerLetter"/>
      <w:start w:val="1"/>
    </w:lvl>
  </w:abstractNum>
  <w:abstractNum w:abstractNumId="327">
    <w:nsid w:val="31A9DB76"/>
    <w:multiLevelType w:val="hybridMultilevel"/>
    <w:lvl w:ilvl="0">
      <w:lvlJc w:val="left"/>
      <w:lvlText w:val="(%1)"/>
      <w:numFmt w:val="lowerLetter"/>
      <w:start w:val="1"/>
    </w:lvl>
  </w:abstractNum>
  <w:abstractNum w:abstractNumId="328">
    <w:nsid w:val="4C4FFF5B"/>
    <w:multiLevelType w:val="hybridMultilevel"/>
    <w:lvl w:ilvl="0">
      <w:lvlJc w:val="left"/>
      <w:lvlText w:val="%1"/>
      <w:numFmt w:val="decimal"/>
      <w:start w:val="1"/>
    </w:lvl>
    <w:lvl w:ilvl="1">
      <w:lvlJc w:val="left"/>
      <w:lvlText w:val="(%2)"/>
      <w:numFmt w:val="lowerLetter"/>
      <w:start w:val="1"/>
    </w:lvl>
  </w:abstractNum>
  <w:abstractNum w:abstractNumId="329">
    <w:nsid w:val="51B76675"/>
    <w:multiLevelType w:val="hybridMultilevel"/>
    <w:lvl w:ilvl="0">
      <w:lvlJc w:val="left"/>
      <w:lvlText w:val="%1."/>
      <w:numFmt w:val="decimal"/>
      <w:start w:val="12"/>
    </w:lvl>
    <w:lvl w:ilvl="1">
      <w:lvlJc w:val="left"/>
      <w:lvlText w:val="%2"/>
      <w:numFmt w:val="lowerLetter"/>
      <w:start w:val="1"/>
    </w:lvl>
  </w:abstractNum>
  <w:abstractNum w:abstractNumId="330">
    <w:nsid w:val="59A4BA71"/>
    <w:multiLevelType w:val="hybridMultilevel"/>
    <w:lvl w:ilvl="0">
      <w:lvlJc w:val="left"/>
      <w:lvlText w:val="(%1)"/>
      <w:numFmt w:val="lowerLetter"/>
      <w:start w:val="1"/>
    </w:lvl>
    <w:lvl w:ilvl="1">
      <w:lvlJc w:val="left"/>
      <w:lvlText w:val="(%2)"/>
      <w:numFmt w:val="lowerRoman"/>
      <w:start w:val="1"/>
    </w:lvl>
  </w:abstractNum>
  <w:abstractNum w:abstractNumId="331">
    <w:nsid w:val="450B7FB6"/>
    <w:multiLevelType w:val="hybridMultilevel"/>
    <w:lvl w:ilvl="0">
      <w:lvlJc w:val="left"/>
      <w:lvlText w:val="(%1)"/>
      <w:numFmt w:val="lowerLetter"/>
      <w:start w:val="2"/>
    </w:lvl>
  </w:abstractNum>
  <w:abstractNum w:abstractNumId="332">
    <w:nsid w:val="340BF64D"/>
    <w:multiLevelType w:val="hybridMultilevel"/>
    <w:lvl w:ilvl="0">
      <w:lvlJc w:val="left"/>
      <w:lvlText w:val="(%1)"/>
      <w:numFmt w:val="lowerLetter"/>
      <w:start w:val="1"/>
    </w:lvl>
  </w:abstractNum>
  <w:abstractNum w:abstractNumId="333">
    <w:nsid w:val="69454021"/>
    <w:multiLevelType w:val="hybridMultilevel"/>
    <w:lvl w:ilvl="0">
      <w:lvlJc w:val="left"/>
      <w:lvlText w:val="(%1)"/>
      <w:numFmt w:val="lowerLetter"/>
      <w:start w:val="6"/>
    </w:lvl>
  </w:abstractNum>
  <w:abstractNum w:abstractNumId="334">
    <w:nsid w:val="49F15C6B"/>
    <w:multiLevelType w:val="hybridMultilevel"/>
    <w:lvl w:ilvl="0">
      <w:lvlJc w:val="left"/>
      <w:lvlText w:val="%1."/>
      <w:numFmt w:val="decimal"/>
      <w:start w:val="13"/>
    </w:lvl>
  </w:abstractNum>
  <w:abstractNum w:abstractNumId="335">
    <w:nsid w:val="75F56228"/>
    <w:multiLevelType w:val="hybridMultilevel"/>
    <w:lvl w:ilvl="0">
      <w:lvlJc w:val="left"/>
      <w:lvlText w:val="%1."/>
      <w:numFmt w:val="decimal"/>
      <w:start w:val="14"/>
    </w:lvl>
  </w:abstractNum>
  <w:abstractNum w:abstractNumId="336">
    <w:nsid w:val="1C618271"/>
    <w:multiLevelType w:val="hybridMultilevel"/>
    <w:lvl w:ilvl="0">
      <w:lvlJc w:val="left"/>
      <w:lvlText w:val="(%1)"/>
      <w:numFmt w:val="lowerLetter"/>
      <w:start w:val="1"/>
    </w:lvl>
  </w:abstractNum>
  <w:abstractNum w:abstractNumId="337">
    <w:nsid w:val="6505F02E"/>
    <w:multiLevelType w:val="hybridMultilevel"/>
    <w:lvl w:ilvl="0">
      <w:lvlJc w:val="left"/>
      <w:lvlText w:val="(%1)"/>
      <w:numFmt w:val="lowerLetter"/>
      <w:start w:val="1"/>
    </w:lvl>
  </w:abstractNum>
  <w:abstractNum w:abstractNumId="338">
    <w:nsid w:val="2FE5D025"/>
    <w:multiLevelType w:val="hybridMultilevel"/>
    <w:lvl w:ilvl="0">
      <w:lvlJc w:val="left"/>
      <w:lvlText w:val="(%1)"/>
      <w:numFmt w:val="lowerLetter"/>
      <w:start w:val="1"/>
    </w:lvl>
  </w:abstractNum>
  <w:abstractNum w:abstractNumId="339">
    <w:nsid w:val="30E1B1CF"/>
    <w:multiLevelType w:val="hybridMultilevel"/>
    <w:lvl w:ilvl="0">
      <w:lvlJc w:val="left"/>
      <w:lvlText w:val="(%1)"/>
      <w:numFmt w:val="lowerLetter"/>
      <w:start w:val="1"/>
    </w:lvl>
  </w:abstractNum>
  <w:abstractNum w:abstractNumId="340">
    <w:nsid w:val="C7A9237"/>
    <w:multiLevelType w:val="hybridMultilevel"/>
    <w:lvl w:ilvl="0">
      <w:lvlJc w:val="left"/>
      <w:lvlText w:val="(%1)"/>
      <w:numFmt w:val="lowerLetter"/>
      <w:start w:val="1"/>
    </w:lvl>
  </w:abstractNum>
  <w:abstractNum w:abstractNumId="341">
    <w:nsid w:val="676B3580"/>
    <w:multiLevelType w:val="hybridMultilevel"/>
    <w:lvl w:ilvl="0">
      <w:lvlJc w:val="left"/>
      <w:lvlText w:val="(%1)"/>
      <w:numFmt w:val="lowerLetter"/>
      <w:start w:val="1"/>
    </w:lvl>
  </w:abstractNum>
  <w:abstractNum w:abstractNumId="342">
    <w:nsid w:val="3193C8F9"/>
    <w:multiLevelType w:val="hybridMultilevel"/>
    <w:lvl w:ilvl="0">
      <w:lvlJc w:val="left"/>
      <w:lvlText w:val="%1."/>
      <w:numFmt w:val="decimal"/>
      <w:start w:val="15"/>
    </w:lvl>
  </w:abstractNum>
  <w:abstractNum w:abstractNumId="343">
    <w:nsid w:val="5FA6C6DC"/>
    <w:multiLevelType w:val="hybridMultilevel"/>
    <w:lvl w:ilvl="0">
      <w:lvlJc w:val="left"/>
      <w:lvlText w:val="(%1)"/>
      <w:numFmt w:val="lowerLetter"/>
      <w:start w:val="1"/>
    </w:lvl>
  </w:abstractNum>
  <w:abstractNum w:abstractNumId="344">
    <w:nsid w:val="77933F62"/>
    <w:multiLevelType w:val="hybridMultilevel"/>
    <w:lvl w:ilvl="0">
      <w:lvlJc w:val="left"/>
      <w:lvlText w:val="%1"/>
      <w:numFmt w:val="decimal"/>
      <w:start w:val="1"/>
    </w:lvl>
    <w:lvl w:ilvl="1">
      <w:lvlJc w:val="left"/>
      <w:lvlText w:val="(%2)"/>
      <w:numFmt w:val="lowerLetter"/>
      <w:start w:val="1"/>
    </w:lvl>
  </w:abstractNum>
  <w:abstractNum w:abstractNumId="345">
    <w:nsid w:val="6CB4EE9C"/>
    <w:multiLevelType w:val="hybridMultilevel"/>
    <w:lvl w:ilvl="0">
      <w:lvlJc w:val="left"/>
      <w:lvlText w:val="%1."/>
      <w:numFmt w:val="decimal"/>
      <w:start w:val="16"/>
    </w:lvl>
    <w:lvl w:ilvl="1">
      <w:lvlJc w:val="left"/>
      <w:lvlText w:val="%2"/>
      <w:numFmt w:val="lowerLetter"/>
      <w:start w:val="1"/>
    </w:lvl>
  </w:abstractNum>
  <w:abstractNum w:abstractNumId="346">
    <w:nsid w:val="6A6D56D7"/>
    <w:multiLevelType w:val="hybridMultilevel"/>
    <w:lvl w:ilvl="0">
      <w:lvlJc w:val="left"/>
      <w:lvlText w:val="(%1)"/>
      <w:numFmt w:val="lowerLetter"/>
      <w:start w:val="1"/>
    </w:lvl>
  </w:abstractNum>
  <w:abstractNum w:abstractNumId="347">
    <w:nsid w:val="5B727F19"/>
    <w:multiLevelType w:val="hybridMultilevel"/>
    <w:lvl w:ilvl="0">
      <w:lvlJc w:val="left"/>
      <w:lvlText w:val="(%1)"/>
      <w:numFmt w:val="lowerLetter"/>
      <w:start w:val="1"/>
    </w:lvl>
  </w:abstractNum>
  <w:abstractNum w:abstractNumId="348">
    <w:nsid w:val="514E5CB0"/>
    <w:multiLevelType w:val="hybridMultilevel"/>
    <w:lvl w:ilvl="0">
      <w:lvlJc w:val="left"/>
      <w:lvlText w:val="(%1)"/>
      <w:numFmt w:val="lowerLetter"/>
      <w:start w:val="1"/>
    </w:lvl>
  </w:abstractNum>
  <w:abstractNum w:abstractNumId="349">
    <w:nsid w:val="4210D41E"/>
    <w:multiLevelType w:val="hybridMultilevel"/>
    <w:lvl w:ilvl="0">
      <w:lvlJc w:val="left"/>
      <w:lvlText w:val="(%1)"/>
      <w:numFmt w:val="lowerLetter"/>
      <w:start w:val="2"/>
    </w:lvl>
    <w:lvl w:ilvl="1">
      <w:lvlJc w:val="left"/>
      <w:lvlText w:val="(%2)"/>
      <w:numFmt w:val="lowerRoman"/>
      <w:start w:val="1"/>
    </w:lvl>
  </w:abstractNum>
  <w:abstractNum w:abstractNumId="350">
    <w:nsid w:val="4FF4CC6D"/>
    <w:multiLevelType w:val="hybridMultilevel"/>
    <w:lvl w:ilvl="0">
      <w:lvlJc w:val="left"/>
      <w:lvlText w:val="%1."/>
      <w:numFmt w:val="decimal"/>
      <w:start w:val="17"/>
    </w:lvl>
  </w:abstractNum>
  <w:abstractNum w:abstractNumId="351">
    <w:nsid w:val="404EAF4A"/>
    <w:multiLevelType w:val="hybridMultilevel"/>
    <w:lvl w:ilvl="0">
      <w:lvlJc w:val="left"/>
      <w:lvlText w:val="(%1)"/>
      <w:numFmt w:val="lowerLetter"/>
      <w:start w:val="1"/>
    </w:lvl>
  </w:abstractNum>
  <w:abstractNum w:abstractNumId="352">
    <w:nsid w:val="4A16874F"/>
    <w:multiLevelType w:val="hybridMultilevel"/>
    <w:lvl w:ilvl="0">
      <w:lvlJc w:val="left"/>
      <w:lvlText w:val="(%1)"/>
      <w:numFmt w:val="lowerLetter"/>
      <w:start w:val="1"/>
    </w:lvl>
  </w:abstractNum>
  <w:abstractNum w:abstractNumId="353">
    <w:nsid w:val="55FEE0D1"/>
    <w:multiLevelType w:val="hybridMultilevel"/>
    <w:lvl w:ilvl="0">
      <w:lvlJc w:val="left"/>
      <w:lvlText w:val="(%1)"/>
      <w:numFmt w:val="lowerLetter"/>
      <w:start w:val="1"/>
    </w:lvl>
    <w:lvl w:ilvl="1">
      <w:lvlJc w:val="left"/>
      <w:lvlText w:val="(%2)"/>
      <w:numFmt w:val="decimal"/>
      <w:start w:val="10"/>
    </w:lvl>
  </w:abstractNum>
  <w:abstractNum w:abstractNumId="354">
    <w:nsid w:val="3C5E07C"/>
    <w:multiLevelType w:val="hybridMultilevel"/>
    <w:lvl w:ilvl="0">
      <w:lvlJc w:val="left"/>
      <w:lvlText w:val="(%1)"/>
      <w:numFmt w:val="lowerLetter"/>
      <w:start w:val="1"/>
    </w:lvl>
  </w:abstractNum>
  <w:abstractNum w:abstractNumId="355">
    <w:nsid w:val="60C2D273"/>
    <w:multiLevelType w:val="hybridMultilevel"/>
    <w:lvl w:ilvl="0">
      <w:lvlJc w:val="left"/>
      <w:lvlText w:val="(%1)"/>
      <w:numFmt w:val="lowerLetter"/>
      <w:start w:val="1"/>
    </w:lvl>
  </w:abstractNum>
  <w:abstractNum w:abstractNumId="356">
    <w:nsid w:val="4CC32F1F"/>
    <w:multiLevelType w:val="hybridMultilevel"/>
    <w:lvl w:ilvl="0">
      <w:lvlJc w:val="left"/>
      <w:lvlText w:val="(%1)"/>
      <w:numFmt w:val="lowerLetter"/>
      <w:start w:val="1"/>
    </w:lvl>
  </w:abstractNum>
  <w:abstractNum w:abstractNumId="357">
    <w:nsid w:val="11CAC74A"/>
    <w:multiLevelType w:val="hybridMultilevel"/>
    <w:lvl w:ilvl="0">
      <w:lvlJc w:val="left"/>
      <w:lvlText w:val="(%1)"/>
      <w:numFmt w:val="lowerLetter"/>
      <w:start w:val="1"/>
    </w:lvl>
  </w:abstractNum>
  <w:abstractNum w:abstractNumId="358">
    <w:nsid w:val="126CADE9"/>
    <w:multiLevelType w:val="hybridMultilevel"/>
    <w:lvl w:ilvl="0">
      <w:lvlJc w:val="left"/>
      <w:lvlText w:val="%1"/>
      <w:numFmt w:val="decimal"/>
      <w:start w:val="1"/>
    </w:lvl>
    <w:lvl w:ilvl="1">
      <w:lvlJc w:val="left"/>
      <w:lvlText w:val="(%2)"/>
      <w:numFmt w:val="lowerLetter"/>
      <w:start w:val="1"/>
    </w:lvl>
  </w:abstractNum>
  <w:abstractNum w:abstractNumId="359">
    <w:nsid w:val="19132E7B"/>
    <w:multiLevelType w:val="hybridMultilevel"/>
    <w:lvl w:ilvl="0">
      <w:lvlJc w:val="left"/>
      <w:lvlText w:val="%1."/>
      <w:numFmt w:val="decimal"/>
      <w:start w:val="18"/>
    </w:lvl>
    <w:lvl w:ilvl="1">
      <w:lvlJc w:val="left"/>
      <w:lvlText w:val="%2"/>
      <w:numFmt w:val="lowerLetter"/>
      <w:start w:val="1"/>
    </w:lvl>
  </w:abstractNum>
  <w:abstractNum w:abstractNumId="360">
    <w:nsid w:val="63822DC0"/>
    <w:multiLevelType w:val="hybridMultilevel"/>
    <w:lvl w:ilvl="0">
      <w:lvlJc w:val="left"/>
      <w:lvlText w:val="(%1)"/>
      <w:numFmt w:val="lowerLetter"/>
      <w:start w:val="1"/>
    </w:lvl>
    <w:lvl w:ilvl="1">
      <w:lvlJc w:val="left"/>
      <w:lvlText w:val="(%2)"/>
      <w:numFmt w:val="lowerRoman"/>
      <w:start w:val="1"/>
    </w:lvl>
  </w:abstractNum>
  <w:abstractNum w:abstractNumId="361">
    <w:nsid w:val="6C11685A"/>
    <w:multiLevelType w:val="hybridMultilevel"/>
    <w:lvl w:ilvl="0">
      <w:lvlJc w:val="left"/>
      <w:lvlText w:val="(%1)"/>
      <w:numFmt w:val="lowerLetter"/>
      <w:start w:val="2"/>
    </w:lvl>
  </w:abstractNum>
  <w:abstractNum w:abstractNumId="362">
    <w:nsid w:val="5E1EAE31"/>
    <w:multiLevelType w:val="hybridMultilevel"/>
    <w:lvl w:ilvl="0">
      <w:lvlJc w:val="left"/>
      <w:lvlText w:val="(%1)"/>
      <w:numFmt w:val="lowerLetter"/>
      <w:start w:val="3"/>
    </w:lvl>
  </w:abstractNum>
  <w:abstractNum w:abstractNumId="363">
    <w:nsid w:val="178E240D"/>
    <w:multiLevelType w:val="hybridMultilevel"/>
    <w:lvl w:ilvl="0">
      <w:lvlJc w:val="left"/>
      <w:lvlText w:val="(%1)"/>
      <w:numFmt w:val="lowerLetter"/>
      <w:start w:val="1"/>
    </w:lvl>
    <w:lvl w:ilvl="1">
      <w:lvlJc w:val="left"/>
      <w:lvlText w:val="(%2)"/>
      <w:numFmt w:val="lowerRoman"/>
      <w:start w:val="1"/>
    </w:lvl>
  </w:abstractNum>
  <w:abstractNum w:abstractNumId="364">
    <w:nsid w:val="5556A87B"/>
    <w:multiLevelType w:val="hybridMultilevel"/>
    <w:lvl w:ilvl="0">
      <w:lvlJc w:val="left"/>
      <w:lvlText w:val="(%1)"/>
      <w:numFmt w:val="lowerLetter"/>
      <w:start w:val="2"/>
    </w:lvl>
    <w:lvl w:ilvl="1">
      <w:lvlJc w:val="left"/>
      <w:lvlText w:val="(%2)"/>
      <w:numFmt w:val="lowerRoman"/>
      <w:start w:val="1"/>
    </w:lvl>
  </w:abstractNum>
  <w:abstractNum w:abstractNumId="365">
    <w:nsid w:val="28100A9C"/>
    <w:multiLevelType w:val="hybridMultilevel"/>
    <w:lvl w:ilvl="0">
      <w:lvlJc w:val="left"/>
      <w:lvlText w:val="(%1)"/>
      <w:numFmt w:val="lowerLetter"/>
      <w:start w:val="1"/>
    </w:lvl>
  </w:abstractNum>
  <w:abstractNum w:abstractNumId="366">
    <w:nsid w:val="D838636"/>
    <w:multiLevelType w:val="hybridMultilevel"/>
    <w:lvl w:ilvl="0">
      <w:lvlJc w:val="left"/>
      <w:lvlText w:val="(%1)"/>
      <w:numFmt w:val="lowerLetter"/>
      <w:start w:val="2"/>
    </w:lvl>
    <w:lvl w:ilvl="1">
      <w:lvlJc w:val="left"/>
      <w:lvlText w:val="(%2)"/>
      <w:numFmt w:val="lowerLetter"/>
      <w:start w:val="9"/>
    </w:lvl>
  </w:abstractNum>
  <w:abstractNum w:abstractNumId="367">
    <w:nsid w:val="71B82AED"/>
    <w:multiLevelType w:val="hybridMultilevel"/>
    <w:lvl w:ilvl="0">
      <w:lvlJc w:val="left"/>
      <w:lvlText w:val="(%1)"/>
      <w:numFmt w:val="lowerRoman"/>
      <w:start w:val="2"/>
    </w:lvl>
  </w:abstractNum>
  <w:abstractNum w:abstractNumId="368">
    <w:nsid w:val="D15FACA"/>
    <w:multiLevelType w:val="hybridMultilevel"/>
    <w:lvl w:ilvl="0">
      <w:lvlJc w:val="left"/>
      <w:lvlText w:val="%1."/>
      <w:numFmt w:val="decimal"/>
      <w:start w:val="19"/>
    </w:lvl>
    <w:lvl w:ilvl="1">
      <w:lvlJc w:val="left"/>
      <w:lvlText w:val="(%2)"/>
      <w:numFmt w:val="upperLetter"/>
      <w:start w:val="1"/>
    </w:lvl>
  </w:abstractNum>
  <w:abstractNum w:abstractNumId="369">
    <w:nsid w:val="3D69565B"/>
    <w:multiLevelType w:val="hybridMultilevel"/>
    <w:lvl w:ilvl="0">
      <w:lvlJc w:val="left"/>
      <w:lvlText w:val="(%1)"/>
      <w:numFmt w:val="upperLetter"/>
      <w:start w:val="5"/>
    </w:lvl>
    <w:lvl w:ilvl="1">
      <w:lvlJc w:val="left"/>
      <w:lvlText w:val="(%2)"/>
      <w:numFmt w:val="lowerLetter"/>
      <w:start w:val="1"/>
    </w:lvl>
  </w:abstractNum>
  <w:abstractNum w:abstractNumId="370">
    <w:nsid w:val="2299DCBC"/>
    <w:multiLevelType w:val="hybridMultilevel"/>
    <w:lvl w:ilvl="0">
      <w:lvlJc w:val="left"/>
      <w:lvlText w:val="%1."/>
      <w:numFmt w:val="decimal"/>
      <w:start w:val="21"/>
    </w:lvl>
    <w:lvl w:ilvl="1">
      <w:lvlJc w:val="left"/>
      <w:lvlText w:val="(%2)"/>
      <w:numFmt w:val="lowerLetter"/>
      <w:start w:val="1"/>
    </w:lvl>
  </w:abstractNum>
  <w:abstractNum w:abstractNumId="371">
    <w:nsid w:val="19908D02"/>
    <w:multiLevelType w:val="hybridMultilevel"/>
    <w:lvl w:ilvl="0">
      <w:lvlJc w:val="left"/>
      <w:lvlText w:val="(%1)"/>
      <w:numFmt w:val="lowerLetter"/>
      <w:start w:val="2"/>
    </w:lvl>
  </w:abstractNum>
  <w:abstractNum w:abstractNumId="372">
    <w:nsid w:val="24D48BDB"/>
    <w:multiLevelType w:val="hybridMultilevel"/>
    <w:lvl w:ilvl="0">
      <w:lvlJc w:val="left"/>
      <w:lvlText w:val="(%1)"/>
      <w:numFmt w:val="lowerLetter"/>
      <w:start w:val="1"/>
    </w:lvl>
    <w:lvl w:ilvl="1">
      <w:lvlJc w:val="left"/>
      <w:lvlText w:val="(%2)"/>
      <w:numFmt w:val="upperLetter"/>
      <w:start w:val="1"/>
    </w:lvl>
  </w:abstractNum>
  <w:abstractNum w:abstractNumId="373">
    <w:nsid w:val="542DA5B5"/>
    <w:multiLevelType w:val="hybridMultilevel"/>
    <w:lvl w:ilvl="0">
      <w:lvlJc w:val="left"/>
      <w:lvlText w:val="%1"/>
      <w:numFmt w:val="decimal"/>
      <w:start w:val="1"/>
    </w:lvl>
    <w:lvl w:ilvl="1">
      <w:lvlJc w:val="left"/>
      <w:lvlText w:val="(%2)"/>
      <w:numFmt w:val="lowerLetter"/>
      <w:start w:val="1"/>
    </w:lvl>
  </w:abstractNum>
  <w:abstractNum w:abstractNumId="374">
    <w:nsid w:val="793753DE"/>
    <w:multiLevelType w:val="hybridMultilevel"/>
    <w:lvl w:ilvl="0">
      <w:lvlJc w:val="left"/>
      <w:lvlText w:val="%1."/>
      <w:numFmt w:val="decimal"/>
      <w:start w:val="22"/>
    </w:lvl>
    <w:lvl w:ilvl="1">
      <w:lvlJc w:val="left"/>
      <w:lvlText w:val="(%2)"/>
      <w:numFmt w:val="lowerLetter"/>
      <w:start w:val="1"/>
    </w:lvl>
  </w:abstractNum>
  <w:abstractNum w:abstractNumId="375">
    <w:nsid w:val="1C67CB3D"/>
    <w:multiLevelType w:val="hybridMultilevel"/>
    <w:lvl w:ilvl="0">
      <w:lvlJc w:val="left"/>
      <w:lvlText w:val="(%1)"/>
      <w:numFmt w:val="lowerLetter"/>
      <w:start w:val="1"/>
    </w:lvl>
  </w:abstractNum>
  <w:abstractNum w:abstractNumId="376">
    <w:nsid w:val="40E29452"/>
    <w:multiLevelType w:val="hybridMultilevel"/>
    <w:lvl w:ilvl="0">
      <w:lvlJc w:val="left"/>
      <w:lvlText w:val="(%1)"/>
      <w:numFmt w:val="lowerLetter"/>
      <w:start w:val="2"/>
    </w:lvl>
  </w:abstractNum>
  <w:abstractNum w:abstractNumId="377">
    <w:nsid w:val="63A4AAB6"/>
    <w:multiLevelType w:val="hybridMultilevel"/>
    <w:lvl w:ilvl="0">
      <w:lvlJc w:val="left"/>
      <w:lvlText w:val="(%1)"/>
      <w:numFmt w:val="lowerLetter"/>
      <w:start w:val="1"/>
    </w:lvl>
    <w:lvl w:ilvl="1">
      <w:lvlJc w:val="left"/>
      <w:lvlText w:val="(%2)"/>
      <w:numFmt w:val="lowerRoman"/>
      <w:start w:val="1"/>
    </w:lvl>
  </w:abstractNum>
  <w:abstractNum w:abstractNumId="378">
    <w:nsid w:val="77DA4A57"/>
    <w:multiLevelType w:val="hybridMultilevel"/>
    <w:lvl w:ilvl="0">
      <w:lvlJc w:val="left"/>
      <w:lvlText w:val="(%1)"/>
      <w:numFmt w:val="lowerLetter"/>
      <w:start w:val="2"/>
    </w:lvl>
  </w:abstractNum>
  <w:abstractNum w:abstractNumId="379">
    <w:nsid w:val="1230F102"/>
    <w:multiLevelType w:val="hybridMultilevel"/>
    <w:lvl w:ilvl="0">
      <w:lvlJc w:val="left"/>
      <w:lvlText w:val="(%1)"/>
      <w:numFmt w:val="lowerLetter"/>
      <w:start w:val="1"/>
    </w:lvl>
    <w:lvl w:ilvl="1">
      <w:lvlJc w:val="left"/>
      <w:lvlText w:val="(%2)"/>
      <w:numFmt w:val="lowerRoman"/>
      <w:start w:val="1"/>
    </w:lvl>
  </w:abstractNum>
  <w:abstractNum w:abstractNumId="380">
    <w:nsid w:val="25B57ED4"/>
    <w:multiLevelType w:val="hybridMultilevel"/>
    <w:lvl w:ilvl="0">
      <w:lvlJc w:val="left"/>
      <w:lvlText w:val="%1"/>
      <w:numFmt w:val="decimal"/>
      <w:start w:val="1"/>
    </w:lvl>
    <w:lvl w:ilvl="1">
      <w:lvlJc w:val="left"/>
      <w:lvlText w:val="(%2)"/>
      <w:numFmt w:val="lowerLetter"/>
      <w:start w:val="2"/>
    </w:lvl>
  </w:abstractNum>
  <w:abstractNum w:abstractNumId="381">
    <w:nsid w:val="47CF16C4"/>
    <w:multiLevelType w:val="hybridMultilevel"/>
    <w:lvl w:ilvl="0">
      <w:lvlJc w:val="left"/>
      <w:lvlText w:val="%1."/>
      <w:numFmt w:val="decimal"/>
      <w:start w:val="24"/>
    </w:lvl>
    <w:lvl w:ilvl="1">
      <w:lvlJc w:val="left"/>
      <w:lvlText w:val="%2"/>
      <w:numFmt w:val="lowerLetter"/>
      <w:start w:val="1"/>
    </w:lvl>
  </w:abstractNum>
  <w:abstractNum w:abstractNumId="382">
    <w:nsid w:val="527FA04C"/>
    <w:multiLevelType w:val="hybridMultilevel"/>
    <w:lvl w:ilvl="0">
      <w:lvlJc w:val="left"/>
      <w:lvlText w:val="%1."/>
      <w:numFmt w:val="decimal"/>
      <w:start w:val="25"/>
    </w:lvl>
  </w:abstractNum>
  <w:abstractNum w:abstractNumId="383">
    <w:nsid w:val="6FCC0624"/>
    <w:multiLevelType w:val="hybridMultilevel"/>
    <w:lvl w:ilvl="0">
      <w:lvlJc w:val="left"/>
      <w:lvlText w:val="%1."/>
      <w:numFmt w:val="decimal"/>
      <w:start w:val="26"/>
    </w:lvl>
  </w:abstractNum>
  <w:abstractNum w:abstractNumId="384">
    <w:nsid w:val="1DCDF795"/>
    <w:multiLevelType w:val="hybridMultilevel"/>
    <w:lvl w:ilvl="0">
      <w:lvlJc w:val="left"/>
      <w:lvlText w:val="%1."/>
      <w:numFmt w:val="decimal"/>
      <w:start w:val="29"/>
    </w:lvl>
  </w:abstractNum>
  <w:abstractNum w:abstractNumId="385">
    <w:nsid w:val="564580C8"/>
    <w:multiLevelType w:val="hybridMultilevel"/>
    <w:lvl w:ilvl="0">
      <w:lvlJc w:val="left"/>
      <w:lvlText w:val="%1."/>
      <w:numFmt w:val="decimal"/>
      <w:start w:val="1"/>
    </w:lvl>
  </w:abstractNum>
  <w:abstractNum w:abstractNumId="386">
    <w:nsid w:val="508ED897"/>
    <w:multiLevelType w:val="hybridMultilevel"/>
    <w:lvl w:ilvl="0">
      <w:lvlJc w:val="left"/>
      <w:lvlText w:val="(%1)"/>
      <w:numFmt w:val="lowerLetter"/>
      <w:start w:val="1"/>
    </w:lvl>
  </w:abstractNum>
  <w:abstractNum w:abstractNumId="387">
    <w:nsid w:val="6A9126B5"/>
    <w:multiLevelType w:val="hybridMultilevel"/>
    <w:lvl w:ilvl="0">
      <w:lvlJc w:val="left"/>
      <w:lvlText w:val="(%1)"/>
      <w:numFmt w:val="lowerLetter"/>
      <w:start w:val="1"/>
    </w:lvl>
  </w:abstractNum>
  <w:abstractNum w:abstractNumId="388">
    <w:nsid w:val="68104812"/>
    <w:multiLevelType w:val="hybridMultilevel"/>
    <w:lvl w:ilvl="0">
      <w:lvlJc w:val="left"/>
      <w:lvlText w:val="%1"/>
      <w:numFmt w:val="decimal"/>
      <w:start w:val="1"/>
    </w:lvl>
    <w:lvl w:ilvl="1">
      <w:lvlJc w:val="left"/>
      <w:lvlText w:val="(%2)"/>
      <w:numFmt w:val="lowerRoman"/>
      <w:start w:val="2"/>
    </w:lvl>
  </w:abstractNum>
  <w:abstractNum w:abstractNumId="389">
    <w:nsid w:val="62FB8680"/>
    <w:multiLevelType w:val="hybridMultilevel"/>
    <w:lvl w:ilvl="0">
      <w:lvlJc w:val="left"/>
      <w:lvlText w:val="%1."/>
      <w:numFmt w:val="decimal"/>
      <w:start w:val="2"/>
    </w:lvl>
    <w:lvl w:ilvl="1">
      <w:lvlJc w:val="left"/>
      <w:lvlText w:val="%2"/>
      <w:numFmt w:val="lowerRoman"/>
      <w:start w:val="1"/>
    </w:lvl>
  </w:abstractNum>
  <w:abstractNum w:abstractNumId="390">
    <w:nsid w:val="3A45530"/>
    <w:multiLevelType w:val="hybridMultilevel"/>
    <w:lvl w:ilvl="0">
      <w:lvlJc w:val="left"/>
      <w:lvlText w:val="(%1)"/>
      <w:numFmt w:val="lowerLetter"/>
      <w:start w:val="1"/>
    </w:lvl>
  </w:abstractNum>
  <w:abstractNum w:abstractNumId="391">
    <w:nsid w:val="4B9275D2"/>
    <w:multiLevelType w:val="hybridMultilevel"/>
    <w:lvl w:ilvl="0">
      <w:lvlJc w:val="left"/>
      <w:lvlText w:val="%1"/>
      <w:numFmt w:val="decimal"/>
      <w:start w:val="1"/>
    </w:lvl>
    <w:lvl w:ilvl="1">
      <w:lvlJc w:val="left"/>
      <w:lvlText w:val="(%2)"/>
      <w:numFmt w:val="lowerLetter"/>
      <w:start w:val="1"/>
    </w:lvl>
  </w:abstractNum>
  <w:abstractNum w:abstractNumId="392">
    <w:nsid w:val="4F0CEEDB"/>
    <w:multiLevelType w:val="hybridMultilevel"/>
    <w:lvl w:ilvl="0">
      <w:lvlJc w:val="left"/>
      <w:lvlText w:val="%1."/>
      <w:numFmt w:val="decimal"/>
      <w:start w:val="3"/>
    </w:lvl>
    <w:lvl w:ilvl="1">
      <w:lvlJc w:val="left"/>
      <w:lvlText w:val="%2"/>
      <w:numFmt w:val="lowerLetter"/>
      <w:start w:val="1"/>
    </w:lvl>
  </w:abstractNum>
  <w:abstractNum w:abstractNumId="393">
    <w:nsid w:val="61C30361"/>
    <w:multiLevelType w:val="hybridMultilevel"/>
    <w:lvl w:ilvl="0">
      <w:lvlJc w:val="left"/>
      <w:lvlText w:val="%1."/>
      <w:numFmt w:val="decimal"/>
      <w:start w:val="1"/>
    </w:lvl>
  </w:abstractNum>
  <w:abstractNum w:abstractNumId="394">
    <w:nsid w:val="632099E0"/>
    <w:multiLevelType w:val="hybridMultilevel"/>
    <w:lvl w:ilvl="0">
      <w:lvlJc w:val="left"/>
      <w:lvlText w:val="%1."/>
      <w:numFmt w:val="decimal"/>
      <w:start w:val="3"/>
    </w:lvl>
  </w:abstractNum>
  <w:abstractNum w:abstractNumId="395">
    <w:nsid w:val="24639756"/>
    <w:multiLevelType w:val="hybridMultilevel"/>
    <w:lvl w:ilvl="0">
      <w:lvlJc w:val="left"/>
      <w:lvlText w:val="%1."/>
      <w:numFmt w:val="decimal"/>
      <w:start w:val="1"/>
    </w:lvl>
  </w:abstractNum>
  <w:abstractNum w:abstractNumId="396">
    <w:nsid w:val="9D30DFD"/>
    <w:multiLevelType w:val="hybridMultilevel"/>
    <w:lvl w:ilvl="0">
      <w:lvlJc w:val="left"/>
      <w:lvlText w:val="(%1)"/>
      <w:numFmt w:val="lowerLetter"/>
      <w:start w:val="1"/>
    </w:lvl>
  </w:abstractNum>
  <w:abstractNum w:abstractNumId="397">
    <w:nsid w:val="70A42016"/>
    <w:multiLevelType w:val="hybridMultilevel"/>
    <w:lvl w:ilvl="0">
      <w:lvlJc w:val="left"/>
      <w:lvlText w:val="%1"/>
      <w:numFmt w:val="decimal"/>
      <w:start w:val="1"/>
    </w:lvl>
    <w:lvl w:ilvl="1">
      <w:lvlJc w:val="left"/>
      <w:lvlText w:val="(%2)"/>
      <w:numFmt w:val="lowerLetter"/>
      <w:start w:val="3"/>
    </w:lvl>
  </w:abstractNum>
  <w:abstractNum w:abstractNumId="398">
    <w:nsid w:val="161BC243"/>
    <w:multiLevelType w:val="hybridMultilevel"/>
    <w:lvl w:ilvl="0">
      <w:lvlJc w:val="left"/>
      <w:lvlText w:val="%1."/>
      <w:numFmt w:val="decimal"/>
      <w:start w:val="3"/>
    </w:lvl>
    <w:lvl w:ilvl="1">
      <w:lvlJc w:val="left"/>
      <w:lvlText w:val="(%2)"/>
      <w:numFmt w:val="lowerLetter"/>
      <w:start w:val="1"/>
    </w:lvl>
  </w:abstractNum>
  <w:abstractNum w:abstractNumId="399">
    <w:nsid w:val="16E908C8"/>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400">
    <w:nsid w:val="2E0D7671"/>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abstractNum>
  <w:abstractNum w:abstractNumId="401">
    <w:nsid w:val="38B59EFF"/>
    <w:multiLevelType w:val="hybridMultilevel"/>
    <w:lvl w:ilvl="0">
      <w:lvlJc w:val="left"/>
      <w:lvlText w:val="(%1)"/>
      <w:numFmt w:val="decimal"/>
      <w:start w:val="3"/>
    </w:lvl>
    <w:lvl w:ilvl="1">
      <w:lvlJc w:val="left"/>
      <w:lvlText w:val="%2"/>
      <w:numFmt w:val="decimal"/>
      <w:start w:val="1"/>
    </w:lvl>
    <w:lvl w:ilvl="2">
      <w:lvlJc w:val="left"/>
      <w:lvlText w:val="%3"/>
      <w:numFmt w:val="decimal"/>
      <w:start w:val="1"/>
    </w:lvl>
  </w:abstractNum>
  <w:abstractNum w:abstractNumId="402">
    <w:nsid w:val="307995CA"/>
    <w:multiLevelType w:val="hybridMultilevel"/>
    <w:lvl w:ilvl="0">
      <w:lvlJc w:val="left"/>
      <w:lvlText w:val="("/>
      <w:numFmt w:val="bullet"/>
      <w:start w:val="1"/>
    </w:lvl>
  </w:abstractNum>
  <w:abstractNum w:abstractNumId="403">
    <w:nsid w:val="52E2024D"/>
    <w:multiLevelType w:val="hybridMultilevel"/>
    <w:lvl w:ilvl="0">
      <w:lvlJc w:val="left"/>
      <w:lvlText w:val="(%1)"/>
      <w:numFmt w:val="decimal"/>
      <w:start w:val="5"/>
    </w:lvl>
  </w:abstractNum>
  <w:abstractNum w:abstractNumId="404">
    <w:nsid w:val="CE344B5"/>
    <w:multiLevelType w:val="hybridMultilevel"/>
    <w:lvl w:ilvl="0">
      <w:lvlJc w:val="left"/>
      <w:lvlText w:val="(%1)"/>
      <w:numFmt w:val="decimal"/>
      <w:start w:val="1"/>
    </w:lvl>
  </w:abstractNum>
  <w:abstractNum w:abstractNumId="405">
    <w:nsid w:val="29B0E9A8"/>
    <w:multiLevelType w:val="hybridMultilevel"/>
    <w:lvl w:ilvl="0">
      <w:lvlJc w:val="left"/>
      <w:lvlText w:val="(%1)"/>
      <w:numFmt w:val="decimal"/>
      <w:start w:val="5"/>
    </w:lvl>
  </w:abstractNum>
  <w:abstractNum w:abstractNumId="406">
    <w:nsid w:val="6F49CD8A"/>
    <w:multiLevelType w:val="hybridMultilevel"/>
    <w:lvl w:ilvl="0">
      <w:lvlJc w:val="left"/>
      <w:lvlText w:val="%1."/>
      <w:numFmt w:val="decimal"/>
      <w:start w:val="1"/>
    </w:lvl>
  </w:abstractNum>
  <w:abstractNum w:abstractNumId="407">
    <w:nsid w:val="4DC5D907"/>
    <w:multiLevelType w:val="hybridMultilevel"/>
    <w:lvl w:ilvl="0">
      <w:lvlJc w:val="left"/>
      <w:lvlText w:val="%1."/>
      <w:numFmt w:val="decimal"/>
      <w:start w:val="4"/>
    </w:lvl>
  </w:abstractNum>
  <w:abstractNum w:abstractNumId="408">
    <w:nsid w:val="D55945E"/>
    <w:multiLevelType w:val="hybridMultilevel"/>
    <w:lvl w:ilvl="0">
      <w:lvlJc w:val="left"/>
      <w:lvlText w:val="%1."/>
      <w:numFmt w:val="decimal"/>
      <w:start w:val="5"/>
    </w:lvl>
  </w:abstractNum>
  <w:abstractNum w:abstractNumId="409">
    <w:nsid w:val="672417E1"/>
    <w:multiLevelType w:val="hybridMultilevel"/>
    <w:lvl w:ilvl="0">
      <w:lvlJc w:val="left"/>
      <w:lvlText w:val="(%1)"/>
      <w:numFmt w:val="decimal"/>
      <w:start w:val="1"/>
    </w:lvl>
  </w:abstractNum>
  <w:abstractNum w:abstractNumId="410">
    <w:nsid w:val="5FF6CA09"/>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abstractNum>
  <w:abstractNum w:abstractNumId="411">
    <w:nsid w:val="330B1333"/>
    <w:multiLevelType w:val="hybridMultilevel"/>
    <w:lvl w:ilvl="0">
      <w:lvlJc w:val="left"/>
      <w:lvlText w:val="%1"/>
      <w:numFmt w:val="decimal"/>
      <w:start w:val="1"/>
    </w:lvl>
    <w:lvl w:ilvl="1">
      <w:lvlJc w:val="left"/>
      <w:lvlText w:val="(%2)"/>
      <w:numFmt w:val="decimal"/>
      <w:start w:val="3"/>
    </w:lvl>
    <w:lvl w:ilvl="2">
      <w:lvlJc w:val="left"/>
      <w:lvlText w:val="%3"/>
      <w:numFmt w:val="decimal"/>
      <w:start w:val="1"/>
    </w:lvl>
  </w:abstractNum>
  <w:abstractNum w:abstractNumId="412">
    <w:nsid w:val="2EF32EA6"/>
    <w:multiLevelType w:val="hybridMultilevel"/>
    <w:lvl w:ilvl="0">
      <w:lvlJc w:val="left"/>
      <w:lvlText w:val="(%1)"/>
      <w:numFmt w:val="decimal"/>
      <w:start w:val="4"/>
    </w:lvl>
    <w:lvl w:ilvl="1">
      <w:lvlJc w:val="left"/>
      <w:lvlText w:val="%2"/>
      <w:numFmt w:val="decimal"/>
      <w:start w:val="1"/>
    </w:lvl>
    <w:lvl w:ilvl="2">
      <w:lvlJc w:val="left"/>
      <w:lvlText w:val="%3"/>
      <w:numFmt w:val="decimal"/>
      <w:start w:val="1"/>
    </w:lvl>
  </w:abstractNum>
  <w:abstractNum w:abstractNumId="413">
    <w:nsid w:val="32766A55"/>
    <w:multiLevelType w:val="hybridMultilevel"/>
    <w:lvl w:ilvl="0">
      <w:lvlJc w:val="left"/>
      <w:lvlText w:val="("/>
      <w:numFmt w:val="bullet"/>
      <w:start w:val="1"/>
    </w:lvl>
  </w:abstractNum>
  <w:abstractNum w:abstractNumId="414">
    <w:nsid w:val="22D71957"/>
    <w:multiLevelType w:val="hybridMultilevel"/>
    <w:lvl w:ilvl="0">
      <w:lvlJc w:val="left"/>
      <w:lvlText w:val="(%1)"/>
      <w:numFmt w:val="decimal"/>
      <w:start w:val="5"/>
    </w:lvl>
  </w:abstractNum>
  <w:abstractNum w:abstractNumId="415">
    <w:nsid w:val="4CC1263B"/>
    <w:multiLevelType w:val="hybridMultilevel"/>
    <w:lvl w:ilvl="0">
      <w:lvlJc w:val="left"/>
      <w:lvlText w:val="(%1)"/>
      <w:numFmt w:val="decimal"/>
      <w:start w:val="1"/>
    </w:lvl>
  </w:abstractNum>
  <w:abstractNum w:abstractNumId="416">
    <w:nsid w:val="8BBEB1D"/>
    <w:multiLevelType w:val="hybridMultilevel"/>
    <w:lvl w:ilvl="0">
      <w:lvlJc w:val="left"/>
      <w:lvlText w:val="(%1)"/>
      <w:numFmt w:val="decimal"/>
      <w:start w:val="5"/>
    </w:lvl>
  </w:abstractNum>
  <w:abstractNum w:abstractNumId="417">
    <w:nsid w:val="7365F1EE"/>
    <w:multiLevelType w:val="hybridMultilevel"/>
    <w:lvl w:ilvl="0">
      <w:lvlJc w:val="left"/>
      <w:lvlText w:val="%1."/>
      <w:numFmt w:val="decimal"/>
      <w:start w:val="1"/>
    </w:lvl>
  </w:abstractNum>
  <w:abstractNum w:abstractNumId="418">
    <w:nsid w:val="37524CF0"/>
    <w:multiLevelType w:val="hybridMultilevel"/>
    <w:lvl w:ilvl="0">
      <w:lvlJc w:val="left"/>
      <w:lvlText w:val="(%1)"/>
      <w:numFmt w:val="lowerLetter"/>
      <w:start w:val="1"/>
    </w:lvl>
  </w:abstractNum>
  <w:abstractNum w:abstractNumId="419">
    <w:nsid w:val="70CC332F"/>
    <w:multiLevelType w:val="hybridMultilevel"/>
    <w:lvl w:ilvl="0">
      <w:lvlJc w:val="left"/>
      <w:lvlText w:val="(%1)"/>
      <w:numFmt w:val="lowerLetter"/>
      <w:start w:val="1"/>
    </w:lvl>
  </w:abstractNum>
  <w:abstractNum w:abstractNumId="420">
    <w:nsid w:val="5661786E"/>
    <w:multiLevelType w:val="hybridMultilevel"/>
    <w:lvl w:ilvl="0">
      <w:lvlJc w:val="left"/>
      <w:lvlText w:val="(%1)"/>
      <w:numFmt w:val="lowerLetter"/>
      <w:start w:val="5"/>
    </w:lvl>
  </w:abstractNum>
  <w:abstractNum w:abstractNumId="421">
    <w:nsid w:val="3AF6A220"/>
    <w:multiLevelType w:val="hybridMultilevel"/>
    <w:lvl w:ilvl="0">
      <w:lvlJc w:val="left"/>
      <w:lvlText w:val="(%1)"/>
      <w:numFmt w:val="lowerLetter"/>
      <w:start w:val="1"/>
    </w:lvl>
  </w:abstractNum>
  <w:abstractNum w:abstractNumId="422">
    <w:nsid w:val="3C5EA902"/>
    <w:multiLevelType w:val="hybridMultilevel"/>
    <w:lvl w:ilvl="0">
      <w:lvlJc w:val="left"/>
      <w:lvlText w:val="(%1)"/>
      <w:numFmt w:val="lowerLetter"/>
      <w:start w:val="3"/>
    </w:lvl>
  </w:abstractNum>
  <w:abstractNum w:abstractNumId="423">
    <w:nsid w:val="256E6749"/>
    <w:multiLevelType w:val="hybridMultilevel"/>
    <w:lvl w:ilvl="0">
      <w:lvlJc w:val="left"/>
      <w:lvlText w:val="(%1)"/>
      <w:numFmt w:val="lowerLetter"/>
      <w:start w:val="1"/>
    </w:lvl>
  </w:abstractNum>
  <w:abstractNum w:abstractNumId="424">
    <w:nsid w:val="1CB9A581"/>
    <w:multiLevelType w:val="hybridMultilevel"/>
    <w:lvl w:ilvl="0">
      <w:lvlJc w:val="left"/>
      <w:lvlText w:val="(%1)"/>
      <w:numFmt w:val="lowerLetter"/>
      <w:start w:val="1"/>
    </w:lvl>
  </w:abstractNum>
  <w:abstractNum w:abstractNumId="425">
    <w:nsid w:val="1F7F42E2"/>
    <w:multiLevelType w:val="hybridMultilevel"/>
    <w:lvl w:ilvl="0">
      <w:lvlJc w:val="left"/>
      <w:lvlText w:val="(%1)"/>
      <w:numFmt w:val="lowerLetter"/>
      <w:start w:val="1"/>
    </w:lvl>
  </w:abstractNum>
  <w:abstractNum w:abstractNumId="426">
    <w:nsid w:val="49D1FEA0"/>
    <w:multiLevelType w:val="hybridMultilevel"/>
    <w:lvl w:ilvl="0">
      <w:lvlJc w:val="left"/>
      <w:lvlText w:val="(%1)"/>
      <w:numFmt w:val="lowerLetter"/>
      <w:start w:val="1"/>
    </w:lvl>
  </w:abstractNum>
  <w:abstractNum w:abstractNumId="427">
    <w:nsid w:val="268CB37F"/>
    <w:multiLevelType w:val="hybridMultilevel"/>
    <w:lvl w:ilvl="0">
      <w:lvlJc w:val="left"/>
      <w:lvlText w:val="(%1)"/>
      <w:numFmt w:val="lowerLetter"/>
      <w:start w:val="2"/>
    </w:lvl>
  </w:abstractNum>
  <w:abstractNum w:abstractNumId="428">
    <w:nsid w:val="102362F8"/>
    <w:multiLevelType w:val="hybridMultilevel"/>
    <w:lvl w:ilvl="0">
      <w:lvlJc w:val="left"/>
      <w:lvlText w:val="(%1)"/>
      <w:numFmt w:val="lowerLetter"/>
      <w:start w:val="1"/>
    </w:lvl>
  </w:abstractNum>
  <w:abstractNum w:abstractNumId="429">
    <w:nsid w:val="5FEDC0E3"/>
    <w:multiLevelType w:val="hybridMultilevel"/>
    <w:lvl w:ilvl="0">
      <w:lvlJc w:val="left"/>
      <w:lvlText w:val="(%1)"/>
      <w:numFmt w:val="lowerLetter"/>
      <w:start w:val="1"/>
    </w:lvl>
    <w:lvl w:ilvl="1">
      <w:lvlJc w:val="left"/>
      <w:lvlText w:val="(%2)"/>
      <w:numFmt w:val="lowerRoman"/>
      <w:start w:val="1"/>
    </w:lvl>
  </w:abstractNum>
  <w:abstractNum w:abstractNumId="430">
    <w:nsid w:val="3D75BC47"/>
    <w:multiLevelType w:val="hybridMultilevel"/>
    <w:lvl w:ilvl="0">
      <w:lvlJc w:val="left"/>
      <w:lvlText w:val="%1."/>
      <w:numFmt w:val="decimal"/>
      <w:start w:val="2"/>
    </w:lvl>
  </w:abstractNum>
  <w:abstractNum w:abstractNumId="431">
    <w:nsid w:val="3E30D969"/>
    <w:multiLevelType w:val="hybridMultilevel"/>
    <w:lvl w:ilvl="0">
      <w:lvlJc w:val="left"/>
      <w:lvlText w:val="%1."/>
      <w:numFmt w:val="decimal"/>
      <w:start w:val="3"/>
    </w:lvl>
  </w:abstractNum>
  <w:abstractNum w:abstractNumId="432">
    <w:nsid w:val="18A35FE3"/>
    <w:multiLevelType w:val="hybridMultilevel"/>
    <w:lvl w:ilvl="0">
      <w:lvlJc w:val="left"/>
      <w:lvlText w:val="%1."/>
      <w:numFmt w:val="decimal"/>
      <w:start w:val="4"/>
    </w:lvl>
  </w:abstractNum>
  <w:abstractNum w:abstractNumId="433">
    <w:nsid w:val="6DEF5211"/>
    <w:multiLevelType w:val="hybridMultilevel"/>
    <w:lvl w:ilvl="0">
      <w:lvlJc w:val="left"/>
      <w:lvlText w:val="(%1)"/>
      <w:numFmt w:val="lowerLetter"/>
      <w:start w:val="1"/>
    </w:lvl>
  </w:abstractNum>
  <w:abstractNum w:abstractNumId="434">
    <w:nsid w:val="1112DBB6"/>
    <w:multiLevelType w:val="hybridMultilevel"/>
    <w:lvl w:ilvl="0">
      <w:lvlJc w:val="left"/>
      <w:lvlText w:val="%1."/>
      <w:numFmt w:val="decimal"/>
      <w:start w:val="5"/>
    </w:lvl>
  </w:abstractNum>
  <w:abstractNum w:abstractNumId="435">
    <w:nsid w:val="2586A498"/>
    <w:multiLevelType w:val="hybridMultilevel"/>
    <w:lvl w:ilvl="0">
      <w:lvlJc w:val="left"/>
      <w:lvlText w:val="(%1)"/>
      <w:numFmt w:val="lowerLetter"/>
      <w:start w:val="1"/>
    </w:lvl>
    <w:lvl w:ilvl="1">
      <w:lvlJc w:val="left"/>
      <w:lvlText w:val="(%2)"/>
      <w:numFmt w:val="upperLetter"/>
      <w:start w:val="1"/>
    </w:lvl>
  </w:abstractNum>
  <w:abstractNum w:abstractNumId="436">
    <w:nsid w:val="17A03BB9"/>
    <w:multiLevelType w:val="hybridMultilevel"/>
    <w:lvl w:ilvl="0">
      <w:lvlJc w:val="left"/>
      <w:lvlText w:val="(%1)"/>
      <w:numFmt w:val="lowerLetter"/>
      <w:start w:val="1"/>
    </w:lvl>
  </w:abstractNum>
  <w:abstractNum w:abstractNumId="437">
    <w:nsid w:val="5CA941"/>
    <w:multiLevelType w:val="hybridMultilevel"/>
    <w:lvl w:ilvl="0">
      <w:lvlJc w:val="left"/>
      <w:lvlText w:val="(%1)"/>
      <w:numFmt w:val="lowerLetter"/>
      <w:start w:val="1"/>
    </w:lvl>
  </w:abstractNum>
  <w:abstractNum w:abstractNumId="438">
    <w:nsid w:val="734C7D9F"/>
    <w:multiLevelType w:val="hybridMultilevel"/>
    <w:lvl w:ilvl="0">
      <w:lvlJc w:val="left"/>
      <w:lvlText w:val="%1."/>
      <w:numFmt w:val="decimal"/>
      <w:start w:val="6"/>
    </w:lvl>
  </w:abstractNum>
  <w:abstractNum w:abstractNumId="439">
    <w:nsid w:val="24F5D018"/>
    <w:multiLevelType w:val="hybridMultilevel"/>
    <w:lvl w:ilvl="0">
      <w:lvlJc w:val="left"/>
      <w:lvlText w:val="%1"/>
      <w:numFmt w:val="decimal"/>
      <w:start w:val="1"/>
    </w:lvl>
    <w:lvl w:ilvl="1">
      <w:lvlJc w:val="left"/>
      <w:lvlText w:val="(%2)"/>
      <w:numFmt w:val="lowerLetter"/>
      <w:start w:val="1"/>
    </w:lvl>
  </w:abstractNum>
  <w:abstractNum w:abstractNumId="440">
    <w:nsid w:val="6780C122"/>
    <w:multiLevelType w:val="hybridMultilevel"/>
    <w:lvl w:ilvl="0">
      <w:lvlJc w:val="left"/>
      <w:lvlText w:val="%1."/>
      <w:numFmt w:val="decimal"/>
      <w:start w:val="7"/>
    </w:lvl>
    <w:lvl w:ilvl="1">
      <w:lvlJc w:val="left"/>
      <w:lvlText w:val="%2"/>
      <w:numFmt w:val="lowerLetter"/>
      <w:start w:val="1"/>
    </w:lvl>
  </w:abstractNum>
  <w:abstractNum w:abstractNumId="441">
    <w:nsid w:val="534347A8"/>
    <w:multiLevelType w:val="hybridMultilevel"/>
    <w:lvl w:ilvl="0">
      <w:lvlJc w:val="left"/>
      <w:lvlText w:val="%1."/>
      <w:numFmt w:val="decimal"/>
      <w:start w:val="8"/>
    </w:lvl>
  </w:abstractNum>
  <w:abstractNum w:abstractNumId="442">
    <w:nsid w:val="5800E34B"/>
    <w:multiLevelType w:val="hybridMultilevel"/>
    <w:lvl w:ilvl="0">
      <w:lvlJc w:val="left"/>
      <w:lvlText w:val="(%1)"/>
      <w:numFmt w:val="lowerLetter"/>
      <w:start w:val="1"/>
    </w:lvl>
  </w:abstractNum>
  <w:abstractNum w:abstractNumId="443">
    <w:nsid w:val="1673EFC8"/>
    <w:multiLevelType w:val="hybridMultilevel"/>
    <w:lvl w:ilvl="0">
      <w:lvlJc w:val="left"/>
      <w:lvlText w:val="%1"/>
      <w:numFmt w:val="decimal"/>
      <w:start w:val="1"/>
    </w:lvl>
    <w:lvl w:ilvl="1">
      <w:lvlJc w:val="left"/>
      <w:lvlText w:val="(%2)"/>
      <w:numFmt w:val="lowerLetter"/>
      <w:start w:val="1"/>
    </w:lvl>
  </w:abstractNum>
  <w:abstractNum w:abstractNumId="444">
    <w:nsid w:val="5B9B1FD"/>
    <w:multiLevelType w:val="hybridMultilevel"/>
    <w:lvl w:ilvl="0">
      <w:lvlJc w:val="left"/>
      <w:lvlText w:val="%1."/>
      <w:numFmt w:val="decimal"/>
      <w:start w:val="9"/>
    </w:lvl>
    <w:lvl w:ilvl="1">
      <w:lvlJc w:val="left"/>
      <w:lvlText w:val="%2"/>
      <w:numFmt w:val="lowerLetter"/>
      <w:start w:val="1"/>
    </w:lvl>
  </w:abstractNum>
  <w:abstractNum w:abstractNumId="445">
    <w:nsid w:val="7AD7FCA2"/>
    <w:multiLevelType w:val="hybridMultilevel"/>
    <w:lvl w:ilvl="0">
      <w:lvlJc w:val="left"/>
      <w:lvlText w:val="(%1)"/>
      <w:numFmt w:val="lowerLetter"/>
      <w:start w:val="1"/>
    </w:lvl>
  </w:abstractNum>
  <w:abstractNum w:abstractNumId="446">
    <w:nsid w:val="63351604"/>
    <w:multiLevelType w:val="hybridMultilevel"/>
    <w:lvl w:ilvl="0">
      <w:lvlJc w:val="left"/>
      <w:lvlText w:val="(%1)"/>
      <w:numFmt w:val="lowerLetter"/>
      <w:start w:val="1"/>
    </w:lvl>
  </w:abstractNum>
  <w:abstractNum w:abstractNumId="447">
    <w:nsid w:val="E759D1A"/>
    <w:multiLevelType w:val="hybridMultilevel"/>
    <w:lvl w:ilvl="0">
      <w:lvlJc w:val="left"/>
      <w:lvlText w:val="(%1)"/>
      <w:numFmt w:val="lowerLetter"/>
      <w:start w:val="4"/>
    </w:lvl>
  </w:abstractNum>
  <w:abstractNum w:abstractNumId="448">
    <w:nsid w:val="6E3DEE90"/>
    <w:multiLevelType w:val="hybridMultilevel"/>
    <w:lvl w:ilvl="0">
      <w:lvlJc w:val="left"/>
      <w:lvlText w:val="(%1)"/>
      <w:numFmt w:val="lowerLetter"/>
      <w:start w:val="1"/>
    </w:lvl>
    <w:lvl w:ilvl="1">
      <w:lvlJc w:val="left"/>
      <w:lvlText w:val="(%2)"/>
      <w:numFmt w:val="lowerRoman"/>
      <w:start w:val="1"/>
    </w:lvl>
  </w:abstractNum>
  <w:abstractNum w:abstractNumId="449">
    <w:nsid w:val="1A8762F4"/>
    <w:multiLevelType w:val="hybridMultilevel"/>
    <w:lvl w:ilvl="0">
      <w:lvlJc w:val="left"/>
      <w:lvlText w:val="(%1)"/>
      <w:numFmt w:val="lowerLetter"/>
      <w:start w:val="1"/>
    </w:lvl>
  </w:abstractNum>
  <w:abstractNum w:abstractNumId="450">
    <w:nsid w:val="7F41D049"/>
    <w:multiLevelType w:val="hybridMultilevel"/>
    <w:lvl w:ilvl="0">
      <w:lvlJc w:val="left"/>
      <w:lvlText w:val="(%1)"/>
      <w:numFmt w:val="lowerLetter"/>
      <w:start w:val="1"/>
    </w:lvl>
  </w:abstractNum>
  <w:abstractNum w:abstractNumId="451">
    <w:nsid w:val="449F66FE"/>
    <w:multiLevelType w:val="hybridMultilevel"/>
    <w:lvl w:ilvl="0">
      <w:lvlJc w:val="left"/>
      <w:lvlText w:val="%1"/>
      <w:numFmt w:val="decimal"/>
      <w:start w:val="1"/>
    </w:lvl>
    <w:lvl w:ilvl="1">
      <w:lvlJc w:val="left"/>
      <w:lvlText w:val="(%2)"/>
      <w:numFmt w:val="lowerLetter"/>
      <w:start w:val="1"/>
    </w:lvl>
  </w:abstractNum>
  <w:abstractNum w:abstractNumId="452">
    <w:nsid w:val="557E0515"/>
    <w:multiLevelType w:val="hybridMultilevel"/>
    <w:lvl w:ilvl="0">
      <w:lvlJc w:val="left"/>
      <w:lvlText w:val="%1."/>
      <w:numFmt w:val="decimal"/>
      <w:start w:val="10"/>
    </w:lvl>
    <w:lvl w:ilvl="1">
      <w:lvlJc w:val="left"/>
      <w:lvlText w:val="%2"/>
      <w:numFmt w:val="lowerLetter"/>
      <w:start w:val="1"/>
    </w:lvl>
  </w:abstractNum>
  <w:abstractNum w:abstractNumId="453">
    <w:nsid w:val="3BA0794B"/>
    <w:multiLevelType w:val="hybridMultilevel"/>
    <w:lvl w:ilvl="0">
      <w:lvlJc w:val="left"/>
      <w:lvlText w:val="(%1)"/>
      <w:numFmt w:val="lowerLetter"/>
      <w:start w:val="1"/>
    </w:lvl>
    <w:lvl w:ilvl="1">
      <w:lvlJc w:val="left"/>
      <w:lvlText w:val="(%2)"/>
      <w:numFmt w:val="lowerRoman"/>
      <w:start w:val="1"/>
    </w:lvl>
  </w:abstractNum>
  <w:abstractNum w:abstractNumId="454">
    <w:nsid w:val="6A0DCE48"/>
    <w:multiLevelType w:val="hybridMultilevel"/>
    <w:lvl w:ilvl="0">
      <w:lvlJc w:val="left"/>
      <w:lvlText w:val="(%1)"/>
      <w:numFmt w:val="lowerLetter"/>
      <w:start w:val="1"/>
    </w:lvl>
  </w:abstractNum>
  <w:abstractNum w:abstractNumId="455">
    <w:nsid w:val="7237AA9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56">
    <w:nsid w:val="5B1FBC2D"/>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457">
    <w:nsid w:val="33DFCCE8"/>
    <w:multiLevelType w:val="hybridMultilevel"/>
    <w:lvl w:ilvl="0">
      <w:lvlJc w:val="left"/>
      <w:lvlText w:val="(%1)"/>
      <w:numFmt w:val="lowerLetter"/>
      <w:start w:val="1"/>
    </w:lvl>
  </w:abstractNum>
  <w:abstractNum w:abstractNumId="458">
    <w:nsid w:val="18C45E15"/>
    <w:multiLevelType w:val="hybridMultilevel"/>
    <w:lvl w:ilvl="0">
      <w:lvlJc w:val="left"/>
      <w:lvlText w:val="(%1)"/>
      <w:numFmt w:val="lowerLetter"/>
      <w:start w:val="1"/>
    </w:lvl>
  </w:abstractNum>
  <w:abstractNum w:abstractNumId="459">
    <w:nsid w:val="6B431F25"/>
    <w:multiLevelType w:val="hybridMultilevel"/>
    <w:lvl w:ilvl="0">
      <w:lvlJc w:val="left"/>
      <w:lvlText w:val="(%1)"/>
      <w:numFmt w:val="lowerLetter"/>
      <w:start w:val="1"/>
    </w:lvl>
  </w:abstractNum>
  <w:abstractNum w:abstractNumId="460">
    <w:nsid w:val="13CD8DCB"/>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461">
    <w:nsid w:val="563A1A5C"/>
    <w:multiLevelType w:val="hybridMultilevel"/>
    <w:lvl w:ilvl="0">
      <w:lvlJc w:val="left"/>
      <w:lvlText w:val="(%1)"/>
      <w:numFmt w:val="lowerLetter"/>
      <w:start w:val="2"/>
    </w:lvl>
  </w:abstractNum>
  <w:abstractNum w:abstractNumId="462">
    <w:nsid w:val="2973F88F"/>
    <w:multiLevelType w:val="hybridMultilevel"/>
    <w:lvl w:ilvl="0">
      <w:lvlJc w:val="left"/>
      <w:lvlText w:val="(%1)"/>
      <w:numFmt w:val="lowerLetter"/>
      <w:start w:val="1"/>
    </w:lvl>
  </w:abstractNum>
  <w:abstractNum w:abstractNumId="463">
    <w:nsid w:val="2C70EDAE"/>
    <w:multiLevelType w:val="hybridMultilevel"/>
    <w:lvl w:ilvl="0">
      <w:lvlJc w:val="left"/>
      <w:lvlText w:val="%1"/>
      <w:numFmt w:val="decimal"/>
      <w:start w:val="1"/>
    </w:lvl>
    <w:lvl w:ilvl="1">
      <w:lvlJc w:val="left"/>
      <w:lvlText w:val="(%2)"/>
      <w:numFmt w:val="lowerLetter"/>
      <w:start w:val="8"/>
    </w:lvl>
  </w:abstractNum>
  <w:abstractNum w:abstractNumId="464">
    <w:nsid w:val="44296C6D"/>
    <w:multiLevelType w:val="hybridMultilevel"/>
    <w:lvl w:ilvl="0">
      <w:lvlJc w:val="left"/>
      <w:lvlText w:val="%1."/>
      <w:numFmt w:val="decimal"/>
      <w:start w:val="13"/>
    </w:lvl>
    <w:lvl w:ilvl="1">
      <w:lvlJc w:val="left"/>
      <w:lvlText w:val="%2"/>
      <w:numFmt w:val="lowerLetter"/>
      <w:start w:val="1"/>
    </w:lvl>
  </w:abstractNum>
  <w:abstractNum w:abstractNumId="465">
    <w:nsid w:val="3A86D445"/>
    <w:multiLevelType w:val="hybridMultilevel"/>
    <w:lvl w:ilvl="0">
      <w:lvlJc w:val="left"/>
      <w:lvlText w:val="%1."/>
      <w:numFmt w:val="decimal"/>
      <w:start w:val="14"/>
    </w:lvl>
  </w:abstractNum>
  <w:abstractNum w:abstractNumId="466">
    <w:nsid w:val="51F79246"/>
    <w:multiLevelType w:val="hybridMultilevel"/>
    <w:lvl w:ilvl="0">
      <w:lvlJc w:val="left"/>
      <w:lvlText w:val="(%1)"/>
      <w:numFmt w:val="lowerLetter"/>
      <w:start w:val="1"/>
    </w:lvl>
  </w:abstractNum>
  <w:abstractNum w:abstractNumId="467">
    <w:nsid w:val="5BC9A827"/>
    <w:multiLevelType w:val="hybridMultilevel"/>
    <w:lvl w:ilvl="0">
      <w:lvlJc w:val="left"/>
      <w:lvlText w:val="(%1)"/>
      <w:numFmt w:val="lowerLetter"/>
      <w:start w:val="1"/>
    </w:lvl>
  </w:abstractNum>
  <w:abstractNum w:abstractNumId="468">
    <w:nsid w:val="3AE37D86"/>
    <w:multiLevelType w:val="hybridMultilevel"/>
    <w:lvl w:ilvl="0">
      <w:lvlJc w:val="left"/>
      <w:lvlText w:val="(%1)"/>
      <w:numFmt w:val="lowerLetter"/>
      <w:start w:val="1"/>
    </w:lvl>
  </w:abstractNum>
  <w:abstractNum w:abstractNumId="469">
    <w:nsid w:val="45440FE5"/>
    <w:multiLevelType w:val="hybridMultilevel"/>
    <w:lvl w:ilvl="0">
      <w:lvlJc w:val="left"/>
      <w:lvlText w:val="(%1)"/>
      <w:numFmt w:val="lowerLetter"/>
      <w:start w:val="1"/>
    </w:lvl>
  </w:abstractNum>
  <w:abstractNum w:abstractNumId="470">
    <w:nsid w:val="BF783F"/>
    <w:multiLevelType w:val="hybridMultilevel"/>
    <w:lvl w:ilvl="0">
      <w:lvlJc w:val="left"/>
      <w:lvlText w:val="(%1)"/>
      <w:numFmt w:val="lowerLetter"/>
      <w:start w:val="1"/>
    </w:lvl>
  </w:abstractNum>
  <w:abstractNum w:abstractNumId="471">
    <w:nsid w:val="22643EA9"/>
    <w:multiLevelType w:val="hybridMultilevel"/>
    <w:lvl w:ilvl="0">
      <w:lvlJc w:val="left"/>
      <w:lvlText w:val="(%1)"/>
      <w:numFmt w:val="lowerLetter"/>
      <w:start w:val="1"/>
    </w:lvl>
  </w:abstractNum>
  <w:abstractNum w:abstractNumId="472">
    <w:nsid w:val="1887578D"/>
    <w:multiLevelType w:val="hybridMultilevel"/>
    <w:lvl w:ilvl="0">
      <w:lvlJc w:val="left"/>
      <w:lvlText w:val="%1."/>
      <w:numFmt w:val="decimal"/>
      <w:start w:val="15"/>
    </w:lvl>
  </w:abstractNum>
  <w:abstractNum w:abstractNumId="473">
    <w:nsid w:val="58C05B8A"/>
    <w:multiLevelType w:val="hybridMultilevel"/>
    <w:lvl w:ilvl="0">
      <w:lvlJc w:val="left"/>
      <w:lvlText w:val="(%1)"/>
      <w:numFmt w:val="lowerLetter"/>
      <w:start w:val="1"/>
    </w:lvl>
  </w:abstractNum>
  <w:abstractNum w:abstractNumId="474">
    <w:nsid w:val="38D82E71"/>
    <w:multiLevelType w:val="hybridMultilevel"/>
    <w:lvl w:ilvl="0">
      <w:lvlJc w:val="left"/>
      <w:lvlText w:val="%1"/>
      <w:numFmt w:val="decimal"/>
      <w:start w:val="1"/>
    </w:lvl>
    <w:lvl w:ilvl="1">
      <w:lvlJc w:val="left"/>
      <w:lvlText w:val="(%2)"/>
      <w:numFmt w:val="lowerLetter"/>
      <w:start w:val="1"/>
    </w:lvl>
  </w:abstractNum>
  <w:abstractNum w:abstractNumId="475">
    <w:nsid w:val="1E41098A"/>
    <w:multiLevelType w:val="hybridMultilevel"/>
    <w:lvl w:ilvl="0">
      <w:lvlJc w:val="left"/>
      <w:lvlText w:val="%1."/>
      <w:numFmt w:val="decimal"/>
      <w:start w:val="16"/>
    </w:lvl>
    <w:lvl w:ilvl="1">
      <w:lvlJc w:val="left"/>
      <w:lvlText w:val="%2"/>
      <w:numFmt w:val="lowerLetter"/>
      <w:start w:val="1"/>
    </w:lvl>
  </w:abstractNum>
  <w:abstractNum w:abstractNumId="476">
    <w:nsid w:val="5398582C"/>
    <w:multiLevelType w:val="hybridMultilevel"/>
    <w:lvl w:ilvl="0">
      <w:lvlJc w:val="left"/>
      <w:lvlText w:val="(%1)"/>
      <w:numFmt w:val="lowerLetter"/>
      <w:start w:val="1"/>
    </w:lvl>
  </w:abstractNum>
  <w:abstractNum w:abstractNumId="477">
    <w:nsid w:val="1C0D4475"/>
    <w:multiLevelType w:val="hybridMultilevel"/>
    <w:lvl w:ilvl="0">
      <w:lvlJc w:val="left"/>
      <w:lvlText w:val="(%1)"/>
      <w:numFmt w:val="lowerLetter"/>
      <w:start w:val="1"/>
    </w:lvl>
  </w:abstractNum>
  <w:abstractNum w:abstractNumId="478">
    <w:nsid w:val="2CB6A6A4"/>
    <w:multiLevelType w:val="hybridMultilevel"/>
    <w:lvl w:ilvl="0">
      <w:lvlJc w:val="left"/>
      <w:lvlText w:val="(%1)"/>
      <w:numFmt w:val="lowerLetter"/>
      <w:start w:val="1"/>
    </w:lvl>
  </w:abstractNum>
  <w:abstractNum w:abstractNumId="479">
    <w:nsid w:val="41D646BC"/>
    <w:multiLevelType w:val="hybridMultilevel"/>
    <w:lvl w:ilvl="0">
      <w:lvlJc w:val="left"/>
      <w:lvlText w:val="(%1)"/>
      <w:numFmt w:val="lowerRoman"/>
      <w:start w:val="1"/>
    </w:lvl>
  </w:abstractNum>
  <w:abstractNum w:abstractNumId="480">
    <w:nsid w:val="3694A76A"/>
    <w:multiLevelType w:val="hybridMultilevel"/>
    <w:lvl w:ilvl="0">
      <w:lvlJc w:val="left"/>
      <w:lvlText w:val="%1."/>
      <w:numFmt w:val="decimal"/>
      <w:start w:val="17"/>
    </w:lvl>
  </w:abstractNum>
  <w:abstractNum w:abstractNumId="481">
    <w:nsid w:val="2BF876EE"/>
    <w:multiLevelType w:val="hybridMultilevel"/>
    <w:lvl w:ilvl="0">
      <w:lvlJc w:val="left"/>
      <w:lvlText w:val="(%1)"/>
      <w:numFmt w:val="lowerLetter"/>
      <w:start w:val="1"/>
    </w:lvl>
  </w:abstractNum>
  <w:abstractNum w:abstractNumId="482">
    <w:nsid w:val="675ADBA"/>
    <w:multiLevelType w:val="hybridMultilevel"/>
    <w:lvl w:ilvl="0">
      <w:lvlJc w:val="left"/>
      <w:lvlText w:val="(%1)"/>
      <w:numFmt w:val="lowerLetter"/>
      <w:start w:val="1"/>
    </w:lvl>
  </w:abstractNum>
  <w:abstractNum w:abstractNumId="483">
    <w:nsid w:val="C12AC7F"/>
    <w:multiLevelType w:val="hybridMultilevel"/>
    <w:lvl w:ilvl="0">
      <w:lvlJc w:val="left"/>
      <w:lvlText w:val="(%1)"/>
      <w:numFmt w:val="lowerLetter"/>
      <w:start w:val="1"/>
    </w:lvl>
    <w:lvl w:ilvl="1">
      <w:lvlJc w:val="left"/>
      <w:lvlText w:val="(%2)"/>
      <w:numFmt w:val="decimal"/>
      <w:start w:val="10"/>
    </w:lvl>
  </w:abstractNum>
  <w:abstractNum w:abstractNumId="484">
    <w:nsid w:val="6798F039"/>
    <w:multiLevelType w:val="hybridMultilevel"/>
    <w:lvl w:ilvl="0">
      <w:lvlJc w:val="left"/>
      <w:lvlText w:val="(%1)"/>
      <w:numFmt w:val="lowerLetter"/>
      <w:start w:val="1"/>
    </w:lvl>
  </w:abstractNum>
  <w:abstractNum w:abstractNumId="485">
    <w:nsid w:val="70837C02"/>
    <w:multiLevelType w:val="hybridMultilevel"/>
    <w:lvl w:ilvl="0">
      <w:lvlJc w:val="left"/>
      <w:lvlText w:val="(%1)"/>
      <w:numFmt w:val="lowerLetter"/>
      <w:start w:val="1"/>
    </w:lvl>
  </w:abstractNum>
  <w:abstractNum w:abstractNumId="486">
    <w:nsid w:val="7E4A5715"/>
    <w:multiLevelType w:val="hybridMultilevel"/>
    <w:lvl w:ilvl="0">
      <w:lvlJc w:val="left"/>
      <w:lvlText w:val="(%1)"/>
      <w:numFmt w:val="lowerLetter"/>
      <w:start w:val="1"/>
    </w:lvl>
  </w:abstractNum>
  <w:abstractNum w:abstractNumId="487">
    <w:nsid w:val="42B8AC67"/>
    <w:multiLevelType w:val="hybridMultilevel"/>
    <w:lvl w:ilvl="0">
      <w:lvlJc w:val="left"/>
      <w:lvlText w:val="(%1)"/>
      <w:numFmt w:val="lowerLetter"/>
      <w:start w:val="1"/>
    </w:lvl>
  </w:abstractNum>
  <w:abstractNum w:abstractNumId="488">
    <w:nsid w:val="246348EA"/>
    <w:multiLevelType w:val="hybridMultilevel"/>
    <w:lvl w:ilvl="0">
      <w:lvlJc w:val="left"/>
      <w:lvlText w:val="%1"/>
      <w:numFmt w:val="decimal"/>
      <w:start w:val="1"/>
    </w:lvl>
    <w:lvl w:ilvl="1">
      <w:lvlJc w:val="left"/>
      <w:lvlText w:val="(%2)"/>
      <w:numFmt w:val="lowerLetter"/>
      <w:start w:val="1"/>
    </w:lvl>
  </w:abstractNum>
  <w:abstractNum w:abstractNumId="489">
    <w:nsid w:val="170EB52B"/>
    <w:multiLevelType w:val="hybridMultilevel"/>
    <w:lvl w:ilvl="0">
      <w:lvlJc w:val="left"/>
      <w:lvlText w:val="%1."/>
      <w:numFmt w:val="decimal"/>
      <w:start w:val="18"/>
    </w:lvl>
    <w:lvl w:ilvl="1">
      <w:lvlJc w:val="left"/>
      <w:lvlText w:val="%2"/>
      <w:numFmt w:val="lowerLetter"/>
      <w:start w:val="1"/>
    </w:lvl>
  </w:abstractNum>
  <w:abstractNum w:abstractNumId="490">
    <w:nsid w:val="2DFBCB8C"/>
    <w:multiLevelType w:val="hybridMultilevel"/>
    <w:lvl w:ilvl="0">
      <w:lvlJc w:val="left"/>
      <w:lvlText w:val="(%1)"/>
      <w:numFmt w:val="lowerLetter"/>
      <w:start w:val="1"/>
    </w:lvl>
  </w:abstractNum>
  <w:abstractNum w:abstractNumId="491">
    <w:nsid w:val="3830D6B6"/>
    <w:multiLevelType w:val="hybridMultilevel"/>
    <w:lvl w:ilvl="0">
      <w:lvlJc w:val="left"/>
      <w:lvlText w:val="(%1)"/>
      <w:numFmt w:val="lowerLetter"/>
      <w:start w:val="2"/>
    </w:lvl>
  </w:abstractNum>
  <w:abstractNum w:abstractNumId="492">
    <w:nsid w:val="6D48CF87"/>
    <w:multiLevelType w:val="hybridMultilevel"/>
    <w:lvl w:ilvl="0">
      <w:lvlJc w:val="left"/>
      <w:lvlText w:val="(%1)"/>
      <w:numFmt w:val="lowerLetter"/>
      <w:start w:val="3"/>
    </w:lvl>
  </w:abstractNum>
  <w:abstractNum w:abstractNumId="493">
    <w:nsid w:val="576FC41B"/>
    <w:multiLevelType w:val="hybridMultilevel"/>
    <w:lvl w:ilvl="0">
      <w:lvlJc w:val="left"/>
      <w:lvlText w:val="(%1)"/>
      <w:numFmt w:val="lowerLetter"/>
      <w:start w:val="1"/>
    </w:lvl>
    <w:lvl w:ilvl="1">
      <w:lvlJc w:val="left"/>
      <w:lvlText w:val="(%2)"/>
      <w:numFmt w:val="lowerRoman"/>
      <w:start w:val="1"/>
    </w:lvl>
  </w:abstractNum>
  <w:abstractNum w:abstractNumId="494">
    <w:nsid w:val="64A1C464"/>
    <w:multiLevelType w:val="hybridMultilevel"/>
    <w:lvl w:ilvl="0">
      <w:lvlJc w:val="left"/>
      <w:lvlText w:val="(%1)"/>
      <w:numFmt w:val="lowerLetter"/>
      <w:start w:val="2"/>
    </w:lvl>
    <w:lvl w:ilvl="1">
      <w:lvlJc w:val="left"/>
      <w:lvlText w:val="(%2)"/>
      <w:numFmt w:val="lowerRoman"/>
      <w:start w:val="1"/>
    </w:lvl>
  </w:abstractNum>
  <w:abstractNum w:abstractNumId="495">
    <w:nsid w:val="31723BF5"/>
    <w:multiLevelType w:val="hybridMultilevel"/>
    <w:lvl w:ilvl="0">
      <w:lvlJc w:val="left"/>
      <w:lvlText w:val="(%1)"/>
      <w:numFmt w:val="lowerLetter"/>
      <w:start w:val="1"/>
    </w:lvl>
  </w:abstractNum>
  <w:abstractNum w:abstractNumId="496">
    <w:nsid w:val="11F69861"/>
    <w:multiLevelType w:val="hybridMultilevel"/>
    <w:lvl w:ilvl="0">
      <w:lvlJc w:val="left"/>
      <w:lvlText w:val="(%1)"/>
      <w:numFmt w:val="lowerLetter"/>
      <w:start w:val="2"/>
    </w:lvl>
    <w:lvl w:ilvl="1">
      <w:lvlJc w:val="left"/>
      <w:lvlText w:val="(%2)"/>
      <w:numFmt w:val="lowerRoman"/>
      <w:start w:val="1"/>
    </w:lvl>
  </w:abstractNum>
  <w:abstractNum w:abstractNumId="497">
    <w:nsid w:val="369956AB"/>
    <w:multiLevelType w:val="hybridMultilevel"/>
    <w:lvl w:ilvl="0">
      <w:lvlJc w:val="left"/>
      <w:lvlText w:val="(%1)"/>
      <w:numFmt w:val="lowerRoman"/>
      <w:start w:val="3"/>
    </w:lvl>
  </w:abstractNum>
  <w:abstractNum w:abstractNumId="498">
    <w:nsid w:val="D3BE41C"/>
    <w:multiLevelType w:val="hybridMultilevel"/>
    <w:lvl w:ilvl="0">
      <w:lvlJc w:val="left"/>
      <w:lvlText w:val="%1."/>
      <w:numFmt w:val="decimal"/>
      <w:start w:val="19"/>
    </w:lvl>
    <w:lvl w:ilvl="1">
      <w:lvlJc w:val="left"/>
      <w:lvlText w:val="(%2)"/>
      <w:numFmt w:val="upperLetter"/>
      <w:start w:val="1"/>
    </w:lvl>
  </w:abstractNum>
  <w:abstractNum w:abstractNumId="499">
    <w:nsid w:val="4CDA15E7"/>
    <w:multiLevelType w:val="hybridMultilevel"/>
    <w:lvl w:ilvl="0">
      <w:lvlJc w:val="left"/>
      <w:lvlText w:val="(%1)"/>
      <w:numFmt w:val="upperLetter"/>
      <w:start w:val="5"/>
    </w:lvl>
    <w:lvl w:ilvl="1">
      <w:lvlJc w:val="left"/>
      <w:lvlText w:val="(%2)"/>
      <w:numFmt w:val="lowerLetter"/>
      <w:start w:val="1"/>
    </w:lvl>
  </w:abstractNum>
  <w:abstractNum w:abstractNumId="500">
    <w:nsid w:val="7BDD6690"/>
    <w:multiLevelType w:val="hybridMultilevel"/>
    <w:lvl w:ilvl="0">
      <w:lvlJc w:val="left"/>
      <w:lvlText w:val="%1."/>
      <w:numFmt w:val="decimal"/>
      <w:start w:val="21"/>
    </w:lvl>
  </w:abstractNum>
  <w:abstractNum w:abstractNumId="501">
    <w:nsid w:val="DFB5C5B"/>
    <w:multiLevelType w:val="hybridMultilevel"/>
    <w:lvl w:ilvl="0">
      <w:lvlJc w:val="left"/>
      <w:lvlText w:val="(%1)"/>
      <w:numFmt w:val="lowerLetter"/>
      <w:start w:val="1"/>
    </w:lvl>
  </w:abstractNum>
  <w:abstractNum w:abstractNumId="502">
    <w:nsid w:val="6F3E5490"/>
    <w:multiLevelType w:val="hybridMultilevel"/>
    <w:lvl w:ilvl="0">
      <w:lvlJc w:val="left"/>
      <w:lvlText w:val="(%1)"/>
      <w:numFmt w:val="lowerLetter"/>
      <w:start w:val="2"/>
    </w:lvl>
  </w:abstractNum>
  <w:abstractNum w:abstractNumId="503">
    <w:nsid w:val="1464BE1E"/>
    <w:multiLevelType w:val="hybridMultilevel"/>
    <w:lvl w:ilvl="0">
      <w:lvlJc w:val="left"/>
      <w:lvlText w:val="(%1)"/>
      <w:numFmt w:val="lowerLetter"/>
      <w:start w:val="1"/>
    </w:lvl>
    <w:lvl w:ilvl="1">
      <w:lvlJc w:val="left"/>
      <w:lvlText w:val="(%2)"/>
      <w:numFmt w:val="upperLetter"/>
      <w:start w:val="1"/>
    </w:lvl>
  </w:abstractNum>
  <w:abstractNum w:abstractNumId="504">
    <w:nsid w:val="66BBB7E5"/>
    <w:multiLevelType w:val="hybridMultilevel"/>
    <w:lvl w:ilvl="0">
      <w:lvlJc w:val="left"/>
      <w:lvlText w:val="%1"/>
      <w:numFmt w:val="decimal"/>
      <w:start w:val="1"/>
    </w:lvl>
    <w:lvl w:ilvl="1">
      <w:lvlJc w:val="left"/>
      <w:lvlText w:val="(%2)"/>
      <w:numFmt w:val="lowerLetter"/>
      <w:start w:val="1"/>
    </w:lvl>
  </w:abstractNum>
  <w:abstractNum w:abstractNumId="505">
    <w:nsid w:val="28168302"/>
    <w:multiLevelType w:val="hybridMultilevel"/>
    <w:lvl w:ilvl="0">
      <w:lvlJc w:val="left"/>
      <w:lvlText w:val="%1."/>
      <w:numFmt w:val="decimal"/>
      <w:start w:val="22"/>
    </w:lvl>
    <w:lvl w:ilvl="1">
      <w:lvlJc w:val="left"/>
      <w:lvlText w:val="(%2)"/>
      <w:numFmt w:val="lowerLetter"/>
      <w:start w:val="1"/>
    </w:lvl>
  </w:abstractNum>
  <w:abstractNum w:abstractNumId="506">
    <w:nsid w:val="32A5C7A8"/>
    <w:multiLevelType w:val="hybridMultilevel"/>
    <w:lvl w:ilvl="0">
      <w:lvlJc w:val="left"/>
      <w:lvlText w:val="%1."/>
      <w:numFmt w:val="decimal"/>
      <w:start w:val="23"/>
    </w:lvl>
  </w:abstractNum>
  <w:abstractNum w:abstractNumId="507">
    <w:nsid w:val="3A541011"/>
    <w:multiLevelType w:val="hybridMultilevel"/>
    <w:lvl w:ilvl="0">
      <w:lvlJc w:val="left"/>
      <w:lvlText w:val="(%1)"/>
      <w:numFmt w:val="lowerLetter"/>
      <w:start w:val="1"/>
    </w:lvl>
  </w:abstractNum>
  <w:abstractNum w:abstractNumId="508">
    <w:nsid w:val="4423C777"/>
    <w:multiLevelType w:val="hybridMultilevel"/>
    <w:lvl w:ilvl="0">
      <w:lvlJc w:val="left"/>
      <w:lvlText w:val="(%1)"/>
      <w:numFmt w:val="lowerLetter"/>
      <w:start w:val="2"/>
    </w:lvl>
  </w:abstractNum>
  <w:abstractNum w:abstractNumId="509">
    <w:nsid w:val="5F5C6E4D"/>
    <w:multiLevelType w:val="hybridMultilevel"/>
    <w:lvl w:ilvl="0">
      <w:lvlJc w:val="left"/>
      <w:lvlText w:val="(%1)"/>
      <w:numFmt w:val="lowerLetter"/>
      <w:start w:val="1"/>
    </w:lvl>
    <w:lvl w:ilvl="1">
      <w:lvlJc w:val="left"/>
      <w:lvlText w:val="(%2)"/>
      <w:numFmt w:val="lowerRoman"/>
      <w:start w:val="1"/>
    </w:lvl>
  </w:abstractNum>
  <w:abstractNum w:abstractNumId="510">
    <w:nsid w:val="7C2A56CD"/>
    <w:multiLevelType w:val="hybridMultilevel"/>
    <w:lvl w:ilvl="0">
      <w:lvlJc w:val="left"/>
      <w:lvlText w:val="(%1)"/>
      <w:numFmt w:val="lowerLetter"/>
      <w:start w:val="2"/>
    </w:lvl>
  </w:abstractNum>
  <w:abstractNum w:abstractNumId="511">
    <w:nsid w:val="7AB86EE1"/>
    <w:multiLevelType w:val="hybridMultilevel"/>
    <w:lvl w:ilvl="0">
      <w:lvlJc w:val="left"/>
      <w:lvlText w:val="(%1)"/>
      <w:numFmt w:val="lowerLetter"/>
      <w:start w:val="1"/>
    </w:lvl>
  </w:abstractNum>
  <w:abstractNum w:abstractNumId="512">
    <w:nsid w:val="B54E53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13">
    <w:nsid w:val="2A0048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14">
    <w:nsid w:val="6CB1B60"/>
    <w:multiLevelType w:val="hybridMultilevel"/>
    <w:lvl w:ilvl="0">
      <w:lvlJc w:val="left"/>
      <w:lvlText w:val="%1."/>
      <w:numFmt w:val="decimal"/>
      <w:start w:val="24"/>
    </w:lvl>
    <w:lvl w:ilvl="1">
      <w:lvlJc w:val="left"/>
      <w:lvlText w:val="%2"/>
      <w:numFmt w:val="lowerLetter"/>
      <w:start w:val="1"/>
    </w:lvl>
    <w:lvl w:ilvl="2">
      <w:lvlJc w:val="left"/>
      <w:lvlText w:val="%3"/>
      <w:numFmt w:val="lowerRoman"/>
      <w:start w:val="1"/>
    </w:lvl>
  </w:abstractNum>
  <w:abstractNum w:abstractNumId="515">
    <w:nsid w:val="72EDD574"/>
    <w:multiLevelType w:val="hybridMultilevel"/>
    <w:lvl w:ilvl="0">
      <w:lvlJc w:val="left"/>
      <w:lvlText w:val="%1."/>
      <w:numFmt w:val="decimal"/>
      <w:start w:val="25"/>
    </w:lvl>
  </w:abstractNum>
  <w:abstractNum w:abstractNumId="516">
    <w:nsid w:val="7323808A"/>
    <w:multiLevelType w:val="hybridMultilevel"/>
    <w:lvl w:ilvl="0">
      <w:lvlJc w:val="left"/>
      <w:lvlText w:val="%1."/>
      <w:numFmt w:val="decimal"/>
      <w:start w:val="26"/>
    </w:lvl>
  </w:abstractNum>
  <w:abstractNum w:abstractNumId="517">
    <w:nsid w:val="5157276"/>
    <w:multiLevelType w:val="hybridMultilevel"/>
    <w:lvl w:ilvl="0">
      <w:lvlJc w:val="left"/>
      <w:lvlText w:val="%1."/>
      <w:numFmt w:val="decimal"/>
      <w:start w:val="27"/>
    </w:lvl>
  </w:abstractNum>
  <w:abstractNum w:abstractNumId="518">
    <w:nsid w:val="35A681DB"/>
    <w:multiLevelType w:val="hybridMultilevel"/>
    <w:lvl w:ilvl="0">
      <w:lvlJc w:val="left"/>
      <w:lvlText w:val="%1."/>
      <w:numFmt w:val="decimal"/>
      <w:start w:val="1"/>
    </w:lvl>
  </w:abstractNum>
  <w:abstractNum w:abstractNumId="519">
    <w:nsid w:val="1786C974"/>
    <w:multiLevelType w:val="hybridMultilevel"/>
    <w:lvl w:ilvl="0">
      <w:lvlJc w:val="left"/>
      <w:lvlText w:val="(%1)"/>
      <w:numFmt w:val="lowerLetter"/>
      <w:start w:val="1"/>
    </w:lvl>
  </w:abstractNum>
  <w:abstractNum w:abstractNumId="520">
    <w:nsid w:val="1C2427A1"/>
    <w:multiLevelType w:val="hybridMultilevel"/>
    <w:lvl w:ilvl="0">
      <w:lvlJc w:val="left"/>
      <w:lvlText w:val="(%1)"/>
      <w:numFmt w:val="lowerLetter"/>
      <w:start w:val="1"/>
    </w:lvl>
  </w:abstractNum>
  <w:abstractNum w:abstractNumId="521">
    <w:nsid w:val="63A24D68"/>
    <w:multiLevelType w:val="hybridMultilevel"/>
    <w:lvl w:ilvl="0">
      <w:lvlJc w:val="left"/>
      <w:lvlText w:val="%1."/>
      <w:numFmt w:val="decimal"/>
      <w:start w:val="2"/>
    </w:lvl>
  </w:abstractNum>
  <w:abstractNum w:abstractNumId="522">
    <w:nsid w:val="4FB7A02A"/>
    <w:multiLevelType w:val="hybridMultilevel"/>
    <w:lvl w:ilvl="0">
      <w:lvlJc w:val="left"/>
      <w:lvlText w:val="(%1)"/>
      <w:numFmt w:val="lowerLetter"/>
      <w:start w:val="1"/>
    </w:lvl>
  </w:abstractNum>
  <w:abstractNum w:abstractNumId="523">
    <w:nsid w:val="96CF728"/>
    <w:multiLevelType w:val="hybridMultilevel"/>
    <w:lvl w:ilvl="0">
      <w:lvlJc w:val="left"/>
      <w:lvlText w:val="(%1)"/>
      <w:numFmt w:val="lowerLetter"/>
      <w:start w:val="1"/>
    </w:lvl>
  </w:abstractNum>
  <w:abstractNum w:abstractNumId="524">
    <w:nsid w:val="3B121183"/>
    <w:multiLevelType w:val="hybridMultilevel"/>
    <w:lvl w:ilvl="0">
      <w:lvlJc w:val="left"/>
      <w:lvlText w:val="%1."/>
      <w:numFmt w:val="decimal"/>
      <w:start w:val="3"/>
    </w:lvl>
  </w:abstractNum>
  <w:abstractNum w:abstractNumId="525">
    <w:nsid w:val="3459648F"/>
    <w:multiLevelType w:val="hybridMultilevel"/>
    <w:lvl w:ilvl="0">
      <w:lvlJc w:val="left"/>
      <w:lvlText w:val="%1."/>
      <w:numFmt w:val="decimal"/>
      <w:start w:val="1"/>
    </w:lvl>
  </w:abstractNum>
  <w:abstractNum w:abstractNumId="526">
    <w:nsid w:val="3ADF331D"/>
    <w:multiLevelType w:val="hybridMultilevel"/>
    <w:lvl w:ilvl="0">
      <w:lvlJc w:val="left"/>
      <w:lvlText w:val="%1."/>
      <w:numFmt w:val="decimal"/>
      <w:start w:val="3"/>
    </w:lvl>
  </w:abstractNum>
  <w:abstractNum w:abstractNumId="527">
    <w:nsid w:val="4D08A9E4"/>
    <w:multiLevelType w:val="hybridMultilevel"/>
    <w:lvl w:ilvl="0">
      <w:lvlJc w:val="left"/>
      <w:lvlText w:val="%1."/>
      <w:numFmt w:val="decimal"/>
      <w:start w:val="1"/>
    </w:lvl>
  </w:abstractNum>
  <w:abstractNum w:abstractNumId="528">
    <w:nsid w:val="6AF2BB3A"/>
    <w:multiLevelType w:val="hybridMultilevel"/>
    <w:lvl w:ilvl="0">
      <w:lvlJc w:val="left"/>
      <w:lvlText w:val="(%1)"/>
      <w:numFmt w:val="lowerLetter"/>
      <w:start w:val="1"/>
    </w:lvl>
  </w:abstractNum>
  <w:abstractNum w:abstractNumId="529">
    <w:nsid w:val="481B1739"/>
    <w:multiLevelType w:val="hybridMultilevel"/>
    <w:lvl w:ilvl="0">
      <w:lvlJc w:val="left"/>
      <w:lvlText w:val="%1"/>
      <w:numFmt w:val="decimal"/>
      <w:start w:val="1"/>
    </w:lvl>
    <w:lvl w:ilvl="1">
      <w:lvlJc w:val="left"/>
      <w:lvlText w:val="(%2)"/>
      <w:numFmt w:val="lowerLetter"/>
      <w:start w:val="3"/>
    </w:lvl>
  </w:abstractNum>
  <w:abstractNum w:abstractNumId="530">
    <w:nsid w:val="19E2BFCC"/>
    <w:multiLevelType w:val="hybridMultilevel"/>
    <w:lvl w:ilvl="0">
      <w:lvlJc w:val="left"/>
      <w:lvlText w:val="%1."/>
      <w:numFmt w:val="decimal"/>
      <w:start w:val="3"/>
    </w:lvl>
    <w:lvl w:ilvl="1">
      <w:lvlJc w:val="left"/>
      <w:lvlText w:val="(%2)"/>
      <w:numFmt w:val="lowerLetter"/>
      <w:start w:val="1"/>
    </w:lvl>
  </w:abstractNum>
  <w:abstractNum w:abstractNumId="531">
    <w:nsid w:val="66D021CA"/>
    <w:multiLevelType w:val="hybridMultilevel"/>
    <w:lvl w:ilvl="0">
      <w:lvlJc w:val="left"/>
      <w:lvlText w:val="%1."/>
      <w:numFmt w:val="decimal"/>
      <w:start w:val="1"/>
    </w:lvl>
    <w:lvl w:ilvl="1">
      <w:lvlJc w:val="left"/>
      <w:lvlText w:val="(%2)"/>
      <w:numFmt w:val="lowerLetter"/>
      <w:start w:val="1"/>
    </w:lvl>
  </w:abstractNum>
  <w:abstractNum w:abstractNumId="532">
    <w:nsid w:val="56167394"/>
    <w:multiLevelType w:val="hybridMultilevel"/>
    <w:lvl w:ilvl="0">
      <w:lvlJc w:val="left"/>
      <w:lvlText w:val="%1."/>
      <w:numFmt w:val="decimal"/>
      <w:start w:val="1"/>
    </w:lvl>
    <w:lvl w:ilvl="1">
      <w:lvlJc w:val="left"/>
      <w:lvlText w:val="(%2)"/>
      <w:numFmt w:val="lowerLetter"/>
      <w:start w:val="1"/>
    </w:lvl>
  </w:abstractNum>
  <w:abstractNum w:abstractNumId="533">
    <w:nsid w:val="921145C"/>
    <w:multiLevelType w:val="hybridMultilevel"/>
    <w:lvl w:ilvl="0">
      <w:lvlJc w:val="left"/>
      <w:lvlText w:val="(%1)"/>
      <w:numFmt w:val="decimal"/>
      <w:start w:val="1"/>
    </w:lvl>
  </w:abstractNum>
  <w:abstractNum w:abstractNumId="534">
    <w:nsid w:val="7B34DF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2019-12-07T14:15:30Z</dcterms:created>
  <dcterms:modified xsi:type="dcterms:W3CDTF">2019-12-07T14:15:30Z</dcterms:modified>
</cp:coreProperties>
</file>